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b/>
          <w:bCs/>
          <w:snapToGrid w:val="0"/>
          <w:kern w:val="0"/>
          <w:sz w:val="28"/>
          <w:szCs w:val="28"/>
        </w:rPr>
      </w:pPr>
      <w:r>
        <w:rPr>
          <w:b/>
          <w:bCs/>
          <w:snapToGrid w:val="0"/>
          <w:kern w:val="0"/>
          <w:sz w:val="28"/>
          <w:szCs w:val="28"/>
        </w:rPr>
        <w:pict>
          <v:shape id="文本框 299" o:spid="_x0000_s3075" o:spt="202" type="#_x0000_t202" style="position:absolute;left:0pt;margin-left:45.7pt;margin-top:-3.3pt;height:46.8pt;width:294.8pt;z-index:251659264;mso-width-relative:margin;mso-height-relative:margin;" stroked="t" coordsize="21600,21600">
            <v:path/>
            <v:fill focussize="0,0"/>
            <v:stroke color="#FFFFFF" joinstyle="miter"/>
            <v:imagedata o:title=""/>
            <o:lock v:ext="edit"/>
            <v:textbox>
              <w:txbxContent>
                <w:p>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pPr>
        <w:ind w:left="682" w:leftChars="-203" w:hanging="1108" w:hangingChars="154"/>
        <w:rPr>
          <w:sz w:val="72"/>
          <w:szCs w:val="72"/>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p>
    <w:p>
      <w:pPr>
        <w:adjustRightInd w:val="0"/>
        <w:snapToGrid w:val="0"/>
        <w:spacing w:line="300" w:lineRule="auto"/>
        <w:jc w:val="center"/>
        <w:rPr>
          <w:rFonts w:hint="eastAsia" w:asciiTheme="minorEastAsia" w:hAnsiTheme="minorEastAsia" w:eastAsiaTheme="minorEastAsia"/>
          <w:b/>
          <w:bCs/>
          <w:snapToGrid w:val="0"/>
          <w:kern w:val="0"/>
          <w:sz w:val="70"/>
          <w:szCs w:val="70"/>
        </w:rPr>
      </w:pPr>
      <w:r>
        <w:rPr>
          <w:rFonts w:hint="eastAsia" w:asciiTheme="minorEastAsia" w:hAnsiTheme="minorEastAsia" w:eastAsiaTheme="minorEastAsia"/>
          <w:b/>
          <w:bCs/>
          <w:snapToGrid w:val="0"/>
          <w:kern w:val="0"/>
          <w:sz w:val="70"/>
          <w:szCs w:val="70"/>
        </w:rPr>
        <w:t>可视化角膜生物力学分析仪</w:t>
      </w:r>
    </w:p>
    <w:p>
      <w:pPr>
        <w:adjustRightInd w:val="0"/>
        <w:snapToGrid w:val="0"/>
        <w:spacing w:line="300" w:lineRule="auto"/>
        <w:jc w:val="center"/>
        <w:rPr>
          <w:rFonts w:asciiTheme="minorEastAsia" w:hAnsiTheme="minorEastAsia" w:eastAsiaTheme="minorEastAsia"/>
          <w:b/>
          <w:snapToGrid w:val="0"/>
          <w:kern w:val="0"/>
          <w:sz w:val="70"/>
          <w:szCs w:val="70"/>
        </w:rPr>
      </w:pPr>
      <w:r>
        <w:rPr>
          <w:rFonts w:hint="eastAsia" w:asciiTheme="minorEastAsia" w:hAnsiTheme="minorEastAsia" w:eastAsiaTheme="minorEastAsia"/>
          <w:b/>
          <w:bCs/>
          <w:snapToGrid w:val="0"/>
          <w:kern w:val="0"/>
          <w:sz w:val="70"/>
          <w:szCs w:val="70"/>
        </w:rPr>
        <w:t>采购项目</w:t>
      </w: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jc w:val="center"/>
        <w:rPr>
          <w:rFonts w:ascii="经典标宋简" w:eastAsia="经典标宋简"/>
          <w:b/>
          <w:snapToGrid w:val="0"/>
          <w:kern w:val="0"/>
          <w:sz w:val="90"/>
        </w:rPr>
      </w:pPr>
      <w:r>
        <w:rPr>
          <w:rFonts w:hint="eastAsia" w:ascii="经典标宋简" w:eastAsia="经典标宋简"/>
          <w:b/>
          <w:snapToGrid w:val="0"/>
          <w:kern w:val="0"/>
          <w:sz w:val="90"/>
        </w:rPr>
        <w:t>招　标　文　件</w:t>
      </w:r>
    </w:p>
    <w:p>
      <w:pPr>
        <w:adjustRightInd w:val="0"/>
        <w:snapToGrid w:val="0"/>
        <w:spacing w:line="300" w:lineRule="auto"/>
        <w:jc w:val="center"/>
        <w:rPr>
          <w:rFonts w:ascii="经典等线简" w:eastAsia="经典等线简"/>
          <w:b/>
          <w:snapToGrid w:val="0"/>
          <w:kern w:val="0"/>
          <w:sz w:val="32"/>
        </w:rPr>
      </w:pPr>
    </w:p>
    <w:p>
      <w:pPr>
        <w:adjustRightInd w:val="0"/>
        <w:snapToGrid w:val="0"/>
        <w:spacing w:line="300" w:lineRule="auto"/>
        <w:jc w:val="center"/>
        <w:rPr>
          <w:rFonts w:hint="default" w:asciiTheme="minorEastAsia" w:hAnsiTheme="minorEastAsia" w:eastAsiaTheme="minorEastAsia"/>
          <w:b/>
          <w:snapToGrid w:val="0"/>
          <w:kern w:val="0"/>
          <w:sz w:val="32"/>
          <w:lang w:val="en-US" w:eastAsia="zh-CN"/>
        </w:rPr>
      </w:pPr>
      <w:r>
        <w:rPr>
          <w:rFonts w:hint="eastAsia" w:asciiTheme="minorEastAsia" w:hAnsiTheme="minorEastAsia" w:eastAsiaTheme="minorEastAsia"/>
          <w:b/>
          <w:snapToGrid w:val="0"/>
          <w:kern w:val="0"/>
          <w:sz w:val="32"/>
        </w:rPr>
        <w:t>项目编号：</w:t>
      </w:r>
      <w:r>
        <w:rPr>
          <w:rFonts w:asciiTheme="minorEastAsia" w:hAnsiTheme="minorEastAsia" w:eastAsiaTheme="minorEastAsia"/>
          <w:b/>
          <w:snapToGrid w:val="0"/>
          <w:kern w:val="0"/>
          <w:sz w:val="32"/>
        </w:rPr>
        <w:t>SZZZ2021-QA0</w:t>
      </w:r>
      <w:r>
        <w:rPr>
          <w:rFonts w:hint="eastAsia" w:asciiTheme="minorEastAsia" w:hAnsiTheme="minorEastAsia" w:eastAsiaTheme="minorEastAsia"/>
          <w:b/>
          <w:snapToGrid w:val="0"/>
          <w:kern w:val="0"/>
          <w:sz w:val="32"/>
          <w:lang w:val="en-US" w:eastAsia="zh-CN"/>
        </w:rPr>
        <w:t>181</w:t>
      </w:r>
    </w:p>
    <w:p>
      <w:pPr>
        <w:adjustRightInd w:val="0"/>
        <w:snapToGrid w:val="0"/>
        <w:spacing w:line="300" w:lineRule="auto"/>
        <w:jc w:val="center"/>
        <w:rPr>
          <w:rFonts w:ascii="经典等线简" w:eastAsia="经典等线简"/>
          <w:b/>
          <w:snapToGrid w:val="0"/>
          <w:kern w:val="0"/>
          <w:sz w:val="18"/>
          <w:szCs w:val="18"/>
        </w:rPr>
      </w:pPr>
    </w:p>
    <w:p>
      <w:pPr>
        <w:adjustRightInd w:val="0"/>
        <w:snapToGrid w:val="0"/>
        <w:spacing w:line="300" w:lineRule="auto"/>
        <w:jc w:val="center"/>
        <w:rPr>
          <w:rFonts w:eastAsia="经典标宋简"/>
          <w:b/>
          <w:snapToGrid w:val="0"/>
          <w:kern w:val="0"/>
          <w:sz w:val="44"/>
        </w:rPr>
      </w:pPr>
    </w:p>
    <w:p>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pPr>
        <w:pStyle w:val="28"/>
        <w:adjustRightInd w:val="0"/>
        <w:snapToGrid w:val="0"/>
        <w:spacing w:line="300" w:lineRule="auto"/>
        <w:jc w:val="center"/>
        <w:rPr>
          <w:rFonts w:ascii="Times New Roman" w:hAnsi="Times New Roman" w:eastAsia="经典等线简"/>
          <w:b/>
          <w:snapToGrid w:val="0"/>
          <w:sz w:val="30"/>
        </w:rPr>
      </w:pPr>
    </w:p>
    <w:p/>
    <w:p/>
    <w:p>
      <w:pPr>
        <w:pStyle w:val="28"/>
        <w:adjustRightInd w:val="0"/>
        <w:snapToGrid w:val="0"/>
        <w:spacing w:line="300" w:lineRule="auto"/>
        <w:ind w:hanging="835"/>
        <w:jc w:val="center"/>
        <w:rPr>
          <w:b/>
          <w:kern w:val="0"/>
          <w:sz w:val="28"/>
          <w:szCs w:val="28"/>
        </w:rPr>
      </w:pPr>
      <w:r>
        <w:rPr>
          <w:rFonts w:hint="eastAsia"/>
          <w:b/>
          <w:snapToGrid w:val="0"/>
          <w:sz w:val="30"/>
        </w:rPr>
        <w:t>二〇二一年</w:t>
      </w:r>
      <w:r>
        <w:rPr>
          <w:rFonts w:hint="eastAsia"/>
          <w:b/>
          <w:snapToGrid w:val="0"/>
          <w:sz w:val="30"/>
          <w:lang w:val="en-US" w:eastAsia="zh-CN"/>
        </w:rPr>
        <w:t>九</w:t>
      </w:r>
      <w:r>
        <w:rPr>
          <w:rFonts w:hint="eastAsia"/>
          <w:b/>
          <w:snapToGrid w:val="0"/>
          <w:sz w:val="30"/>
        </w:rPr>
        <w:t>月</w:t>
      </w:r>
      <w:r>
        <w:rPr>
          <w:b/>
          <w:kern w:val="0"/>
          <w:sz w:val="28"/>
          <w:szCs w:val="28"/>
        </w:rPr>
        <w:br w:type="page"/>
      </w:r>
    </w:p>
    <w:p>
      <w:pPr>
        <w:adjustRightInd w:val="0"/>
        <w:snapToGrid w:val="0"/>
        <w:spacing w:line="300" w:lineRule="auto"/>
        <w:jc w:val="left"/>
        <w:rPr>
          <w:b/>
          <w:kern w:val="0"/>
          <w:sz w:val="28"/>
          <w:szCs w:val="28"/>
        </w:rPr>
      </w:pPr>
    </w:p>
    <w:p>
      <w:pPr>
        <w:jc w:val="center"/>
        <w:rPr>
          <w:rFonts w:asciiTheme="minorEastAsia" w:hAnsiTheme="minorEastAsia" w:eastAsiaTheme="minorEastAsia"/>
          <w:b/>
          <w:bCs/>
          <w:szCs w:val="21"/>
        </w:rPr>
      </w:pPr>
    </w:p>
    <w:p>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pPr>
        <w:spacing w:line="360" w:lineRule="auto"/>
        <w:ind w:firstLine="480" w:firstLineChars="200"/>
        <w:rPr>
          <w:rFonts w:ascii="宋体" w:hAnsi="宋体"/>
          <w:sz w:val="24"/>
        </w:rPr>
      </w:pPr>
    </w:p>
    <w:p>
      <w:pPr>
        <w:spacing w:line="360" w:lineRule="auto"/>
        <w:ind w:firstLine="480" w:firstLineChars="200"/>
        <w:rPr>
          <w:rFonts w:ascii="仿宋" w:hAnsi="仿宋" w:eastAsia="仿宋"/>
          <w:sz w:val="24"/>
        </w:rPr>
      </w:pPr>
      <w:r>
        <w:rPr>
          <w:rFonts w:hint="eastAsia" w:ascii="仿宋" w:hAnsi="仿宋" w:eastAsia="仿宋"/>
          <w:sz w:val="24"/>
        </w:rPr>
        <w:t>一、《深圳经济特区政府采购条例》第五十七条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360" w:lineRule="auto"/>
        <w:ind w:firstLine="480" w:firstLineChars="200"/>
        <w:rPr>
          <w:rFonts w:ascii="仿宋" w:hAnsi="仿宋" w:eastAsia="仿宋"/>
          <w:sz w:val="24"/>
        </w:rPr>
      </w:pPr>
      <w:r>
        <w:rPr>
          <w:rFonts w:hint="eastAsia" w:ascii="仿宋" w:hAnsi="仿宋" w:eastAsia="仿宋"/>
          <w:sz w:val="24"/>
        </w:rPr>
        <w:t>（一）在采购活动中应当回避而未回避的；</w:t>
      </w:r>
    </w:p>
    <w:p>
      <w:pPr>
        <w:spacing w:line="360" w:lineRule="auto"/>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pPr>
        <w:spacing w:line="360" w:lineRule="auto"/>
        <w:ind w:firstLine="480" w:firstLineChars="200"/>
        <w:rPr>
          <w:rFonts w:ascii="仿宋" w:hAnsi="仿宋" w:eastAsia="仿宋"/>
          <w:sz w:val="24"/>
        </w:rPr>
      </w:pPr>
      <w:r>
        <w:rPr>
          <w:rFonts w:hint="eastAsia" w:ascii="仿宋" w:hAnsi="仿宋" w:eastAsia="仿宋"/>
          <w:sz w:val="24"/>
        </w:rPr>
        <w:t>（三）隐瞒真实情况，提供虚假资料的；</w:t>
      </w:r>
    </w:p>
    <w:p>
      <w:pPr>
        <w:spacing w:line="360" w:lineRule="auto"/>
        <w:ind w:firstLine="480" w:firstLineChars="200"/>
        <w:rPr>
          <w:rFonts w:ascii="仿宋" w:hAnsi="仿宋" w:eastAsia="仿宋"/>
          <w:sz w:val="24"/>
        </w:rPr>
      </w:pPr>
      <w:r>
        <w:rPr>
          <w:rFonts w:hint="eastAsia" w:ascii="仿宋" w:hAnsi="仿宋" w:eastAsia="仿宋"/>
          <w:sz w:val="24"/>
        </w:rPr>
        <w:t>（四）以非法手段排斥其他供应商参与竞争的；</w:t>
      </w:r>
    </w:p>
    <w:p>
      <w:pPr>
        <w:spacing w:line="360" w:lineRule="auto"/>
        <w:ind w:firstLine="480" w:firstLineChars="200"/>
        <w:rPr>
          <w:rFonts w:ascii="仿宋" w:hAnsi="仿宋" w:eastAsia="仿宋"/>
          <w:sz w:val="24"/>
        </w:rPr>
      </w:pPr>
      <w:r>
        <w:rPr>
          <w:rFonts w:hint="eastAsia" w:ascii="仿宋" w:hAnsi="仿宋" w:eastAsia="仿宋"/>
          <w:sz w:val="24"/>
        </w:rPr>
        <w:t>（五）与其他采购参加人串通投标的；</w:t>
      </w:r>
    </w:p>
    <w:p>
      <w:pPr>
        <w:spacing w:line="360" w:lineRule="auto"/>
        <w:ind w:firstLine="480" w:firstLineChars="200"/>
        <w:rPr>
          <w:rFonts w:ascii="仿宋" w:hAnsi="仿宋" w:eastAsia="仿宋"/>
          <w:sz w:val="24"/>
        </w:rPr>
      </w:pPr>
      <w:r>
        <w:rPr>
          <w:rFonts w:hint="eastAsia" w:ascii="仿宋" w:hAnsi="仿宋" w:eastAsia="仿宋"/>
          <w:sz w:val="24"/>
        </w:rPr>
        <w:t>（六）恶意投诉的；</w:t>
      </w:r>
    </w:p>
    <w:p>
      <w:pPr>
        <w:spacing w:line="360" w:lineRule="auto"/>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pPr>
        <w:spacing w:line="360" w:lineRule="auto"/>
        <w:ind w:firstLine="480" w:firstLineChars="200"/>
        <w:rPr>
          <w:rFonts w:ascii="仿宋" w:hAnsi="仿宋" w:eastAsia="仿宋"/>
          <w:sz w:val="24"/>
        </w:rPr>
      </w:pPr>
      <w:r>
        <w:rPr>
          <w:rFonts w:hint="eastAsia" w:ascii="仿宋" w:hAnsi="仿宋" w:eastAsia="仿宋"/>
          <w:sz w:val="24"/>
        </w:rPr>
        <w:t>（八）阻碍、抗拒主管部门监督检查的；</w:t>
      </w:r>
    </w:p>
    <w:p>
      <w:pPr>
        <w:spacing w:line="360" w:lineRule="auto"/>
        <w:ind w:firstLine="480" w:firstLineChars="200"/>
        <w:rPr>
          <w:rFonts w:ascii="仿宋" w:hAnsi="仿宋" w:eastAsia="仿宋"/>
          <w:sz w:val="24"/>
        </w:rPr>
      </w:pPr>
      <w:r>
        <w:rPr>
          <w:rFonts w:hint="eastAsia" w:ascii="仿宋" w:hAnsi="仿宋" w:eastAsia="仿宋"/>
          <w:sz w:val="24"/>
        </w:rPr>
        <w:t>（九）其他违反本条例规定的行为。</w:t>
      </w:r>
    </w:p>
    <w:p>
      <w:pPr>
        <w:spacing w:line="360" w:lineRule="auto"/>
        <w:ind w:firstLine="480" w:firstLineChars="200"/>
        <w:rPr>
          <w:rFonts w:ascii="仿宋" w:hAnsi="仿宋" w:eastAsia="仿宋"/>
          <w:sz w:val="24"/>
        </w:rPr>
      </w:pPr>
    </w:p>
    <w:p>
      <w:pPr>
        <w:spacing w:line="360" w:lineRule="auto"/>
        <w:ind w:firstLine="480" w:firstLineChars="200"/>
        <w:rPr>
          <w:rFonts w:ascii="仿宋" w:hAnsi="仿宋" w:eastAsia="仿宋"/>
          <w:sz w:val="24"/>
        </w:rPr>
      </w:pPr>
      <w:r>
        <w:rPr>
          <w:rFonts w:hint="eastAsia" w:ascii="仿宋" w:hAnsi="仿宋" w:eastAsia="仿宋"/>
          <w:sz w:val="24"/>
        </w:rPr>
        <w:t>二、《深圳经济特区政府采购条例实施细则》第七十六条 供应商有下列行为之一的，由主管部门记入供应商诚信档案并作出以下处罚：</w:t>
      </w:r>
    </w:p>
    <w:p>
      <w:pPr>
        <w:spacing w:line="360" w:lineRule="auto"/>
        <w:ind w:firstLine="480" w:firstLineChars="200"/>
        <w:rPr>
          <w:rFonts w:ascii="仿宋" w:hAnsi="仿宋" w:eastAsia="仿宋"/>
          <w:sz w:val="24"/>
        </w:rPr>
      </w:pPr>
      <w:r>
        <w:rPr>
          <w:rFonts w:hint="eastAsia" w:ascii="仿宋" w:hAnsi="仿宋" w:eastAsia="仿宋"/>
          <w:sz w:val="24"/>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pPr>
        <w:spacing w:line="360" w:lineRule="auto"/>
        <w:ind w:firstLine="480" w:firstLineChars="200"/>
        <w:rPr>
          <w:rFonts w:ascii="仿宋" w:hAnsi="仿宋" w:eastAsia="仿宋"/>
          <w:sz w:val="24"/>
        </w:rPr>
      </w:pPr>
      <w:r>
        <w:rPr>
          <w:rFonts w:hint="eastAsia" w:ascii="仿宋" w:hAnsi="仿宋" w:eastAsia="仿宋"/>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pPr>
        <w:spacing w:line="360" w:lineRule="auto"/>
        <w:ind w:firstLine="480" w:firstLineChars="200"/>
        <w:rPr>
          <w:rFonts w:ascii="仿宋" w:hAnsi="仿宋" w:eastAsia="仿宋"/>
          <w:sz w:val="24"/>
        </w:rPr>
      </w:pPr>
      <w:r>
        <w:rPr>
          <w:rFonts w:hint="eastAsia" w:ascii="仿宋" w:hAnsi="仿宋" w:eastAsia="仿宋"/>
          <w:sz w:val="24"/>
        </w:rPr>
        <w:t xml:space="preserve">第七十七条 供应商有下列行为之一的，属于情节严重，由市场监管部门依法吊销其营业执照，主管部门取消其参与本市政府采购的资格，并作出以下处罚： </w:t>
      </w:r>
    </w:p>
    <w:p>
      <w:pPr>
        <w:spacing w:line="360" w:lineRule="auto"/>
        <w:ind w:firstLine="480" w:firstLineChars="200"/>
        <w:rPr>
          <w:rFonts w:ascii="仿宋" w:hAnsi="仿宋" w:eastAsia="仿宋"/>
          <w:sz w:val="24"/>
        </w:rPr>
      </w:pPr>
      <w:r>
        <w:rPr>
          <w:rFonts w:hint="eastAsia" w:ascii="仿宋" w:hAnsi="仿宋" w:eastAsia="仿宋"/>
          <w:sz w:val="24"/>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pPr>
        <w:spacing w:line="360" w:lineRule="auto"/>
        <w:ind w:firstLine="480" w:firstLineChars="200"/>
        <w:rPr>
          <w:rFonts w:ascii="仿宋" w:hAnsi="仿宋" w:eastAsia="仿宋"/>
          <w:sz w:val="24"/>
        </w:rPr>
      </w:pPr>
      <w:r>
        <w:rPr>
          <w:rFonts w:hint="eastAsia" w:ascii="仿宋" w:hAnsi="仿宋" w:eastAsia="仿宋"/>
          <w:sz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spacing w:line="360" w:lineRule="auto"/>
        <w:ind w:firstLine="480" w:firstLineChars="200"/>
        <w:rPr>
          <w:rFonts w:ascii="仿宋" w:hAnsi="仿宋" w:eastAsia="仿宋"/>
          <w:sz w:val="24"/>
        </w:rPr>
      </w:pPr>
      <w:r>
        <w:rPr>
          <w:rFonts w:hint="eastAsia" w:ascii="仿宋" w:hAnsi="仿宋" w:eastAsia="仿宋"/>
          <w:sz w:val="24"/>
        </w:rPr>
        <w:t>第七十九条 供应商有下列情形的，属于采购条例所称的串通投标行为，按照采购条例第五十七条有关规定处理：</w:t>
      </w:r>
    </w:p>
    <w:p>
      <w:pPr>
        <w:spacing w:line="360" w:lineRule="auto"/>
        <w:ind w:firstLine="480" w:firstLineChars="200"/>
        <w:rPr>
          <w:rFonts w:ascii="仿宋" w:hAnsi="仿宋" w:eastAsia="仿宋"/>
          <w:sz w:val="24"/>
        </w:rPr>
      </w:pPr>
      <w:r>
        <w:rPr>
          <w:rFonts w:hint="eastAsia" w:ascii="仿宋" w:hAnsi="仿宋" w:eastAsia="仿宋"/>
          <w:sz w:val="24"/>
        </w:rPr>
        <w:t>（一）投标供应商之间相互约定给予未中标的供应商利益补偿；</w:t>
      </w:r>
    </w:p>
    <w:p>
      <w:pPr>
        <w:spacing w:line="360" w:lineRule="auto"/>
        <w:ind w:firstLine="480" w:firstLineChars="200"/>
        <w:rPr>
          <w:rFonts w:ascii="仿宋" w:hAnsi="仿宋" w:eastAsia="仿宋"/>
          <w:sz w:val="24"/>
        </w:rPr>
      </w:pPr>
      <w:r>
        <w:rPr>
          <w:rFonts w:hint="eastAsia" w:ascii="仿宋" w:hAnsi="仿宋" w:eastAsia="仿宋"/>
          <w:sz w:val="24"/>
        </w:rPr>
        <w:t xml:space="preserve">（二）不同投标供应商的法定代表人、主要经营负责人、项目投标授权代表人、项目负责人、主要技术人员为同一人、属同一单位或者在同一单位缴纳社会保险；          </w:t>
      </w:r>
    </w:p>
    <w:p>
      <w:pPr>
        <w:spacing w:line="360" w:lineRule="auto"/>
        <w:ind w:firstLine="480" w:firstLineChars="200"/>
        <w:rPr>
          <w:rFonts w:ascii="仿宋" w:hAnsi="仿宋" w:eastAsia="仿宋"/>
          <w:sz w:val="24"/>
        </w:rPr>
      </w:pPr>
      <w:r>
        <w:rPr>
          <w:rFonts w:hint="eastAsia" w:ascii="仿宋" w:hAnsi="仿宋" w:eastAsia="仿宋"/>
          <w:sz w:val="24"/>
        </w:rPr>
        <w:t>（三）不同投标供应商的投标文件由同一单位或者同一人编制，或者由同一人分阶段参与编制的；</w:t>
      </w:r>
    </w:p>
    <w:p>
      <w:pPr>
        <w:spacing w:line="360" w:lineRule="auto"/>
        <w:ind w:firstLine="480" w:firstLineChars="200"/>
        <w:rPr>
          <w:rFonts w:ascii="仿宋" w:hAnsi="仿宋" w:eastAsia="仿宋"/>
          <w:sz w:val="24"/>
        </w:rPr>
      </w:pPr>
      <w:r>
        <w:rPr>
          <w:rFonts w:hint="eastAsia" w:ascii="仿宋" w:hAnsi="仿宋" w:eastAsia="仿宋"/>
          <w:sz w:val="24"/>
        </w:rPr>
        <w:t>（四）不同投标供应商的投标文件或部分投标文件相互混装；</w:t>
      </w:r>
    </w:p>
    <w:p>
      <w:pPr>
        <w:spacing w:line="360" w:lineRule="auto"/>
        <w:ind w:firstLine="480" w:firstLineChars="200"/>
        <w:rPr>
          <w:rFonts w:ascii="仿宋" w:hAnsi="仿宋" w:eastAsia="仿宋"/>
          <w:sz w:val="24"/>
        </w:rPr>
      </w:pPr>
      <w:r>
        <w:rPr>
          <w:rFonts w:hint="eastAsia" w:ascii="仿宋" w:hAnsi="仿宋" w:eastAsia="仿宋"/>
          <w:sz w:val="24"/>
        </w:rPr>
        <w:t>（五）不同投标供应商的投标文件内容存在非正常一致；</w:t>
      </w:r>
    </w:p>
    <w:p>
      <w:pPr>
        <w:spacing w:line="360" w:lineRule="auto"/>
        <w:ind w:firstLine="480" w:firstLineChars="200"/>
        <w:rPr>
          <w:rFonts w:ascii="仿宋" w:hAnsi="仿宋" w:eastAsia="仿宋"/>
          <w:sz w:val="24"/>
        </w:rPr>
      </w:pPr>
      <w:r>
        <w:rPr>
          <w:rFonts w:hint="eastAsia" w:ascii="仿宋" w:hAnsi="仿宋" w:eastAsia="仿宋"/>
          <w:sz w:val="24"/>
        </w:rPr>
        <w:t>（六）由同一单位工作人员为两家以上（含两家）供应商进行同一项投标活动的；</w:t>
      </w:r>
    </w:p>
    <w:p>
      <w:pPr>
        <w:spacing w:line="360" w:lineRule="auto"/>
        <w:ind w:firstLine="480" w:firstLineChars="200"/>
        <w:rPr>
          <w:rFonts w:ascii="仿宋" w:hAnsi="仿宋" w:eastAsia="仿宋"/>
          <w:sz w:val="24"/>
        </w:rPr>
      </w:pPr>
      <w:r>
        <w:rPr>
          <w:rFonts w:hint="eastAsia" w:ascii="仿宋" w:hAnsi="仿宋" w:eastAsia="仿宋"/>
          <w:sz w:val="24"/>
        </w:rPr>
        <w:t>（七）主管部门依照法律、法规认定的其他情形。</w:t>
      </w:r>
    </w:p>
    <w:p>
      <w:pPr>
        <w:spacing w:line="360" w:lineRule="auto"/>
        <w:ind w:firstLine="480" w:firstLineChars="200"/>
        <w:rPr>
          <w:rFonts w:ascii="仿宋" w:hAnsi="仿宋" w:eastAsia="仿宋"/>
          <w:sz w:val="24"/>
        </w:rPr>
      </w:pPr>
      <w:r>
        <w:rPr>
          <w:rFonts w:hint="eastAsia" w:ascii="仿宋" w:hAnsi="仿宋" w:eastAsia="仿宋"/>
          <w:sz w:val="24"/>
        </w:rPr>
        <w:t>第八十一条 供应商有下列情形之一的，属于隐瞒真实情况，提供虚假资料，按照采购条例第五十七的有关规定处理：</w:t>
      </w:r>
    </w:p>
    <w:p>
      <w:pPr>
        <w:spacing w:line="360" w:lineRule="auto"/>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pPr>
        <w:spacing w:line="360" w:lineRule="auto"/>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pPr>
        <w:spacing w:line="360" w:lineRule="auto"/>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pPr>
        <w:spacing w:line="360" w:lineRule="auto"/>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pPr>
        <w:spacing w:line="360" w:lineRule="auto"/>
        <w:ind w:firstLine="480" w:firstLineChars="200"/>
        <w:rPr>
          <w:rFonts w:ascii="仿宋" w:hAnsi="仿宋" w:eastAsia="仿宋"/>
          <w:sz w:val="24"/>
        </w:rPr>
      </w:pPr>
      <w:r>
        <w:rPr>
          <w:rFonts w:hint="eastAsia" w:ascii="仿宋" w:hAnsi="仿宋" w:eastAsia="仿宋"/>
          <w:sz w:val="24"/>
        </w:rPr>
        <w:t>（五）其他隐瞒真实情况、提供虚假资料的行为。</w:t>
      </w:r>
    </w:p>
    <w:p>
      <w:pPr>
        <w:spacing w:line="360" w:lineRule="auto"/>
        <w:ind w:firstLine="480" w:firstLineChars="200"/>
      </w:pPr>
      <w:r>
        <w:rPr>
          <w:rFonts w:hint="eastAsia" w:ascii="仿宋" w:hAnsi="仿宋" w:eastAsia="仿宋"/>
          <w:sz w:val="24"/>
        </w:rPr>
        <w:t>投标供应商不能提供项目负责人或者主要技术人员的劳动合同、社会保险等劳动关系证明材料的，视为存在前款第（三）项规定的情形。</w:t>
      </w:r>
      <w:r>
        <w:rPr>
          <w:rFonts w:hint="eastAsia" w:ascii="仿宋" w:hAnsi="仿宋" w:eastAsia="仿宋"/>
          <w:sz w:val="24"/>
        </w:rPr>
        <w:cr/>
      </w:r>
    </w:p>
    <w:sdt>
      <w:sdtPr>
        <w:rPr>
          <w:rFonts w:ascii="Times New Roman" w:hAnsi="Times New Roman" w:eastAsia="宋体" w:cs="Times New Roman"/>
          <w:b w:val="0"/>
          <w:bCs w:val="0"/>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color w:val="auto"/>
          <w:kern w:val="2"/>
          <w:sz w:val="21"/>
          <w:szCs w:val="24"/>
          <w:lang w:val="en-US"/>
        </w:rPr>
      </w:sdtEndPr>
      <w:sdtContent>
        <w:p>
          <w:pPr>
            <w:pStyle w:val="504"/>
            <w:jc w:val="center"/>
            <w:rPr>
              <w:color w:val="auto"/>
              <w:lang w:val="zh-CN"/>
            </w:rPr>
          </w:pPr>
          <w:r>
            <w:rPr>
              <w:color w:val="auto"/>
              <w:lang w:val="zh-CN"/>
            </w:rPr>
            <w:t>目</w:t>
          </w:r>
          <w:r>
            <w:rPr>
              <w:rFonts w:hint="eastAsia"/>
              <w:color w:val="auto"/>
              <w:lang w:val="zh-CN"/>
            </w:rPr>
            <w:t xml:space="preserve">  </w:t>
          </w:r>
          <w:r>
            <w:rPr>
              <w:color w:val="auto"/>
              <w:lang w:val="zh-CN"/>
            </w:rPr>
            <w:t>录</w:t>
          </w:r>
        </w:p>
        <w:p>
          <w:pPr>
            <w:rPr>
              <w:lang w:val="zh-CN"/>
            </w:rPr>
          </w:pPr>
        </w:p>
        <w:p>
          <w:pPr>
            <w:pStyle w:val="34"/>
            <w:tabs>
              <w:tab w:val="right" w:leader="dot" w:pos="9628"/>
            </w:tabs>
            <w:spacing w:line="380" w:lineRule="exact"/>
            <w:rPr>
              <w:rFonts w:ascii="仿宋_GB2312" w:eastAsia="仿宋_GB2312" w:hAnsiTheme="minorHAnsi" w:cstheme="minorBidi"/>
              <w:b w:val="0"/>
              <w:bCs w:val="0"/>
              <w:caps w:val="0"/>
              <w:sz w:val="24"/>
            </w:rPr>
          </w:pPr>
          <w:r>
            <w:fldChar w:fldCharType="begin"/>
          </w:r>
          <w:r>
            <w:instrText xml:space="preserve"> TOC \o "1-3" \h \z \u </w:instrText>
          </w:r>
          <w:r>
            <w:fldChar w:fldCharType="separate"/>
          </w:r>
          <w:r>
            <w:fldChar w:fldCharType="begin"/>
          </w:r>
          <w:r>
            <w:instrText xml:space="preserve"> HYPERLINK \l "_Toc73610135"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_Toc73610135 \h </w:instrText>
          </w:r>
          <w:r>
            <w:rPr>
              <w:rFonts w:hint="eastAsia" w:ascii="仿宋_GB2312" w:eastAsia="仿宋_GB2312"/>
              <w:sz w:val="24"/>
            </w:rPr>
            <w:fldChar w:fldCharType="separate"/>
          </w:r>
          <w:r>
            <w:rPr>
              <w:rFonts w:hint="eastAsia" w:ascii="仿宋_GB2312" w:eastAsia="仿宋_GB2312"/>
              <w:sz w:val="24"/>
            </w:rPr>
            <w:t>6</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80" w:lineRule="exact"/>
            <w:rPr>
              <w:rFonts w:ascii="仿宋_GB2312" w:eastAsia="仿宋_GB2312" w:hAnsiTheme="minorHAnsi" w:cstheme="minorBidi"/>
              <w:b w:val="0"/>
              <w:bCs w:val="0"/>
              <w:caps w:val="0"/>
              <w:sz w:val="24"/>
            </w:rPr>
          </w:pPr>
          <w:r>
            <w:fldChar w:fldCharType="begin"/>
          </w:r>
          <w:r>
            <w:instrText xml:space="preserve"> HYPERLINK \l "_Toc73610136"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_Toc73610136 \h </w:instrText>
          </w:r>
          <w:r>
            <w:rPr>
              <w:rFonts w:hint="eastAsia" w:ascii="仿宋_GB2312" w:eastAsia="仿宋_GB2312"/>
              <w:sz w:val="24"/>
            </w:rPr>
            <w:fldChar w:fldCharType="separate"/>
          </w:r>
          <w:r>
            <w:rPr>
              <w:rFonts w:hint="eastAsia" w:ascii="仿宋_GB2312" w:eastAsia="仿宋_GB2312"/>
              <w:sz w:val="24"/>
            </w:rPr>
            <w:t>9</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80" w:lineRule="exact"/>
            <w:rPr>
              <w:rFonts w:ascii="仿宋_GB2312" w:eastAsia="仿宋_GB2312" w:hAnsiTheme="minorHAnsi" w:cstheme="minorBidi"/>
              <w:b w:val="0"/>
              <w:bCs w:val="0"/>
              <w:caps w:val="0"/>
              <w:sz w:val="24"/>
            </w:rPr>
          </w:pPr>
          <w:r>
            <w:fldChar w:fldCharType="begin"/>
          </w:r>
          <w:r>
            <w:instrText xml:space="preserve"> HYPERLINK \l "_Toc73610140"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_Toc73610140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80" w:lineRule="exact"/>
            <w:rPr>
              <w:rFonts w:ascii="仿宋_GB2312" w:eastAsia="仿宋_GB2312" w:hAnsiTheme="minorHAnsi" w:cstheme="minorBidi"/>
              <w:b w:val="0"/>
              <w:bCs w:val="0"/>
              <w:caps w:val="0"/>
              <w:sz w:val="24"/>
            </w:rPr>
          </w:pPr>
          <w:r>
            <w:fldChar w:fldCharType="begin"/>
          </w:r>
          <w:r>
            <w:instrText xml:space="preserve"> HYPERLINK \l "_Toc73610141"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_Toc73610141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"_Toc73610142"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_Toc73610142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"_Toc73610143"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_Toc73610143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"_Toc73610144"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_Toc73610144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pPr>
            <w:pStyle w:val="25"/>
            <w:tabs>
              <w:tab w:val="right" w:leader="dot" w:pos="9628"/>
            </w:tabs>
            <w:spacing w:line="380" w:lineRule="exact"/>
            <w:rPr>
              <w:rFonts w:ascii="仿宋_GB2312" w:eastAsia="仿宋_GB2312" w:hAnsiTheme="minorHAnsi" w:cstheme="minorBidi"/>
              <w:iCs w:val="0"/>
              <w:sz w:val="24"/>
            </w:rPr>
          </w:pPr>
          <w:r>
            <w:fldChar w:fldCharType="begin"/>
          </w:r>
          <w:r>
            <w:instrText xml:space="preserve"> HYPERLINK \l "_Toc73610145"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_Toc73610145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pPr>
            <w:pStyle w:val="25"/>
            <w:tabs>
              <w:tab w:val="right" w:leader="dot" w:pos="9628"/>
            </w:tabs>
            <w:spacing w:line="380" w:lineRule="exact"/>
            <w:rPr>
              <w:rFonts w:ascii="仿宋_GB2312" w:eastAsia="仿宋_GB2312" w:hAnsiTheme="minorHAnsi" w:cstheme="minorBidi"/>
              <w:iCs w:val="0"/>
              <w:sz w:val="24"/>
            </w:rPr>
          </w:pPr>
          <w:r>
            <w:fldChar w:fldCharType="begin"/>
          </w:r>
          <w:r>
            <w:instrText xml:space="preserve"> HYPERLINK \l "_Toc73610146" </w:instrText>
          </w:r>
          <w:r>
            <w:fldChar w:fldCharType="separate"/>
          </w:r>
          <w:r>
            <w:rPr>
              <w:rStyle w:val="57"/>
              <w:rFonts w:hint="eastAsia" w:ascii="仿宋_GB2312" w:eastAsia="仿宋_GB2312" w:hAnsiTheme="minorEastAsia"/>
              <w:sz w:val="24"/>
            </w:rPr>
            <w:t>2、政府采购优惠政策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_Toc73610146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80" w:lineRule="exact"/>
            <w:rPr>
              <w:rFonts w:ascii="仿宋_GB2312" w:eastAsia="仿宋_GB2312" w:hAnsiTheme="minorHAnsi" w:cstheme="minorBidi"/>
              <w:b w:val="0"/>
              <w:bCs w:val="0"/>
              <w:caps w:val="0"/>
              <w:sz w:val="24"/>
            </w:rPr>
          </w:pPr>
          <w:r>
            <w:fldChar w:fldCharType="begin"/>
          </w:r>
          <w:r>
            <w:instrText xml:space="preserve"> HYPERLINK \l "_Toc73610147"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_Toc73610147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80" w:lineRule="exact"/>
            <w:rPr>
              <w:rFonts w:ascii="仿宋_GB2312" w:eastAsia="仿宋_GB2312" w:hAnsiTheme="minorHAnsi" w:cstheme="minorBidi"/>
              <w:b w:val="0"/>
              <w:bCs w:val="0"/>
              <w:caps w:val="0"/>
              <w:sz w:val="24"/>
            </w:rPr>
          </w:pPr>
          <w:r>
            <w:fldChar w:fldCharType="begin"/>
          </w:r>
          <w:r>
            <w:instrText xml:space="preserve"> HYPERLINK \l "_Toc73610148"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_Toc73610148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"_Toc73610149"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_Toc73610149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"_Toc73610150"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_Toc73610150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"_Toc73610151"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_Toc73610151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"_Toc73610152"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_Toc73610152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"_Toc73610153"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_Toc73610153 \h </w:instrText>
          </w:r>
          <w:r>
            <w:rPr>
              <w:rFonts w:hint="eastAsia" w:ascii="仿宋_GB2312" w:eastAsia="仿宋_GB2312"/>
              <w:sz w:val="24"/>
            </w:rPr>
            <w:fldChar w:fldCharType="separate"/>
          </w:r>
          <w:r>
            <w:rPr>
              <w:rFonts w:hint="eastAsia"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"_Toc73610154"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_Toc73610154 \h </w:instrText>
          </w:r>
          <w:r>
            <w:rPr>
              <w:rFonts w:hint="eastAsia" w:ascii="仿宋_GB2312" w:eastAsia="仿宋_GB2312"/>
              <w:sz w:val="24"/>
            </w:rPr>
            <w:fldChar w:fldCharType="separate"/>
          </w:r>
          <w:r>
            <w:rPr>
              <w:rFonts w:hint="eastAsia" w:ascii="仿宋_GB2312" w:eastAsia="仿宋_GB2312"/>
              <w:sz w:val="24"/>
            </w:rPr>
            <w:t>29</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80" w:lineRule="exact"/>
            <w:rPr>
              <w:rFonts w:ascii="仿宋_GB2312" w:eastAsia="仿宋_GB2312" w:hAnsiTheme="minorHAnsi" w:cstheme="minorBidi"/>
              <w:b w:val="0"/>
              <w:bCs w:val="0"/>
              <w:caps w:val="0"/>
              <w:sz w:val="24"/>
            </w:rPr>
          </w:pPr>
          <w:r>
            <w:fldChar w:fldCharType="begin"/>
          </w:r>
          <w:r>
            <w:instrText xml:space="preserve"> HYPERLINK \l "_Toc73610155"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_Toc73610155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"_Toc73610156"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_Toc73610156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"_Toc73610157"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_Toc73610157 \h </w:instrText>
          </w:r>
          <w:r>
            <w:rPr>
              <w:rFonts w:hint="eastAsia" w:ascii="仿宋_GB2312" w:eastAsia="仿宋_GB2312"/>
              <w:sz w:val="24"/>
            </w:rPr>
            <w:fldChar w:fldCharType="separate"/>
          </w:r>
          <w:r>
            <w:rPr>
              <w:rFonts w:hint="eastAsia" w:ascii="仿宋_GB2312" w:eastAsia="仿宋_GB2312"/>
              <w:sz w:val="24"/>
            </w:rPr>
            <w:t>33</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80" w:lineRule="exact"/>
            <w:rPr>
              <w:rFonts w:ascii="仿宋_GB2312" w:eastAsia="仿宋_GB2312" w:hAnsiTheme="minorHAnsi" w:cstheme="minorBidi"/>
              <w:b w:val="0"/>
              <w:bCs w:val="0"/>
              <w:caps w:val="0"/>
              <w:sz w:val="24"/>
            </w:rPr>
          </w:pPr>
          <w:r>
            <w:fldChar w:fldCharType="begin"/>
          </w:r>
          <w:r>
            <w:instrText xml:space="preserve"> HYPERLINK \l "_Toc73610160"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_Toc73610160 \h </w:instrText>
          </w:r>
          <w:r>
            <w:rPr>
              <w:rFonts w:hint="eastAsia" w:ascii="仿宋_GB2312" w:eastAsia="仿宋_GB2312"/>
              <w:sz w:val="24"/>
            </w:rPr>
            <w:fldChar w:fldCharType="separate"/>
          </w:r>
          <w:r>
            <w:rPr>
              <w:rFonts w:hint="eastAsia" w:ascii="仿宋_GB2312" w:eastAsia="仿宋_GB2312"/>
              <w:sz w:val="24"/>
            </w:rPr>
            <w:t>57</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80" w:lineRule="exact"/>
            <w:rPr>
              <w:rFonts w:ascii="仿宋_GB2312" w:eastAsia="仿宋_GB2312" w:hAnsiTheme="minorHAnsi" w:cstheme="minorBidi"/>
              <w:b w:val="0"/>
              <w:bCs w:val="0"/>
              <w:caps w:val="0"/>
              <w:sz w:val="24"/>
            </w:rPr>
          </w:pPr>
          <w:r>
            <w:fldChar w:fldCharType="begin"/>
          </w:r>
          <w:r>
            <w:instrText xml:space="preserve"> HYPERLINK \l "_Toc73610161"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_Toc73610161 \h </w:instrText>
          </w:r>
          <w:r>
            <w:rPr>
              <w:rFonts w:hint="eastAsia" w:ascii="仿宋_GB2312" w:eastAsia="仿宋_GB2312"/>
              <w:sz w:val="24"/>
            </w:rPr>
            <w:fldChar w:fldCharType="separate"/>
          </w:r>
          <w:r>
            <w:rPr>
              <w:rFonts w:hint="eastAsia" w:ascii="仿宋_GB2312" w:eastAsia="仿宋_GB2312"/>
              <w:sz w:val="24"/>
            </w:rPr>
            <w:t>61</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iCs/>
              <w:sz w:val="24"/>
            </w:rPr>
          </w:pPr>
          <w:r>
            <w:fldChar w:fldCharType="begin"/>
          </w:r>
          <w:r>
            <w:instrText xml:space="preserve"> HYPERLINK \l "_Toc73610162"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_Toc73610162 \h </w:instrText>
          </w:r>
          <w:r>
            <w:rPr>
              <w:rFonts w:hint="eastAsia" w:ascii="仿宋_GB2312" w:eastAsia="仿宋_GB2312"/>
              <w:sz w:val="24"/>
            </w:rPr>
            <w:fldChar w:fldCharType="separate"/>
          </w:r>
          <w:r>
            <w:rPr>
              <w:rFonts w:hint="eastAsia" w:ascii="仿宋_GB2312" w:eastAsia="仿宋_GB2312"/>
              <w:sz w:val="24"/>
            </w:rPr>
            <w:t>61</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iCs/>
              <w:sz w:val="24"/>
            </w:rPr>
          </w:pPr>
          <w:r>
            <w:fldChar w:fldCharType="begin"/>
          </w:r>
          <w:r>
            <w:instrText xml:space="preserve"> HYPERLINK \l "_Toc73610163"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_Toc73610163 \h </w:instrText>
          </w:r>
          <w:r>
            <w:rPr>
              <w:rFonts w:hint="eastAsia" w:ascii="仿宋_GB2312" w:eastAsia="仿宋_GB2312"/>
              <w:sz w:val="24"/>
            </w:rPr>
            <w:fldChar w:fldCharType="separate"/>
          </w:r>
          <w:r>
            <w:rPr>
              <w:rFonts w:hint="eastAsia" w:ascii="仿宋_GB2312" w:eastAsia="仿宋_GB2312"/>
              <w:sz w:val="24"/>
            </w:rPr>
            <w:t>65</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iCs/>
              <w:sz w:val="24"/>
            </w:rPr>
          </w:pPr>
          <w:r>
            <w:fldChar w:fldCharType="begin"/>
          </w:r>
          <w:r>
            <w:instrText xml:space="preserve"> HYPERLINK \l "_Toc73610164" </w:instrText>
          </w:r>
          <w:r>
            <w:fldChar w:fldCharType="separate"/>
          </w:r>
          <w:r>
            <w:rPr>
              <w:rStyle w:val="57"/>
              <w:rFonts w:hint="eastAsia" w:ascii="仿宋_GB2312" w:eastAsia="仿宋_GB2312" w:hAnsiTheme="minorEastAsia"/>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_Toc73610164 \h </w:instrText>
          </w:r>
          <w:r>
            <w:rPr>
              <w:rFonts w:hint="eastAsia" w:ascii="仿宋_GB2312" w:eastAsia="仿宋_GB2312"/>
              <w:sz w:val="24"/>
            </w:rPr>
            <w:fldChar w:fldCharType="separate"/>
          </w:r>
          <w:r>
            <w:rPr>
              <w:rFonts w:hint="eastAsia" w:ascii="仿宋_GB2312" w:eastAsia="仿宋_GB2312"/>
              <w:sz w:val="24"/>
            </w:rPr>
            <w:t>68</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Theme="minorHAnsi" w:hAnsiTheme="minorHAnsi" w:eastAsiaTheme="minorEastAsia" w:cstheme="minorBidi"/>
              <w:iCs/>
              <w:szCs w:val="22"/>
            </w:rPr>
          </w:pPr>
          <w:r>
            <w:fldChar w:fldCharType="begin"/>
          </w:r>
          <w:r>
            <w:instrText xml:space="preserve"> HYPERLINK \l "_Toc73610165"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_Toc73610165 \h </w:instrText>
          </w:r>
          <w:r>
            <w:rPr>
              <w:rFonts w:hint="eastAsia" w:ascii="仿宋_GB2312" w:eastAsia="仿宋_GB2312"/>
              <w:sz w:val="24"/>
            </w:rPr>
            <w:fldChar w:fldCharType="separate"/>
          </w:r>
          <w:r>
            <w:rPr>
              <w:rFonts w:hint="eastAsia" w:ascii="仿宋_GB2312" w:eastAsia="仿宋_GB2312"/>
              <w:sz w:val="24"/>
            </w:rPr>
            <w:t>71</w:t>
          </w:r>
          <w:r>
            <w:rPr>
              <w:rFonts w:hint="eastAsia" w:ascii="仿宋_GB2312" w:eastAsia="仿宋_GB2312"/>
              <w:sz w:val="24"/>
            </w:rPr>
            <w:fldChar w:fldCharType="end"/>
          </w:r>
          <w:r>
            <w:rPr>
              <w:rFonts w:hint="eastAsia" w:ascii="仿宋_GB2312" w:eastAsia="仿宋_GB2312"/>
              <w:sz w:val="24"/>
            </w:rPr>
            <w:fldChar w:fldCharType="end"/>
          </w:r>
        </w:p>
        <w:p>
          <w:r>
            <w:fldChar w:fldCharType="end"/>
          </w:r>
        </w:p>
      </w:sdtContent>
    </w:sdt>
    <w:p>
      <w:pPr>
        <w:widowControl/>
        <w:jc w:val="left"/>
      </w:pPr>
      <w:r>
        <w:br w:type="page"/>
      </w:r>
    </w:p>
    <w:p/>
    <w:p>
      <w:pPr>
        <w:pStyle w:val="2"/>
      </w:pPr>
      <w:bookmarkStart w:id="0" w:name="_Toc73610135"/>
      <w:r>
        <w:rPr>
          <w:rFonts w:hint="eastAsia"/>
        </w:rPr>
        <w:t>第一章  投标邀请</w:t>
      </w:r>
      <w:bookmarkEnd w:id="0"/>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可视化角膜生物力学分析仪采购项目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2021年</w:t>
      </w:r>
      <w:r>
        <w:rPr>
          <w:rFonts w:hint="eastAsia" w:ascii="宋体" w:hAnsi="宋体" w:cs="Arial Unicode MS"/>
          <w:snapToGrid w:val="0"/>
          <w:kern w:val="0"/>
          <w:szCs w:val="21"/>
          <w:u w:val="single"/>
          <w:lang w:val="en-US" w:eastAsia="zh-CN"/>
        </w:rPr>
        <w:t>10</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14</w:t>
      </w:r>
      <w:r>
        <w:rPr>
          <w:rFonts w:hint="eastAsia" w:ascii="宋体" w:hAnsi="宋体" w:cs="Arial Unicode MS"/>
          <w:snapToGrid w:val="0"/>
          <w:kern w:val="0"/>
          <w:szCs w:val="21"/>
          <w:u w:val="single"/>
        </w:rPr>
        <w:t>日14点30分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pPr>
        <w:adjustRightInd w:val="0"/>
        <w:snapToGrid w:val="0"/>
        <w:spacing w:line="360" w:lineRule="auto"/>
        <w:ind w:firstLine="420" w:firstLineChars="200"/>
        <w:jc w:val="left"/>
        <w:rPr>
          <w:rFonts w:ascii="宋体" w:hAnsi="宋体" w:cs="Arial Unicode MS"/>
          <w:snapToGrid w:val="0"/>
          <w:kern w:val="0"/>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pPr>
        <w:pStyle w:val="453"/>
        <w:adjustRightInd w:val="0"/>
        <w:snapToGrid w:val="0"/>
        <w:spacing w:before="0" w:beforeAutospacing="0" w:after="0" w:afterAutospacing="0" w:line="360" w:lineRule="auto"/>
        <w:ind w:left="359" w:leftChars="171" w:firstLine="65" w:firstLineChars="31"/>
        <w:rPr>
          <w:rFonts w:hint="default" w:ascii="宋体" w:hAnsi="宋体" w:eastAsiaTheme="minorEastAsia"/>
          <w:b/>
          <w:snapToGrid w:val="0"/>
          <w:color w:val="auto"/>
          <w:sz w:val="21"/>
          <w:szCs w:val="21"/>
          <w:lang w:val="en-US" w:eastAsia="zh-CN"/>
        </w:rPr>
      </w:pPr>
      <w:r>
        <w:rPr>
          <w:rFonts w:hint="eastAsia" w:ascii="宋体" w:hAnsi="宋体" w:eastAsia="宋体"/>
          <w:snapToGrid w:val="0"/>
          <w:color w:val="auto"/>
          <w:sz w:val="21"/>
          <w:szCs w:val="21"/>
        </w:rPr>
        <w:t>1、项目编号：</w:t>
      </w:r>
      <w:r>
        <w:rPr>
          <w:rFonts w:hint="eastAsia" w:asciiTheme="minorEastAsia" w:hAnsiTheme="minorEastAsia" w:eastAsiaTheme="minorEastAsia"/>
          <w:sz w:val="21"/>
          <w:szCs w:val="21"/>
        </w:rPr>
        <w:t>SZZZ2021-QA0</w:t>
      </w:r>
      <w:r>
        <w:rPr>
          <w:rFonts w:hint="eastAsia" w:asciiTheme="minorEastAsia" w:hAnsiTheme="minorEastAsia" w:eastAsiaTheme="minorEastAsia"/>
          <w:sz w:val="21"/>
          <w:szCs w:val="21"/>
          <w:lang w:val="en-US" w:eastAsia="zh-CN"/>
        </w:rPr>
        <w:t>181</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2、项目名称：可视化角膜生物力学分析仪采购项目</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u w:val="single"/>
        </w:rPr>
        <w:t xml:space="preserve"> </w:t>
      </w:r>
      <w:r>
        <w:rPr>
          <w:rFonts w:hint="eastAsia" w:ascii="宋体" w:hAnsi="宋体" w:eastAsia="宋体"/>
          <w:snapToGrid w:val="0"/>
          <w:color w:val="auto"/>
          <w:sz w:val="21"/>
          <w:szCs w:val="21"/>
          <w:u w:val="single"/>
          <w:lang w:val="en-US" w:eastAsia="zh-CN"/>
        </w:rPr>
        <w:t>90</w:t>
      </w:r>
      <w:r>
        <w:rPr>
          <w:rFonts w:hint="eastAsia" w:ascii="宋体" w:hAnsi="宋体" w:eastAsia="宋体"/>
          <w:snapToGrid w:val="0"/>
          <w:color w:val="auto"/>
          <w:sz w:val="21"/>
          <w:szCs w:val="21"/>
        </w:rPr>
        <w:t>万元</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u w:val="single"/>
          <w:lang w:val="en-US" w:eastAsia="zh-CN"/>
        </w:rPr>
        <w:t>90</w:t>
      </w:r>
      <w:r>
        <w:rPr>
          <w:rFonts w:hint="eastAsia" w:ascii="宋体" w:hAnsi="宋体" w:eastAsia="宋体"/>
          <w:snapToGrid w:val="0"/>
          <w:color w:val="auto"/>
          <w:sz w:val="21"/>
          <w:szCs w:val="21"/>
          <w:u w:val="single"/>
        </w:rPr>
        <w:t xml:space="preserve"> </w:t>
      </w:r>
      <w:r>
        <w:rPr>
          <w:rFonts w:hint="eastAsia" w:ascii="宋体" w:hAnsi="宋体" w:eastAsia="宋体"/>
          <w:snapToGrid w:val="0"/>
          <w:color w:val="auto"/>
          <w:sz w:val="21"/>
          <w:szCs w:val="21"/>
        </w:rPr>
        <w:t>万元</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08"/>
        <w:gridCol w:w="3120"/>
        <w:gridCol w:w="779"/>
        <w:gridCol w:w="779"/>
        <w:gridCol w:w="326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BCDEF"/>
            <w:vAlign w:val="center"/>
          </w:tcPr>
          <w:p>
            <w:pPr>
              <w:pStyle w:val="45"/>
              <w:spacing w:before="0" w:beforeAutospacing="0" w:after="0" w:afterAutospacing="0" w:line="360" w:lineRule="auto"/>
              <w:jc w:val="center"/>
              <w:rPr>
                <w:sz w:val="21"/>
              </w:rPr>
            </w:pPr>
            <w:r>
              <w:rPr>
                <w:rFonts w:hint="eastAsia"/>
                <w:sz w:val="21"/>
              </w:rPr>
              <w:t>序号</w:t>
            </w:r>
          </w:p>
        </w:tc>
        <w:tc>
          <w:tcPr>
            <w:tcW w:w="3120" w:type="dxa"/>
            <w:shd w:val="clear" w:color="auto" w:fill="ABCDEF"/>
            <w:vAlign w:val="center"/>
          </w:tcPr>
          <w:p>
            <w:pPr>
              <w:pStyle w:val="45"/>
              <w:spacing w:line="360" w:lineRule="auto"/>
              <w:jc w:val="center"/>
              <w:rPr>
                <w:sz w:val="21"/>
              </w:rPr>
            </w:pPr>
            <w:r>
              <w:rPr>
                <w:sz w:val="21"/>
              </w:rPr>
              <w:t>标的名称</w:t>
            </w:r>
          </w:p>
        </w:tc>
        <w:tc>
          <w:tcPr>
            <w:tcW w:w="779" w:type="dxa"/>
            <w:shd w:val="clear" w:color="auto" w:fill="ABCDEF"/>
            <w:vAlign w:val="center"/>
          </w:tcPr>
          <w:p>
            <w:pPr>
              <w:pStyle w:val="45"/>
              <w:spacing w:before="0" w:beforeAutospacing="0" w:after="0" w:afterAutospacing="0" w:line="360" w:lineRule="auto"/>
              <w:jc w:val="center"/>
              <w:rPr>
                <w:sz w:val="21"/>
              </w:rPr>
            </w:pPr>
            <w:r>
              <w:rPr>
                <w:sz w:val="21"/>
              </w:rPr>
              <w:t>数量</w:t>
            </w:r>
          </w:p>
        </w:tc>
        <w:tc>
          <w:tcPr>
            <w:tcW w:w="779" w:type="dxa"/>
            <w:shd w:val="clear" w:color="auto" w:fill="ABCDEF"/>
            <w:vAlign w:val="center"/>
          </w:tcPr>
          <w:p>
            <w:pPr>
              <w:pStyle w:val="45"/>
              <w:spacing w:before="0" w:beforeAutospacing="0" w:after="0" w:afterAutospacing="0" w:line="360" w:lineRule="auto"/>
              <w:jc w:val="center"/>
              <w:rPr>
                <w:sz w:val="21"/>
              </w:rPr>
            </w:pPr>
            <w:r>
              <w:rPr>
                <w:sz w:val="21"/>
              </w:rPr>
              <w:t>单位</w:t>
            </w:r>
          </w:p>
        </w:tc>
        <w:tc>
          <w:tcPr>
            <w:tcW w:w="3261" w:type="dxa"/>
            <w:shd w:val="clear" w:color="auto" w:fill="ABCDEF"/>
            <w:vAlign w:val="center"/>
          </w:tcPr>
          <w:p>
            <w:pPr>
              <w:pStyle w:val="45"/>
              <w:spacing w:before="0" w:beforeAutospacing="0" w:after="0" w:afterAutospacing="0" w:line="360" w:lineRule="auto"/>
              <w:jc w:val="center"/>
              <w:rPr>
                <w:sz w:val="21"/>
              </w:rPr>
            </w:pPr>
            <w:r>
              <w:rPr>
                <w:rFonts w:hint="eastAsia"/>
                <w:sz w:val="21"/>
              </w:rPr>
              <w:t>简要技术需求或服务要求</w:t>
            </w:r>
          </w:p>
        </w:tc>
        <w:tc>
          <w:tcPr>
            <w:tcW w:w="1134" w:type="dxa"/>
            <w:shd w:val="clear" w:color="auto" w:fill="ABCDEF"/>
            <w:vAlign w:val="center"/>
          </w:tcPr>
          <w:p>
            <w:pPr>
              <w:pStyle w:val="45"/>
              <w:spacing w:before="0" w:beforeAutospacing="0" w:after="0" w:afterAutospacing="0" w:line="360" w:lineRule="auto"/>
              <w:jc w:val="center"/>
              <w:rPr>
                <w:sz w:val="21"/>
              </w:rPr>
            </w:pPr>
            <w:r>
              <w:rPr>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3120" w:type="dxa"/>
            <w:shd w:val="clear" w:color="auto" w:fill="auto"/>
            <w:vAlign w:val="center"/>
          </w:tcPr>
          <w:p>
            <w:pPr>
              <w:pStyle w:val="45"/>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可视化角膜生物力学分析仪</w:t>
            </w:r>
          </w:p>
        </w:tc>
        <w:tc>
          <w:tcPr>
            <w:tcW w:w="779" w:type="dxa"/>
            <w:shd w:val="clear" w:color="auto" w:fill="auto"/>
            <w:vAlign w:val="center"/>
          </w:tcPr>
          <w:p>
            <w:pPr>
              <w:pStyle w:val="45"/>
              <w:spacing w:before="0" w:beforeAutospacing="0" w:after="0" w:afterAutospacing="0" w:line="360" w:lineRule="auto"/>
              <w:jc w:val="center"/>
              <w:rPr>
                <w:rFonts w:hint="eastAsia" w:asciiTheme="minorEastAsia" w:hAnsiTheme="minorEastAsia" w:eastAsiaTheme="minorEastAsia"/>
                <w:sz w:val="21"/>
                <w:szCs w:val="21"/>
                <w:lang w:eastAsia="zh-CN"/>
              </w:rPr>
            </w:pPr>
            <w:r>
              <w:rPr>
                <w:rFonts w:hint="eastAsia" w:ascii="宋体" w:hAnsi="宋体" w:cs="宋体" w:eastAsiaTheme="minorEastAsia"/>
                <w:sz w:val="21"/>
                <w:szCs w:val="21"/>
                <w:lang w:val="en-US" w:eastAsia="zh-CN"/>
              </w:rPr>
              <w:t>1</w:t>
            </w:r>
          </w:p>
        </w:tc>
        <w:tc>
          <w:tcPr>
            <w:tcW w:w="779" w:type="dxa"/>
            <w:shd w:val="clear" w:color="auto" w:fill="auto"/>
            <w:vAlign w:val="center"/>
          </w:tcPr>
          <w:p>
            <w:pPr>
              <w:pStyle w:val="45"/>
              <w:spacing w:before="0" w:beforeAutospacing="0" w:after="0" w:afterAutospacing="0" w:line="360" w:lineRule="auto"/>
              <w:jc w:val="center"/>
              <w:rPr>
                <w:rFonts w:hint="eastAsia" w:asciiTheme="minorEastAsia" w:hAnsiTheme="minorEastAsia" w:eastAsiaTheme="minorEastAsia"/>
                <w:sz w:val="21"/>
                <w:szCs w:val="21"/>
                <w:lang w:eastAsia="zh-CN"/>
              </w:rPr>
            </w:pPr>
            <w:r>
              <w:rPr>
                <w:rFonts w:hint="eastAsia" w:ascii="宋体" w:hAnsi="宋体" w:cs="宋体" w:eastAsiaTheme="minorEastAsia"/>
                <w:sz w:val="21"/>
                <w:szCs w:val="21"/>
                <w:lang w:val="en-US" w:eastAsia="zh-CN"/>
              </w:rPr>
              <w:t>台</w:t>
            </w:r>
          </w:p>
        </w:tc>
        <w:tc>
          <w:tcPr>
            <w:tcW w:w="3261" w:type="dxa"/>
            <w:shd w:val="clear" w:color="auto" w:fill="auto"/>
            <w:vAlign w:val="center"/>
          </w:tcPr>
          <w:p>
            <w:pPr>
              <w:pStyle w:val="45"/>
              <w:spacing w:line="360" w:lineRule="auto"/>
              <w:jc w:val="center"/>
              <w:rPr>
                <w:rFonts w:hint="eastAsia" w:asciiTheme="minorEastAsia" w:hAnsiTheme="minorEastAsia" w:eastAsiaTheme="minorEastAsia"/>
                <w:sz w:val="21"/>
                <w:lang w:val="en-US" w:eastAsia="zh-CN"/>
              </w:rPr>
            </w:pPr>
            <w:r>
              <w:rPr>
                <w:rFonts w:hint="eastAsia" w:asciiTheme="minorEastAsia" w:hAnsiTheme="minorEastAsia" w:eastAsiaTheme="minorEastAsia"/>
                <w:sz w:val="21"/>
              </w:rPr>
              <w:t>角膜病科</w:t>
            </w:r>
            <w:r>
              <w:rPr>
                <w:rFonts w:hint="eastAsia" w:asciiTheme="minorEastAsia" w:hAnsiTheme="minorEastAsia" w:eastAsiaTheme="minorEastAsia"/>
                <w:sz w:val="21"/>
                <w:lang w:val="en-US" w:eastAsia="zh-CN"/>
              </w:rPr>
              <w:t>使用</w:t>
            </w:r>
          </w:p>
        </w:tc>
        <w:tc>
          <w:tcPr>
            <w:tcW w:w="1134" w:type="dxa"/>
            <w:shd w:val="clear" w:color="auto" w:fill="auto"/>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接受进口</w:t>
            </w:r>
          </w:p>
        </w:tc>
      </w:tr>
    </w:tbl>
    <w:p>
      <w:pPr>
        <w:pStyle w:val="453"/>
        <w:adjustRightInd w:val="0"/>
        <w:snapToGrid w:val="0"/>
        <w:spacing w:beforeLines="50" w:beforeAutospacing="0" w:after="0" w:afterAutospacing="0" w:line="360" w:lineRule="auto"/>
        <w:ind w:firstLine="422" w:firstLineChars="201"/>
        <w:rPr>
          <w:rFonts w:hint="default" w:ascii="宋体" w:hAnsi="宋体" w:eastAsia="宋体"/>
          <w:snapToGrid w:val="0"/>
          <w:color w:val="auto"/>
          <w:sz w:val="21"/>
          <w:szCs w:val="21"/>
          <w:lang w:val="en-US" w:eastAsia="zh-CN"/>
        </w:rPr>
      </w:pPr>
      <w:r>
        <w:rPr>
          <w:rFonts w:hint="eastAsia" w:ascii="宋体" w:hAnsi="宋体" w:eastAsia="宋体"/>
          <w:snapToGrid w:val="0"/>
          <w:color w:val="auto"/>
          <w:sz w:val="21"/>
          <w:szCs w:val="21"/>
        </w:rPr>
        <w:t>7、合同履行期限：</w:t>
      </w:r>
      <w:r>
        <w:rPr>
          <w:rFonts w:hint="eastAsia" w:ascii="宋体" w:hAnsi="宋体" w:eastAsia="宋体"/>
          <w:snapToGrid w:val="0"/>
          <w:color w:val="auto"/>
          <w:sz w:val="21"/>
          <w:szCs w:val="21"/>
          <w:lang w:val="en-US" w:eastAsia="zh-CN"/>
        </w:rPr>
        <w:t>45天</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（1）参与本项目投标前三年内，在经营活动中没有重大违法记录（须按本项目投标文件格式要求提供《政府采购投标及履约承诺函》加盖投标人公章）；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单位负责人为同一人或者存在直接控股、管理关系的不同供应商，不得参加同一合同项下的政府采购活动（须按本项目投标文件格式要求提供《股东构成审查表》和《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投标人未被列入失信被执行人、重大税收违法案件当事人名单及政府采购严重违法失信行为记录名单（“信用中国”（www.creditchina.gov.cn）“信用服务”栏的“重大税收违法案件当事人名单”、“失信被执行人”，“中国政府采购”（www.ccgp.gov.cn）“政府采购严重违法失信行为记录名单”，“深圳信用网”（www.szcredit.com.cn）以及“深圳市政府采购监管网”（zfcg.sz.gov.cn）为投标人信用信息查询渠道，相关信息以开标当日的查询结果为准。由招标代理机构查询，投标人无需提供证明材料）；</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（5）本项目不接受联合体投标，不允许分包或转包；</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（6）本项目接受进口产品</w:t>
      </w:r>
      <w:r>
        <w:rPr>
          <w:rFonts w:hint="eastAsia" w:asciiTheme="minorEastAsia" w:hAnsiTheme="minorEastAsia" w:eastAsiaTheme="minorEastAsia"/>
          <w:snapToGrid w:val="0"/>
          <w:color w:val="auto"/>
          <w:sz w:val="21"/>
          <w:lang w:val="en-US" w:eastAsia="zh-CN"/>
        </w:rPr>
        <w:t>但不排斥国产产品参与</w:t>
      </w:r>
      <w:r>
        <w:rPr>
          <w:rFonts w:hint="eastAsia" w:asciiTheme="minorEastAsia" w:hAnsiTheme="minorEastAsia" w:eastAsiaTheme="minorEastAsia"/>
          <w:snapToGrid w:val="0"/>
          <w:color w:val="auto"/>
          <w:sz w:val="21"/>
        </w:rPr>
        <w:t>投标（进口产品是指通过中国海关报关验放进入中国境内且产自关境外的产品，相关内容以“财库【2007】119号文”和“财办库【2008】248号文”的相关规定为准）。</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2021年</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28</w:t>
      </w:r>
      <w:r>
        <w:rPr>
          <w:rFonts w:hint="eastAsia" w:ascii="宋体" w:hAnsi="宋体" w:eastAsia="宋体"/>
          <w:snapToGrid w:val="0"/>
          <w:color w:val="auto"/>
          <w:sz w:val="21"/>
          <w:szCs w:val="21"/>
          <w:u w:val="single"/>
        </w:rPr>
        <w:t>日至2021年</w:t>
      </w:r>
      <w:r>
        <w:rPr>
          <w:rFonts w:hint="eastAsia" w:ascii="宋体" w:hAnsi="宋体" w:eastAsia="宋体"/>
          <w:snapToGrid w:val="0"/>
          <w:color w:val="auto"/>
          <w:sz w:val="21"/>
          <w:szCs w:val="21"/>
          <w:u w:val="single"/>
          <w:lang w:val="en-US" w:eastAsia="zh-CN"/>
        </w:rPr>
        <w:t>10</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12</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 xml:space="preserve">深圳市福田区民田路171号新华保险大厦903 </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3、方式：</w:t>
      </w:r>
      <w:r>
        <w:rPr>
          <w:rFonts w:ascii="宋体" w:hAnsi="宋体" w:eastAsia="宋体"/>
          <w:snapToGrid w:val="0"/>
          <w:color w:val="auto"/>
          <w:sz w:val="21"/>
          <w:szCs w:val="21"/>
        </w:rPr>
        <w:t xml:space="preserve"> </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（1）现场获取：投标人按以上时间和地点在我司现场报名和获取招标文件。</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（2）线上获取：投标人通过邮件报名及获取招标文件，报名时间以我司邮箱收件时间为准（我司邮箱：qtszzzzb@163.com），逾期不予受理。</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 xml:space="preserve">现场及线上报名均需提供以下资料: </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1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①</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加盖公章的《购买标书登记表》（下载地址：www.szzzt.com 首页“下载中心”）；</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2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②</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加盖公章的营业执照复印件或扫描件；</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3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③</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加盖公章的法人授权委托书复印件或扫描件；</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4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④</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购买招标文件费用的银行转账凭证。</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开户银行：上海银行深圳分行天安支行</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2021年</w:t>
      </w:r>
      <w:r>
        <w:rPr>
          <w:rFonts w:hint="eastAsia" w:ascii="宋体" w:hAnsi="宋体" w:eastAsia="宋体"/>
          <w:snapToGrid w:val="0"/>
          <w:color w:val="auto"/>
          <w:sz w:val="21"/>
          <w:szCs w:val="21"/>
          <w:u w:val="single"/>
          <w:lang w:val="en-US" w:eastAsia="zh-CN"/>
        </w:rPr>
        <w:t>10</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14</w:t>
      </w:r>
      <w:r>
        <w:rPr>
          <w:rFonts w:hint="eastAsia" w:ascii="宋体" w:hAnsi="宋体" w:eastAsia="宋体"/>
          <w:snapToGrid w:val="0"/>
          <w:color w:val="auto"/>
          <w:sz w:val="21"/>
          <w:szCs w:val="21"/>
          <w:u w:val="single"/>
        </w:rPr>
        <w:t>日14点30分（北京时间）</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pPr>
        <w:pStyle w:val="453"/>
        <w:adjustRightInd w:val="0"/>
        <w:snapToGrid w:val="0"/>
        <w:spacing w:before="0" w:beforeAutospacing="0" w:after="0" w:afterAutospacing="0" w:line="360" w:lineRule="auto"/>
        <w:ind w:firstLine="426" w:firstLineChars="202"/>
        <w:rPr>
          <w:rFonts w:ascii="宋体" w:hAnsi="宋体" w:eastAsia="宋体"/>
          <w:b/>
          <w:snapToGrid w:val="0"/>
          <w:color w:val="auto"/>
          <w:sz w:val="21"/>
          <w:szCs w:val="21"/>
        </w:rPr>
      </w:pPr>
      <w:r>
        <w:rPr>
          <w:rFonts w:hint="eastAsia" w:ascii="宋体" w:hAnsi="宋体" w:eastAsia="宋体"/>
          <w:b/>
          <w:snapToGrid w:val="0"/>
          <w:color w:val="auto"/>
          <w:sz w:val="21"/>
          <w:szCs w:val="21"/>
        </w:rPr>
        <w:t>1、凡参与深圳市政府采购活动的供应商，应自行在深圳公共资源交易中心网站上办理注册（注册网址：</w:t>
      </w:r>
      <w:r>
        <w:rPr>
          <w:rFonts w:asciiTheme="minorEastAsia" w:hAnsiTheme="minorEastAsia" w:eastAsiaTheme="minorEastAsia"/>
          <w:b/>
          <w:snapToGrid w:val="0"/>
          <w:color w:val="auto"/>
          <w:sz w:val="21"/>
        </w:rPr>
        <w:t>www.szzfcg.cn</w:t>
      </w:r>
      <w:r>
        <w:rPr>
          <w:rFonts w:hint="eastAsia" w:ascii="宋体" w:hAnsi="宋体" w:eastAsia="宋体"/>
          <w:b/>
          <w:snapToGrid w:val="0"/>
          <w:color w:val="auto"/>
          <w:sz w:val="21"/>
          <w:szCs w:val="21"/>
        </w:rPr>
        <w:t>）。</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2、本项目需要落实的政府采购政策：《财政部 工业和信息化部关于印发&lt;政府采购促进中小企业发展管理办法&gt;的通知》(财库〔2020〕46号)、《关于政府采购支持监狱企业发展有关问题的通知》</w:t>
      </w:r>
      <w:r>
        <w:rPr>
          <w:rFonts w:ascii="宋体" w:hAnsi="宋体" w:eastAsia="宋体"/>
          <w:snapToGrid w:val="0"/>
          <w:color w:val="auto"/>
          <w:sz w:val="21"/>
          <w:szCs w:val="21"/>
        </w:rPr>
        <w:t>(</w:t>
      </w:r>
      <w:r>
        <w:rPr>
          <w:rFonts w:hint="eastAsia" w:ascii="宋体" w:hAnsi="宋体" w:eastAsia="宋体"/>
          <w:snapToGrid w:val="0"/>
          <w:color w:val="auto"/>
          <w:sz w:val="21"/>
          <w:szCs w:val="21"/>
        </w:rPr>
        <w:t>财库〔</w:t>
      </w:r>
      <w:r>
        <w:rPr>
          <w:rFonts w:ascii="宋体" w:hAnsi="宋体" w:eastAsia="宋体"/>
          <w:snapToGrid w:val="0"/>
          <w:color w:val="auto"/>
          <w:sz w:val="21"/>
          <w:szCs w:val="21"/>
        </w:rPr>
        <w:t>2014</w:t>
      </w:r>
      <w:r>
        <w:rPr>
          <w:rFonts w:hint="eastAsia" w:ascii="宋体" w:hAnsi="宋体" w:eastAsia="宋体"/>
          <w:snapToGrid w:val="0"/>
          <w:color w:val="auto"/>
          <w:sz w:val="21"/>
          <w:szCs w:val="21"/>
        </w:rPr>
        <w:t>〕</w:t>
      </w:r>
      <w:r>
        <w:rPr>
          <w:rFonts w:ascii="宋体" w:hAnsi="宋体" w:eastAsia="宋体"/>
          <w:snapToGrid w:val="0"/>
          <w:color w:val="auto"/>
          <w:sz w:val="21"/>
          <w:szCs w:val="21"/>
        </w:rPr>
        <w:t>68</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、《关于促进残疾人就业政府采购政策的通知》（财库〔</w:t>
      </w:r>
      <w:r>
        <w:rPr>
          <w:rFonts w:ascii="宋体" w:hAnsi="宋体" w:eastAsia="宋体"/>
          <w:snapToGrid w:val="0"/>
          <w:color w:val="auto"/>
          <w:sz w:val="21"/>
          <w:szCs w:val="21"/>
        </w:rPr>
        <w:t>2017</w:t>
      </w:r>
      <w:r>
        <w:rPr>
          <w:rFonts w:hint="eastAsia" w:ascii="宋体" w:hAnsi="宋体" w:eastAsia="宋体"/>
          <w:snapToGrid w:val="0"/>
          <w:color w:val="auto"/>
          <w:sz w:val="21"/>
          <w:szCs w:val="21"/>
        </w:rPr>
        <w:t>〕</w:t>
      </w:r>
      <w:r>
        <w:rPr>
          <w:rFonts w:ascii="宋体" w:hAnsi="宋体" w:eastAsia="宋体"/>
          <w:snapToGrid w:val="0"/>
          <w:color w:val="auto"/>
          <w:sz w:val="21"/>
          <w:szCs w:val="21"/>
        </w:rPr>
        <w:t>141</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、《关于环境标志产品政府采购实施的意见》（财库〔</w:t>
      </w:r>
      <w:r>
        <w:rPr>
          <w:rFonts w:ascii="宋体" w:hAnsi="宋体" w:eastAsia="宋体"/>
          <w:snapToGrid w:val="0"/>
          <w:color w:val="auto"/>
          <w:sz w:val="21"/>
          <w:szCs w:val="21"/>
        </w:rPr>
        <w:t>2006</w:t>
      </w:r>
      <w:r>
        <w:rPr>
          <w:rFonts w:hint="eastAsia" w:ascii="宋体" w:hAnsi="宋体" w:eastAsia="宋体"/>
          <w:snapToGrid w:val="0"/>
          <w:color w:val="auto"/>
          <w:sz w:val="21"/>
          <w:szCs w:val="21"/>
        </w:rPr>
        <w:t>〕</w:t>
      </w:r>
      <w:r>
        <w:rPr>
          <w:rFonts w:ascii="宋体" w:hAnsi="宋体" w:eastAsia="宋体"/>
          <w:snapToGrid w:val="0"/>
          <w:color w:val="auto"/>
          <w:sz w:val="21"/>
          <w:szCs w:val="21"/>
        </w:rPr>
        <w:t>90</w:t>
      </w:r>
      <w:r>
        <w:rPr>
          <w:rFonts w:hint="eastAsia" w:ascii="宋体" w:hAnsi="宋体" w:eastAsia="宋体"/>
          <w:snapToGrid w:val="0"/>
          <w:color w:val="auto"/>
          <w:sz w:val="21"/>
          <w:szCs w:val="21"/>
        </w:rPr>
        <w:t>号）、《节能产品政府采购实施意见》的通知（财库〔</w:t>
      </w:r>
      <w:r>
        <w:rPr>
          <w:rFonts w:ascii="宋体" w:hAnsi="宋体" w:eastAsia="宋体"/>
          <w:snapToGrid w:val="0"/>
          <w:color w:val="auto"/>
          <w:sz w:val="21"/>
          <w:szCs w:val="21"/>
        </w:rPr>
        <w:t>2004</w:t>
      </w:r>
      <w:r>
        <w:rPr>
          <w:rFonts w:hint="eastAsia" w:ascii="宋体" w:hAnsi="宋体" w:eastAsia="宋体"/>
          <w:snapToGrid w:val="0"/>
          <w:color w:val="auto"/>
          <w:sz w:val="21"/>
          <w:szCs w:val="21"/>
        </w:rPr>
        <w:t>〕</w:t>
      </w:r>
      <w:r>
        <w:rPr>
          <w:rFonts w:ascii="宋体" w:hAnsi="宋体" w:eastAsia="宋体"/>
          <w:snapToGrid w:val="0"/>
          <w:color w:val="auto"/>
          <w:sz w:val="21"/>
          <w:szCs w:val="21"/>
        </w:rPr>
        <w:t>185</w:t>
      </w:r>
      <w:r>
        <w:rPr>
          <w:rFonts w:hint="eastAsia" w:ascii="宋体" w:hAnsi="宋体" w:eastAsia="宋体"/>
          <w:snapToGrid w:val="0"/>
          <w:color w:val="auto"/>
          <w:sz w:val="21"/>
          <w:szCs w:val="21"/>
        </w:rPr>
        <w:t>号）、《关于调整优化节能产品、环境标志产品政府采购执行机制的通知》（财库〔</w:t>
      </w:r>
      <w:r>
        <w:rPr>
          <w:rFonts w:ascii="宋体" w:hAnsi="宋体" w:eastAsia="宋体"/>
          <w:snapToGrid w:val="0"/>
          <w:color w:val="auto"/>
          <w:sz w:val="21"/>
          <w:szCs w:val="21"/>
        </w:rPr>
        <w:t>2019</w:t>
      </w:r>
      <w:r>
        <w:rPr>
          <w:rFonts w:hint="eastAsia" w:ascii="宋体" w:hAnsi="宋体" w:eastAsia="宋体"/>
          <w:snapToGrid w:val="0"/>
          <w:color w:val="auto"/>
          <w:sz w:val="21"/>
          <w:szCs w:val="21"/>
        </w:rPr>
        <w:t>〕</w:t>
      </w:r>
      <w:r>
        <w:rPr>
          <w:rFonts w:ascii="宋体" w:hAnsi="宋体" w:eastAsia="宋体"/>
          <w:snapToGrid w:val="0"/>
          <w:color w:val="auto"/>
          <w:sz w:val="21"/>
          <w:szCs w:val="21"/>
        </w:rPr>
        <w:t>9</w:t>
      </w:r>
      <w:r>
        <w:rPr>
          <w:rFonts w:hint="eastAsia" w:ascii="宋体" w:hAnsi="宋体" w:eastAsia="宋体"/>
          <w:snapToGrid w:val="0"/>
          <w:color w:val="auto"/>
          <w:sz w:val="21"/>
          <w:szCs w:val="21"/>
        </w:rPr>
        <w:t>号）。</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3、本项目相关公告在以下媒体发布：</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1）中国政府采购网（www.ccgp.gov.cn）；</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2）深圳公共资源交易中心网站（www.szzfcg.cn）；</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3）深圳市中正招标网（</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名称：深圳市眼科医院</w:t>
      </w:r>
    </w:p>
    <w:p>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地址：深圳市福田区泽田路18号</w:t>
      </w:r>
    </w:p>
    <w:p>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苏小姐</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2、招标代理机构信息</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李工</w:t>
      </w:r>
      <w:r>
        <w:rPr>
          <w:rFonts w:hint="eastAsia" w:ascii="宋体" w:hAnsi="宋体" w:eastAsia="宋体"/>
          <w:snapToGrid w:val="0"/>
          <w:color w:val="auto"/>
          <w:sz w:val="21"/>
          <w:szCs w:val="21"/>
        </w:rPr>
        <w:t>，0755-83026699</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李工</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联系电话：0755-83026699</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rFonts w:ascii="宋体" w:hAnsi="宋体"/>
          <w:snapToGrid w:val="0"/>
          <w:kern w:val="0"/>
          <w:sz w:val="24"/>
        </w:rPr>
      </w:pPr>
      <w:r>
        <w:rPr>
          <w:rFonts w:ascii="宋体" w:hAnsi="宋体"/>
          <w:snapToGrid w:val="0"/>
          <w:kern w:val="0"/>
          <w:sz w:val="24"/>
        </w:rPr>
        <w:t>202</w:t>
      </w:r>
      <w:r>
        <w:rPr>
          <w:rFonts w:hint="eastAsia" w:ascii="宋体" w:hAnsi="宋体"/>
          <w:snapToGrid w:val="0"/>
          <w:kern w:val="0"/>
          <w:sz w:val="24"/>
        </w:rPr>
        <w:t>1</w:t>
      </w:r>
      <w:r>
        <w:rPr>
          <w:rFonts w:ascii="宋体" w:hAnsi="宋体"/>
          <w:snapToGrid w:val="0"/>
          <w:kern w:val="0"/>
          <w:sz w:val="24"/>
        </w:rPr>
        <w:t>年</w:t>
      </w:r>
      <w:r>
        <w:rPr>
          <w:rFonts w:hint="eastAsia" w:ascii="宋体" w:hAnsi="宋体"/>
          <w:snapToGrid w:val="0"/>
          <w:kern w:val="0"/>
          <w:sz w:val="24"/>
          <w:lang w:val="en-US" w:eastAsia="zh-CN"/>
        </w:rPr>
        <w:t>09</w:t>
      </w:r>
      <w:r>
        <w:rPr>
          <w:rFonts w:ascii="宋体" w:hAnsi="宋体"/>
          <w:snapToGrid w:val="0"/>
          <w:kern w:val="0"/>
          <w:sz w:val="24"/>
        </w:rPr>
        <w:t>月</w:t>
      </w:r>
      <w:r>
        <w:rPr>
          <w:rFonts w:hint="eastAsia" w:ascii="宋体" w:hAnsi="宋体"/>
          <w:snapToGrid w:val="0"/>
          <w:kern w:val="0"/>
          <w:sz w:val="24"/>
          <w:lang w:val="en-US" w:eastAsia="zh-CN"/>
        </w:rPr>
        <w:t>28</w:t>
      </w:r>
      <w:r>
        <w:rPr>
          <w:rFonts w:hint="eastAsia" w:ascii="宋体" w:hAnsi="宋体"/>
          <w:snapToGrid w:val="0"/>
          <w:kern w:val="0"/>
          <w:sz w:val="24"/>
        </w:rPr>
        <w:t>日</w:t>
      </w:r>
    </w:p>
    <w:p>
      <w:pPr>
        <w:pStyle w:val="2"/>
        <w:spacing w:line="240" w:lineRule="auto"/>
        <w:rPr>
          <w:sz w:val="21"/>
          <w:szCs w:val="21"/>
        </w:rPr>
      </w:pPr>
    </w:p>
    <w:p>
      <w:pPr>
        <w:pStyle w:val="2"/>
      </w:pPr>
      <w:bookmarkStart w:id="1" w:name="_Toc73610136"/>
      <w:r>
        <w:rPr>
          <w:rFonts w:hint="eastAsia"/>
        </w:rPr>
        <w:t>第二章  项目需求</w:t>
      </w:r>
      <w:bookmarkEnd w:id="1"/>
    </w:p>
    <w:p>
      <w:pPr>
        <w:spacing w:afterLines="50" w:line="360" w:lineRule="auto"/>
        <w:ind w:left="2"/>
        <w:jc w:val="center"/>
        <w:rPr>
          <w:rFonts w:ascii="宋体" w:hAnsi="宋体"/>
          <w:b/>
          <w:sz w:val="28"/>
          <w:szCs w:val="28"/>
        </w:rPr>
      </w:pPr>
      <w:r>
        <w:rPr>
          <w:rFonts w:hint="eastAsia" w:ascii="宋体" w:hAnsi="宋体"/>
          <w:b/>
          <w:sz w:val="28"/>
          <w:szCs w:val="28"/>
        </w:rPr>
        <w:t>特别说明</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1、本章项目需求中所出现的工艺、材料、设备或参照的品牌仅为方便描述而没有限制性，投标人可以在其提供的文件资料中选用替代标准，但这些替代标准要优于或相当于技术规格中要求的标准。</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投标人提供证书或检测报告等证明材料的，颁发证书、出具报告的机构须是合法设立的机构，且具有颁发相应证书或者出具相应报告的资质。</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3、技术参数设置为区间要求的（例如：潮气量：</w:t>
      </w:r>
      <w:r>
        <w:rPr>
          <w:rFonts w:ascii="仿宋_GB2312" w:eastAsia="仿宋_GB2312"/>
          <w:sz w:val="24"/>
        </w:rPr>
        <w:t>0-2000ML</w:t>
      </w:r>
      <w:r>
        <w:rPr>
          <w:rFonts w:hint="eastAsia" w:ascii="仿宋_GB2312" w:eastAsia="仿宋_GB2312"/>
          <w:sz w:val="24"/>
        </w:rPr>
        <w:t>），投标产品参数区间与招标要求不完全一致的均视为负偏离。</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4、对于定制类产品，投标人需在投标文件“分项价格表”中明确注明“定制”，否则该产品技术参数按负偏离处理。</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5、加注▲的条款为重要条款要求，如不满足将按照第四章“评标标准”进行扣分。</w:t>
      </w:r>
    </w:p>
    <w:p>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6、加注★的条款为不可负偏离条款，任一项未响应或不满足要求的，将导致投标无效。</w:t>
      </w:r>
    </w:p>
    <w:p>
      <w:pPr>
        <w:spacing w:line="360" w:lineRule="auto"/>
        <w:ind w:left="510"/>
        <w:rPr>
          <w:rFonts w:eastAsia="黑体"/>
          <w:bCs/>
          <w:snapToGrid w:val="0"/>
          <w:kern w:val="0"/>
          <w:sz w:val="24"/>
        </w:rPr>
      </w:pPr>
    </w:p>
    <w:p>
      <w:pPr>
        <w:spacing w:line="360" w:lineRule="auto"/>
        <w:ind w:left="2"/>
        <w:rPr>
          <w:rFonts w:ascii="宋体" w:hAnsi="宋体"/>
          <w:b/>
          <w:sz w:val="24"/>
        </w:rPr>
      </w:pPr>
      <w:r>
        <w:rPr>
          <w:rFonts w:hint="eastAsia" w:ascii="宋体" w:hAnsi="宋体"/>
          <w:bCs/>
          <w:snapToGrid w:val="0"/>
          <w:kern w:val="0"/>
          <w:sz w:val="24"/>
        </w:rPr>
        <w:t>一、</w:t>
      </w:r>
      <w:r>
        <w:rPr>
          <w:rFonts w:hint="eastAsia" w:ascii="宋体" w:hAnsi="宋体"/>
          <w:b/>
          <w:sz w:val="24"/>
        </w:rPr>
        <w:t>采购范围</w:t>
      </w:r>
    </w:p>
    <w:p>
      <w:pPr>
        <w:rPr>
          <w:rFonts w:ascii="宋体" w:hAnsi="宋体"/>
          <w:b/>
          <w:szCs w:val="21"/>
        </w:rPr>
      </w:pPr>
      <w:r>
        <w:rPr>
          <w:rFonts w:hint="eastAsia" w:ascii="宋体" w:hAnsi="宋体"/>
          <w:b/>
          <w:szCs w:val="21"/>
        </w:rPr>
        <w:t>（一）货物总清单</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9"/>
        <w:gridCol w:w="3518"/>
        <w:gridCol w:w="653"/>
        <w:gridCol w:w="993"/>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 w:hRule="atLeast"/>
          <w:jc w:val="center"/>
        </w:trPr>
        <w:tc>
          <w:tcPr>
            <w:tcW w:w="649"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3518"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项目名称</w:t>
            </w:r>
          </w:p>
        </w:tc>
        <w:tc>
          <w:tcPr>
            <w:tcW w:w="653" w:type="dxa"/>
            <w:tcMar>
              <w:top w:w="0" w:type="dxa"/>
              <w:left w:w="108" w:type="dxa"/>
              <w:bottom w:w="0" w:type="dxa"/>
              <w:right w:w="108" w:type="dxa"/>
            </w:tcMar>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993"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1701"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采购预算金额</w:t>
            </w:r>
          </w:p>
          <w:p>
            <w:pPr>
              <w:widowControl/>
              <w:spacing w:line="360" w:lineRule="auto"/>
              <w:jc w:val="center"/>
              <w:rPr>
                <w:rFonts w:ascii="宋体" w:hAnsi="宋体" w:cs="宋体"/>
                <w:bCs/>
                <w:kern w:val="0"/>
                <w:szCs w:val="21"/>
              </w:rPr>
            </w:pPr>
            <w:r>
              <w:rPr>
                <w:rFonts w:hint="eastAsia" w:ascii="宋体" w:hAnsi="宋体" w:cs="宋体"/>
                <w:b/>
                <w:szCs w:val="21"/>
              </w:rPr>
              <w:t>（人民币元）</w:t>
            </w:r>
          </w:p>
        </w:tc>
        <w:tc>
          <w:tcPr>
            <w:tcW w:w="1417"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649"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3518" w:type="dxa"/>
            <w:vAlign w:val="center"/>
          </w:tcPr>
          <w:p>
            <w:pPr>
              <w:widowControl/>
              <w:spacing w:line="360" w:lineRule="auto"/>
              <w:jc w:val="center"/>
              <w:rPr>
                <w:rFonts w:hint="default" w:ascii="宋体" w:hAnsi="宋体" w:eastAsia="宋体" w:cs="宋体"/>
                <w:kern w:val="0"/>
                <w:szCs w:val="21"/>
                <w:lang w:val="en-US" w:eastAsia="zh-CN"/>
              </w:rPr>
            </w:pPr>
            <w:r>
              <w:rPr>
                <w:rFonts w:hint="eastAsia" w:ascii="宋体" w:hAnsi="宋体" w:cs="宋体"/>
                <w:kern w:val="0"/>
                <w:szCs w:val="21"/>
              </w:rPr>
              <w:t>可视化角膜生物力学分析仪</w:t>
            </w:r>
            <w:r>
              <w:rPr>
                <w:rFonts w:hint="eastAsia" w:ascii="宋体" w:hAnsi="宋体" w:cs="宋体"/>
                <w:kern w:val="0"/>
                <w:szCs w:val="21"/>
                <w:lang w:val="en-US" w:eastAsia="zh-CN"/>
              </w:rPr>
              <w:t>采购项目</w:t>
            </w:r>
          </w:p>
        </w:tc>
        <w:tc>
          <w:tcPr>
            <w:tcW w:w="653" w:type="dxa"/>
            <w:tcMar>
              <w:top w:w="0" w:type="dxa"/>
              <w:left w:w="108" w:type="dxa"/>
              <w:bottom w:w="0" w:type="dxa"/>
              <w:right w:w="108"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993" w:type="dxa"/>
            <w:vAlign w:val="center"/>
          </w:tcPr>
          <w:p>
            <w:pPr>
              <w:widowControl/>
              <w:spacing w:line="360" w:lineRule="auto"/>
              <w:jc w:val="center"/>
              <w:rPr>
                <w:rFonts w:hint="eastAsia" w:ascii="宋体" w:hAnsi="宋体" w:eastAsia="宋体" w:cs="宋体"/>
                <w:kern w:val="0"/>
                <w:szCs w:val="21"/>
                <w:lang w:eastAsia="zh-CN"/>
              </w:rPr>
            </w:pPr>
            <w:r>
              <w:rPr>
                <w:rFonts w:hint="eastAsia" w:ascii="宋体" w:hAnsi="宋体" w:cs="宋体"/>
                <w:kern w:val="0"/>
                <w:szCs w:val="21"/>
                <w:lang w:val="en-US" w:eastAsia="zh-CN"/>
              </w:rPr>
              <w:t>台</w:t>
            </w:r>
          </w:p>
        </w:tc>
        <w:tc>
          <w:tcPr>
            <w:tcW w:w="1701" w:type="dxa"/>
            <w:vAlign w:val="center"/>
          </w:tcPr>
          <w:p>
            <w:pPr>
              <w:jc w:val="center"/>
              <w:rPr>
                <w:rFonts w:hint="default" w:ascii="宋体" w:hAnsi="宋体" w:eastAsia="宋体" w:cs="宋体"/>
                <w:bCs/>
                <w:kern w:val="0"/>
                <w:szCs w:val="21"/>
                <w:lang w:val="en-US" w:eastAsia="zh-CN"/>
              </w:rPr>
            </w:pPr>
            <w:r>
              <w:rPr>
                <w:rFonts w:hint="eastAsia" w:ascii="宋体" w:hAnsi="宋体" w:cs="宋体"/>
                <w:bCs/>
                <w:kern w:val="0"/>
                <w:szCs w:val="21"/>
                <w:lang w:val="en-US" w:eastAsia="zh-CN"/>
              </w:rPr>
              <w:t>900,000.00</w:t>
            </w:r>
          </w:p>
        </w:tc>
        <w:tc>
          <w:tcPr>
            <w:tcW w:w="1417"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lang w:val="en-US" w:eastAsia="zh-CN"/>
              </w:rPr>
              <w:t>接受</w:t>
            </w:r>
            <w:r>
              <w:rPr>
                <w:rFonts w:hint="eastAsia" w:ascii="宋体" w:hAnsi="宋体" w:cs="宋体"/>
                <w:kern w:val="0"/>
                <w:szCs w:val="21"/>
              </w:rPr>
              <w:t>进口</w:t>
            </w:r>
          </w:p>
        </w:tc>
      </w:tr>
    </w:tbl>
    <w:p>
      <w:pPr>
        <w:widowControl/>
        <w:snapToGrid w:val="0"/>
        <w:spacing w:line="360" w:lineRule="auto"/>
        <w:ind w:left="2"/>
        <w:jc w:val="left"/>
        <w:rPr>
          <w:rFonts w:ascii="宋体" w:hAnsi="宋体"/>
          <w:bCs/>
          <w:snapToGrid w:val="0"/>
          <w:kern w:val="0"/>
          <w:szCs w:val="21"/>
        </w:rPr>
      </w:pPr>
    </w:p>
    <w:p>
      <w:pPr>
        <w:widowControl/>
        <w:snapToGrid w:val="0"/>
        <w:spacing w:line="360" w:lineRule="auto"/>
        <w:jc w:val="left"/>
        <w:rPr>
          <w:rFonts w:ascii="宋体" w:hAnsi="宋体"/>
          <w:bCs/>
          <w:snapToGrid w:val="0"/>
          <w:kern w:val="0"/>
          <w:szCs w:val="21"/>
        </w:rPr>
      </w:pPr>
    </w:p>
    <w:p>
      <w:pPr>
        <w:pStyle w:val="453"/>
        <w:adjustRightInd w:val="0"/>
        <w:snapToGrid w:val="0"/>
        <w:spacing w:before="0" w:beforeAutospacing="0" w:after="0" w:afterAutospacing="0" w:line="360" w:lineRule="auto"/>
        <w:ind w:firstLine="424" w:firstLineChars="202"/>
        <w:rPr>
          <w:rFonts w:ascii="宋体" w:hAnsi="宋体" w:eastAsia="宋体"/>
          <w:b/>
          <w:snapToGrid w:val="0"/>
          <w:color w:val="auto"/>
          <w:sz w:val="21"/>
          <w:szCs w:val="21"/>
        </w:rPr>
      </w:pPr>
      <w:r>
        <w:rPr>
          <w:rFonts w:hint="eastAsia" w:ascii="宋体" w:hAnsi="宋体" w:eastAsia="宋体" w:cs="Times New Roman"/>
          <w:color w:val="auto"/>
          <w:kern w:val="2"/>
          <w:sz w:val="21"/>
          <w:szCs w:val="21"/>
        </w:rPr>
        <w:t>注：（1）</w:t>
      </w:r>
      <w:r>
        <w:rPr>
          <w:rFonts w:hint="eastAsia" w:ascii="宋体" w:hAnsi="宋体" w:eastAsia="宋体" w:cs="Times New Roman"/>
          <w:b/>
          <w:color w:val="auto"/>
          <w:kern w:val="2"/>
          <w:sz w:val="21"/>
          <w:szCs w:val="21"/>
        </w:rPr>
        <w:t>本项目所属行业为</w:t>
      </w:r>
      <w:r>
        <w:rPr>
          <w:rFonts w:hint="eastAsia" w:ascii="宋体" w:hAnsi="宋体" w:eastAsia="宋体" w:cs="Times New Roman"/>
          <w:b/>
          <w:color w:val="auto"/>
          <w:kern w:val="2"/>
          <w:sz w:val="21"/>
          <w:szCs w:val="21"/>
          <w:u w:val="single"/>
        </w:rPr>
        <w:t xml:space="preserve">  工业  </w:t>
      </w:r>
      <w:r>
        <w:rPr>
          <w:rFonts w:hint="eastAsia" w:ascii="宋体" w:hAnsi="宋体" w:eastAsia="宋体" w:cs="Times New Roman"/>
          <w:b/>
          <w:color w:val="auto"/>
          <w:kern w:val="2"/>
          <w:sz w:val="21"/>
          <w:szCs w:val="21"/>
        </w:rPr>
        <w:t>，标的名称详见以上货物清单明细。</w:t>
      </w:r>
      <w:r>
        <w:rPr>
          <w:rFonts w:hint="eastAsia" w:ascii="宋体" w:hAnsi="宋体" w:eastAsia="宋体" w:cs="Times New Roman"/>
          <w:color w:val="auto"/>
          <w:kern w:val="2"/>
          <w:sz w:val="21"/>
          <w:szCs w:val="21"/>
        </w:rPr>
        <w:t>投标人应根据《工业和信息化部、国家统计局、国家发展和改革委员会、财政部关于印发中小企业划型标准规定的通知》(工信部联企业〔2011〕300号)规定的中小企业划型标准填写《中小企业声明函》。</w:t>
      </w:r>
    </w:p>
    <w:p>
      <w:pPr>
        <w:numPr>
          <w:ilvl w:val="0"/>
          <w:numId w:val="0"/>
        </w:numPr>
        <w:adjustRightInd w:val="0"/>
        <w:snapToGrid w:val="0"/>
        <w:spacing w:line="360" w:lineRule="auto"/>
        <w:ind w:firstLine="422" w:firstLineChars="201"/>
        <w:rPr>
          <w:rFonts w:hint="eastAsia" w:ascii="宋体" w:hAnsi="宋体"/>
          <w:bCs/>
          <w:snapToGrid w:val="0"/>
          <w:kern w:val="0"/>
          <w:szCs w:val="21"/>
        </w:rPr>
      </w:pP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w:t>
      </w:r>
      <w:r>
        <w:rPr>
          <w:rFonts w:hint="eastAsia" w:ascii="宋体" w:hAnsi="宋体"/>
          <w:bCs/>
          <w:snapToGrid w:val="0"/>
          <w:kern w:val="0"/>
          <w:szCs w:val="21"/>
        </w:rPr>
        <w:t>致的，按照“少数服从多数”的原则确定评标委员会的意见。</w:t>
      </w:r>
    </w:p>
    <w:p>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w:t>
      </w:r>
      <w:r>
        <w:rPr>
          <w:rFonts w:hint="eastAsia" w:ascii="宋体" w:hAnsi="宋体"/>
          <w:bCs/>
          <w:snapToGrid w:val="0"/>
          <w:kern w:val="0"/>
          <w:szCs w:val="21"/>
          <w:lang w:val="en-US" w:eastAsia="zh-CN"/>
        </w:rPr>
        <w:t>3</w:t>
      </w:r>
      <w:r>
        <w:rPr>
          <w:rFonts w:hint="eastAsia" w:ascii="宋体" w:hAnsi="宋体"/>
          <w:bCs/>
          <w:snapToGrid w:val="0"/>
          <w:kern w:val="0"/>
          <w:szCs w:val="21"/>
        </w:rPr>
        <w:t xml:space="preserve">）备注栏注明“拒绝进口”的产品不接受投标人选用进口产品参与投标；注明“接受进口”的产品允许投标人选用进口产品参与投标，但不排斥国内产品。 </w:t>
      </w:r>
    </w:p>
    <w:p>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w:t>
      </w:r>
      <w:r>
        <w:rPr>
          <w:rFonts w:hint="eastAsia" w:ascii="宋体" w:hAnsi="宋体"/>
          <w:bCs/>
          <w:snapToGrid w:val="0"/>
          <w:kern w:val="0"/>
          <w:szCs w:val="21"/>
          <w:lang w:val="en-US" w:eastAsia="zh-CN"/>
        </w:rPr>
        <w:t>4</w:t>
      </w:r>
      <w:r>
        <w:rPr>
          <w:rFonts w:hint="eastAsia" w:ascii="宋体" w:hAnsi="宋体"/>
          <w:bCs/>
          <w:snapToGrid w:val="0"/>
          <w:kern w:val="0"/>
          <w:szCs w:val="21"/>
        </w:rPr>
        <w:t>）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adjustRightInd w:val="0"/>
        <w:snapToGrid w:val="0"/>
        <w:spacing w:line="360" w:lineRule="auto"/>
        <w:ind w:firstLine="422" w:firstLineChars="201"/>
        <w:rPr>
          <w:rFonts w:hint="eastAsia" w:ascii="宋体" w:hAnsi="宋体"/>
          <w:bCs/>
          <w:snapToGrid w:val="0"/>
          <w:kern w:val="0"/>
          <w:szCs w:val="21"/>
        </w:rPr>
      </w:pPr>
      <w:r>
        <w:rPr>
          <w:rFonts w:hint="eastAsia" w:ascii="宋体" w:hAnsi="宋体"/>
          <w:bCs/>
          <w:snapToGrid w:val="0"/>
          <w:kern w:val="0"/>
          <w:szCs w:val="21"/>
        </w:rPr>
        <w:t>（</w:t>
      </w:r>
      <w:r>
        <w:rPr>
          <w:rFonts w:hint="eastAsia" w:ascii="宋体" w:hAnsi="宋体"/>
          <w:bCs/>
          <w:snapToGrid w:val="0"/>
          <w:kern w:val="0"/>
          <w:szCs w:val="21"/>
          <w:lang w:val="en-US" w:eastAsia="zh-CN"/>
        </w:rPr>
        <w:t>5</w:t>
      </w:r>
      <w:r>
        <w:rPr>
          <w:rFonts w:hint="eastAsia" w:ascii="宋体" w:hAnsi="宋体"/>
          <w:bCs/>
          <w:snapToGrid w:val="0"/>
          <w:kern w:val="0"/>
          <w:szCs w:val="21"/>
        </w:rPr>
        <w:t>）若投标人为所投产品的生产企业，必须提供《医疗器械生产企业许可证》或备案凭证，且生产范围包含该产品；若投标人为所投产品的代理商或授权供应商，必须提供《医疗器械经营企业许可证》或备案凭证，且经营范围包含该产品；当所投产品属于第一类医疗器械时无须提供《医疗器械经营企业许可证》或备案凭证，但投标人应在投标文件中对其所属类别进行书面说明【提供以上证明材料的复印件或扫面件并加盖投标人公章，原件备查】；</w:t>
      </w:r>
    </w:p>
    <w:p>
      <w:pPr>
        <w:adjustRightInd w:val="0"/>
        <w:snapToGrid w:val="0"/>
        <w:spacing w:line="360" w:lineRule="auto"/>
        <w:ind w:firstLine="422" w:firstLineChars="201"/>
        <w:rPr>
          <w:rFonts w:hint="eastAsia" w:ascii="宋体" w:hAnsi="宋体"/>
          <w:bCs/>
          <w:snapToGrid w:val="0"/>
          <w:kern w:val="0"/>
          <w:szCs w:val="21"/>
        </w:rPr>
      </w:pPr>
      <w:r>
        <w:rPr>
          <w:rFonts w:hint="eastAsia" w:ascii="宋体" w:hAnsi="宋体"/>
          <w:bCs/>
          <w:snapToGrid w:val="0"/>
          <w:kern w:val="0"/>
          <w:szCs w:val="21"/>
        </w:rPr>
        <w:t>（</w:t>
      </w:r>
      <w:r>
        <w:rPr>
          <w:rFonts w:hint="eastAsia" w:ascii="宋体" w:hAnsi="宋体"/>
          <w:bCs/>
          <w:snapToGrid w:val="0"/>
          <w:kern w:val="0"/>
          <w:szCs w:val="21"/>
          <w:lang w:val="en-US" w:eastAsia="zh-CN"/>
        </w:rPr>
        <w:t>6</w:t>
      </w:r>
      <w:r>
        <w:rPr>
          <w:rFonts w:hint="eastAsia" w:ascii="宋体" w:hAnsi="宋体"/>
          <w:bCs/>
          <w:snapToGrid w:val="0"/>
          <w:kern w:val="0"/>
          <w:szCs w:val="21"/>
        </w:rPr>
        <w:t>）投标人必须提供所投产品的《医疗器械注册（备案）证》的扫描件，原件备查（开标时，该注册证应在有效期内；若不在有效期内，则需提供该注册证和所投产品在该注册证有效期内生产的药监局出具的证明文件）；</w:t>
      </w:r>
    </w:p>
    <w:p>
      <w:pPr>
        <w:spacing w:line="360" w:lineRule="auto"/>
        <w:ind w:left="2" w:firstLine="484" w:firstLineChars="201"/>
        <w:rPr>
          <w:rFonts w:ascii="宋体" w:hAnsi="宋体"/>
          <w:b/>
          <w:bCs/>
          <w:snapToGrid w:val="0"/>
          <w:kern w:val="0"/>
          <w:sz w:val="24"/>
        </w:rPr>
      </w:pPr>
    </w:p>
    <w:p>
      <w:pPr>
        <w:spacing w:line="360" w:lineRule="auto"/>
        <w:rPr>
          <w:rFonts w:ascii="宋体" w:hAnsi="宋体"/>
          <w:b/>
          <w:bCs/>
          <w:snapToGrid w:val="0"/>
          <w:kern w:val="0"/>
          <w:sz w:val="24"/>
        </w:rPr>
      </w:pPr>
      <w:r>
        <w:rPr>
          <w:rFonts w:hint="eastAsia" w:ascii="宋体" w:hAnsi="宋体"/>
          <w:b/>
          <w:bCs/>
          <w:snapToGrid w:val="0"/>
          <w:kern w:val="0"/>
          <w:sz w:val="24"/>
        </w:rPr>
        <w:t>二、技术要求</w:t>
      </w:r>
    </w:p>
    <w:p>
      <w:pPr>
        <w:numPr>
          <w:ilvl w:val="0"/>
          <w:numId w:val="0"/>
        </w:numPr>
        <w:adjustRightInd w:val="0"/>
        <w:snapToGrid w:val="0"/>
        <w:spacing w:line="360" w:lineRule="auto"/>
        <w:ind w:firstLine="422" w:firstLineChars="201"/>
        <w:rPr>
          <w:rFonts w:hint="eastAsia" w:ascii="宋体" w:hAnsi="宋体"/>
          <w:szCs w:val="21"/>
        </w:rPr>
      </w:pPr>
      <w:r>
        <w:rPr>
          <w:rFonts w:hint="eastAsia" w:ascii="宋体" w:hAnsi="宋体"/>
          <w:szCs w:val="21"/>
        </w:rPr>
        <w:t>1、扫描速率 &gt; 4000张/秒</w:t>
      </w:r>
    </w:p>
    <w:p>
      <w:pPr>
        <w:numPr>
          <w:ilvl w:val="0"/>
          <w:numId w:val="0"/>
        </w:numPr>
        <w:adjustRightInd w:val="0"/>
        <w:snapToGrid w:val="0"/>
        <w:spacing w:line="360" w:lineRule="auto"/>
        <w:ind w:firstLine="422" w:firstLineChars="201"/>
        <w:rPr>
          <w:rFonts w:hint="eastAsia" w:ascii="宋体" w:hAnsi="宋体"/>
          <w:szCs w:val="21"/>
        </w:rPr>
      </w:pPr>
      <w:r>
        <w:rPr>
          <w:rFonts w:hint="eastAsia" w:ascii="宋体" w:hAnsi="宋体"/>
          <w:szCs w:val="21"/>
        </w:rPr>
        <w:t>2、扫描宽度≥8mm</w:t>
      </w:r>
    </w:p>
    <w:p>
      <w:pPr>
        <w:numPr>
          <w:ilvl w:val="0"/>
          <w:numId w:val="0"/>
        </w:numPr>
        <w:adjustRightInd w:val="0"/>
        <w:snapToGrid w:val="0"/>
        <w:spacing w:line="360" w:lineRule="auto"/>
        <w:ind w:firstLine="422" w:firstLineChars="201"/>
        <w:rPr>
          <w:rFonts w:hint="eastAsia" w:ascii="宋体" w:hAnsi="宋体"/>
          <w:szCs w:val="21"/>
        </w:rPr>
      </w:pPr>
      <w:r>
        <w:rPr>
          <w:rFonts w:hint="eastAsia" w:ascii="宋体" w:hAnsi="宋体"/>
          <w:szCs w:val="21"/>
        </w:rPr>
        <w:t>3、非接触式测量</w:t>
      </w:r>
    </w:p>
    <w:p>
      <w:pPr>
        <w:numPr>
          <w:ilvl w:val="0"/>
          <w:numId w:val="0"/>
        </w:numPr>
        <w:adjustRightInd w:val="0"/>
        <w:snapToGrid w:val="0"/>
        <w:spacing w:line="360" w:lineRule="auto"/>
        <w:ind w:firstLine="422" w:firstLineChars="201"/>
        <w:rPr>
          <w:rFonts w:hint="eastAsia" w:ascii="宋体" w:hAnsi="宋体"/>
          <w:szCs w:val="21"/>
        </w:rPr>
      </w:pPr>
      <w:r>
        <w:rPr>
          <w:rFonts w:hint="eastAsia" w:ascii="宋体" w:hAnsi="宋体"/>
          <w:szCs w:val="21"/>
        </w:rPr>
        <w:t xml:space="preserve">4、提供眼压结果 </w:t>
      </w:r>
    </w:p>
    <w:p>
      <w:pPr>
        <w:numPr>
          <w:ilvl w:val="0"/>
          <w:numId w:val="0"/>
        </w:numPr>
        <w:adjustRightInd w:val="0"/>
        <w:snapToGrid w:val="0"/>
        <w:spacing w:line="360" w:lineRule="auto"/>
        <w:ind w:firstLine="422" w:firstLineChars="201"/>
        <w:rPr>
          <w:rFonts w:hint="eastAsia" w:ascii="宋体" w:hAnsi="宋体"/>
          <w:szCs w:val="21"/>
        </w:rPr>
      </w:pPr>
      <w:r>
        <w:rPr>
          <w:rFonts w:hint="eastAsia" w:ascii="宋体" w:hAnsi="宋体"/>
          <w:szCs w:val="21"/>
        </w:rPr>
        <w:t xml:space="preserve">5、可获取生物力学校正眼压 </w:t>
      </w:r>
    </w:p>
    <w:p>
      <w:pPr>
        <w:numPr>
          <w:ilvl w:val="0"/>
          <w:numId w:val="0"/>
        </w:numPr>
        <w:adjustRightInd w:val="0"/>
        <w:snapToGrid w:val="0"/>
        <w:spacing w:line="360" w:lineRule="auto"/>
        <w:ind w:firstLine="422" w:firstLineChars="201"/>
        <w:rPr>
          <w:rFonts w:hint="eastAsia" w:ascii="宋体" w:hAnsi="宋体"/>
          <w:szCs w:val="21"/>
        </w:rPr>
      </w:pPr>
      <w:r>
        <w:rPr>
          <w:rFonts w:hint="eastAsia" w:ascii="宋体" w:hAnsi="宋体"/>
          <w:szCs w:val="21"/>
        </w:rPr>
        <w:t>6、具备3D追踪和自动拍摄功能</w:t>
      </w:r>
    </w:p>
    <w:p>
      <w:pPr>
        <w:numPr>
          <w:ilvl w:val="0"/>
          <w:numId w:val="0"/>
        </w:numPr>
        <w:adjustRightInd w:val="0"/>
        <w:snapToGrid w:val="0"/>
        <w:spacing w:line="360" w:lineRule="auto"/>
        <w:ind w:firstLine="422" w:firstLineChars="201"/>
        <w:rPr>
          <w:rFonts w:hint="eastAsia" w:ascii="宋体" w:hAnsi="宋体"/>
          <w:szCs w:val="21"/>
        </w:rPr>
      </w:pPr>
      <w:r>
        <w:rPr>
          <w:rFonts w:hint="eastAsia" w:ascii="宋体" w:hAnsi="宋体"/>
          <w:szCs w:val="21"/>
        </w:rPr>
        <w:t xml:space="preserve">7、角膜断层图像实时观察 </w:t>
      </w:r>
    </w:p>
    <w:p>
      <w:pPr>
        <w:numPr>
          <w:ilvl w:val="0"/>
          <w:numId w:val="0"/>
        </w:numPr>
        <w:adjustRightInd w:val="0"/>
        <w:snapToGrid w:val="0"/>
        <w:spacing w:line="360" w:lineRule="auto"/>
        <w:ind w:firstLine="422" w:firstLineChars="201"/>
        <w:rPr>
          <w:rFonts w:hint="eastAsia" w:ascii="宋体" w:hAnsi="宋体"/>
          <w:szCs w:val="21"/>
        </w:rPr>
      </w:pPr>
      <w:r>
        <w:rPr>
          <w:rFonts w:hint="eastAsia" w:ascii="宋体" w:hAnsi="宋体"/>
          <w:szCs w:val="21"/>
        </w:rPr>
        <w:t xml:space="preserve">8、支持视频慢速回放 </w:t>
      </w:r>
    </w:p>
    <w:p>
      <w:pPr>
        <w:numPr>
          <w:ilvl w:val="0"/>
          <w:numId w:val="0"/>
        </w:numPr>
        <w:adjustRightInd w:val="0"/>
        <w:snapToGrid w:val="0"/>
        <w:spacing w:line="360" w:lineRule="auto"/>
        <w:ind w:firstLine="422" w:firstLineChars="201"/>
        <w:rPr>
          <w:rFonts w:hint="eastAsia" w:ascii="宋体" w:hAnsi="宋体"/>
          <w:szCs w:val="21"/>
        </w:rPr>
      </w:pPr>
      <w:r>
        <w:rPr>
          <w:rFonts w:hint="eastAsia" w:ascii="宋体" w:hAnsi="宋体"/>
          <w:szCs w:val="21"/>
        </w:rPr>
        <w:t>9、</w:t>
      </w:r>
      <w:r>
        <w:rPr>
          <w:rFonts w:hint="eastAsia" w:ascii="宋体" w:hAnsi="宋体"/>
          <w:szCs w:val="21"/>
        </w:rPr>
        <w:sym w:font="Wingdings 3" w:char="F070"/>
      </w:r>
      <w:r>
        <w:rPr>
          <w:rFonts w:hint="eastAsia" w:ascii="宋体" w:hAnsi="宋体"/>
          <w:szCs w:val="21"/>
        </w:rPr>
        <w:t>生物力学/断层扫描地形联合评估报告，可导入断层地形设备数据进行联机分析，联机诊断圆锥角膜</w:t>
      </w:r>
    </w:p>
    <w:p>
      <w:pPr>
        <w:numPr>
          <w:ilvl w:val="0"/>
          <w:numId w:val="0"/>
        </w:numPr>
        <w:adjustRightInd w:val="0"/>
        <w:snapToGrid w:val="0"/>
        <w:spacing w:line="360" w:lineRule="auto"/>
        <w:ind w:firstLine="422" w:firstLineChars="201"/>
        <w:rPr>
          <w:rFonts w:hint="eastAsia" w:ascii="宋体" w:hAnsi="宋体"/>
          <w:szCs w:val="21"/>
        </w:rPr>
      </w:pPr>
      <w:r>
        <w:rPr>
          <w:rFonts w:hint="eastAsia" w:ascii="宋体" w:hAnsi="宋体"/>
          <w:szCs w:val="21"/>
        </w:rPr>
        <w:t xml:space="preserve">10、具备角膜厚度测量功能 </w:t>
      </w:r>
    </w:p>
    <w:p>
      <w:pPr>
        <w:numPr>
          <w:ilvl w:val="0"/>
          <w:numId w:val="0"/>
        </w:numPr>
        <w:adjustRightInd w:val="0"/>
        <w:snapToGrid w:val="0"/>
        <w:spacing w:line="360" w:lineRule="auto"/>
        <w:ind w:firstLine="422" w:firstLineChars="201"/>
        <w:rPr>
          <w:rFonts w:hint="eastAsia" w:ascii="宋体" w:hAnsi="宋体"/>
          <w:szCs w:val="21"/>
        </w:rPr>
      </w:pPr>
      <w:r>
        <w:rPr>
          <w:rFonts w:hint="eastAsia" w:ascii="宋体" w:hAnsi="宋体"/>
          <w:szCs w:val="21"/>
        </w:rPr>
        <w:t>11、</w:t>
      </w:r>
      <w:r>
        <w:rPr>
          <w:rFonts w:hint="eastAsia" w:ascii="宋体" w:hAnsi="宋体"/>
          <w:szCs w:val="21"/>
        </w:rPr>
        <w:sym w:font="Wingdings 3" w:char="F070"/>
      </w:r>
      <w:r>
        <w:rPr>
          <w:rFonts w:hint="eastAsia" w:ascii="宋体" w:hAnsi="宋体"/>
          <w:szCs w:val="21"/>
        </w:rPr>
        <w:t xml:space="preserve">可测量角膜最大变形幅度 </w:t>
      </w:r>
    </w:p>
    <w:p>
      <w:pPr>
        <w:numPr>
          <w:ilvl w:val="0"/>
          <w:numId w:val="0"/>
        </w:numPr>
        <w:adjustRightInd w:val="0"/>
        <w:snapToGrid w:val="0"/>
        <w:spacing w:line="360" w:lineRule="auto"/>
        <w:ind w:firstLine="422" w:firstLineChars="201"/>
        <w:rPr>
          <w:rFonts w:hint="eastAsia" w:ascii="宋体" w:hAnsi="宋体"/>
          <w:szCs w:val="21"/>
        </w:rPr>
      </w:pPr>
      <w:r>
        <w:rPr>
          <w:rFonts w:hint="eastAsia" w:ascii="宋体" w:hAnsi="宋体"/>
          <w:szCs w:val="21"/>
        </w:rPr>
        <w:t xml:space="preserve">12、可记录角膜在形变过程中任意时刻的运动速率，同时反馈角膜回弹速率 </w:t>
      </w:r>
    </w:p>
    <w:p>
      <w:pPr>
        <w:numPr>
          <w:ilvl w:val="0"/>
          <w:numId w:val="0"/>
        </w:numPr>
        <w:adjustRightInd w:val="0"/>
        <w:snapToGrid w:val="0"/>
        <w:spacing w:line="360" w:lineRule="auto"/>
        <w:ind w:firstLine="422" w:firstLineChars="201"/>
        <w:rPr>
          <w:rFonts w:hint="eastAsia" w:ascii="宋体" w:hAnsi="宋体"/>
          <w:szCs w:val="21"/>
        </w:rPr>
      </w:pPr>
      <w:r>
        <w:rPr>
          <w:rFonts w:hint="eastAsia" w:ascii="宋体" w:hAnsi="宋体"/>
          <w:szCs w:val="21"/>
        </w:rPr>
        <w:t>13、</w:t>
      </w:r>
      <w:r>
        <w:rPr>
          <w:rFonts w:hint="eastAsia" w:ascii="宋体" w:hAnsi="宋体"/>
          <w:szCs w:val="21"/>
        </w:rPr>
        <w:sym w:font="Wingdings 3" w:char="F070"/>
      </w:r>
      <w:r>
        <w:rPr>
          <w:rFonts w:hint="eastAsia" w:ascii="宋体" w:hAnsi="宋体"/>
          <w:szCs w:val="21"/>
        </w:rPr>
        <w:t>具备硬度参数</w:t>
      </w:r>
    </w:p>
    <w:p>
      <w:pPr>
        <w:numPr>
          <w:ilvl w:val="0"/>
          <w:numId w:val="0"/>
        </w:numPr>
        <w:adjustRightInd w:val="0"/>
        <w:snapToGrid w:val="0"/>
        <w:spacing w:line="360" w:lineRule="auto"/>
        <w:ind w:firstLine="422" w:firstLineChars="201"/>
        <w:rPr>
          <w:rFonts w:hint="eastAsia" w:ascii="宋体" w:hAnsi="宋体"/>
          <w:szCs w:val="21"/>
        </w:rPr>
      </w:pPr>
      <w:r>
        <w:rPr>
          <w:rFonts w:hint="eastAsia" w:ascii="宋体" w:hAnsi="宋体"/>
          <w:szCs w:val="21"/>
        </w:rPr>
        <w:t>14、可记录角膜在一个气压脉冲下的形变时间</w:t>
      </w:r>
    </w:p>
    <w:p>
      <w:pPr>
        <w:numPr>
          <w:ilvl w:val="0"/>
          <w:numId w:val="0"/>
        </w:numPr>
        <w:adjustRightInd w:val="0"/>
        <w:snapToGrid w:val="0"/>
        <w:spacing w:line="360" w:lineRule="auto"/>
        <w:ind w:firstLine="422" w:firstLineChars="201"/>
        <w:rPr>
          <w:rFonts w:hint="eastAsia" w:ascii="宋体" w:hAnsi="宋体"/>
          <w:szCs w:val="21"/>
        </w:rPr>
      </w:pPr>
      <w:r>
        <w:rPr>
          <w:rFonts w:hint="eastAsia" w:ascii="宋体" w:hAnsi="宋体"/>
          <w:szCs w:val="21"/>
        </w:rPr>
        <w:t>15、</w:t>
      </w:r>
      <w:r>
        <w:rPr>
          <w:rFonts w:hint="eastAsia" w:ascii="宋体" w:hAnsi="宋体"/>
          <w:szCs w:val="21"/>
        </w:rPr>
        <w:sym w:font="Wingdings 3" w:char="F070"/>
      </w:r>
      <w:r>
        <w:rPr>
          <w:rFonts w:hint="eastAsia" w:ascii="宋体" w:hAnsi="宋体"/>
          <w:szCs w:val="21"/>
        </w:rPr>
        <w:t>早期圆锥角膜筛查软件：根据圆锥角膜疾病特点，基于高度数据和厚度数据联合判断圆锥风险，且具有中国人数据库。</w:t>
      </w:r>
    </w:p>
    <w:p>
      <w:pPr>
        <w:numPr>
          <w:ilvl w:val="0"/>
          <w:numId w:val="0"/>
        </w:numPr>
        <w:adjustRightInd w:val="0"/>
        <w:snapToGrid w:val="0"/>
        <w:spacing w:line="360" w:lineRule="auto"/>
        <w:ind w:firstLine="422" w:firstLineChars="201"/>
        <w:rPr>
          <w:rFonts w:hint="eastAsia" w:ascii="宋体" w:hAnsi="宋体"/>
          <w:szCs w:val="21"/>
        </w:rPr>
      </w:pPr>
      <w:r>
        <w:rPr>
          <w:rFonts w:hint="eastAsia" w:ascii="宋体" w:hAnsi="宋体"/>
          <w:szCs w:val="21"/>
        </w:rPr>
        <w:t>16、支持患者资料导出、导入，便于联合诊断</w:t>
      </w:r>
    </w:p>
    <w:p>
      <w:pPr>
        <w:numPr>
          <w:ilvl w:val="0"/>
          <w:numId w:val="0"/>
        </w:numPr>
        <w:adjustRightInd w:val="0"/>
        <w:snapToGrid w:val="0"/>
        <w:spacing w:line="360" w:lineRule="auto"/>
        <w:ind w:firstLine="422" w:firstLineChars="201"/>
        <w:rPr>
          <w:rFonts w:hint="eastAsia" w:ascii="宋体" w:hAnsi="宋体"/>
          <w:szCs w:val="21"/>
        </w:rPr>
      </w:pPr>
      <w:r>
        <w:rPr>
          <w:rFonts w:hint="eastAsia" w:ascii="宋体" w:hAnsi="宋体"/>
          <w:szCs w:val="21"/>
        </w:rPr>
        <w:t>17、软件免费更新</w:t>
      </w:r>
    </w:p>
    <w:p>
      <w:pPr>
        <w:numPr>
          <w:ilvl w:val="0"/>
          <w:numId w:val="0"/>
        </w:numPr>
        <w:adjustRightInd w:val="0"/>
        <w:snapToGrid w:val="0"/>
        <w:spacing w:line="360" w:lineRule="auto"/>
        <w:ind w:firstLine="422" w:firstLineChars="201"/>
        <w:rPr>
          <w:rFonts w:hint="eastAsia" w:ascii="宋体" w:hAnsi="宋体"/>
          <w:szCs w:val="21"/>
        </w:rPr>
      </w:pPr>
      <w:r>
        <w:rPr>
          <w:rFonts w:hint="eastAsia" w:ascii="宋体" w:hAnsi="宋体"/>
          <w:szCs w:val="21"/>
        </w:rPr>
        <w:t>18、需免费提供标准DICOM格式及开放接口、并与医院HIS、PACS系统等进行无缝对接，符合实时数据采集上传和局域网存储功能，产生费用由中标单位自行承担。</w:t>
      </w:r>
    </w:p>
    <w:p>
      <w:pPr>
        <w:numPr>
          <w:ilvl w:val="0"/>
          <w:numId w:val="0"/>
        </w:numPr>
        <w:adjustRightInd w:val="0"/>
        <w:snapToGrid w:val="0"/>
        <w:spacing w:line="360" w:lineRule="auto"/>
        <w:ind w:firstLine="422" w:firstLineChars="201"/>
        <w:rPr>
          <w:rFonts w:hint="eastAsia" w:ascii="宋体" w:hAnsi="宋体"/>
          <w:szCs w:val="21"/>
        </w:rPr>
      </w:pPr>
      <w:r>
        <w:rPr>
          <w:rFonts w:hint="eastAsia" w:ascii="宋体" w:hAnsi="宋体"/>
          <w:szCs w:val="21"/>
        </w:rPr>
        <w:t>19、配置清单：</w:t>
      </w:r>
    </w:p>
    <w:p>
      <w:pPr>
        <w:numPr>
          <w:ilvl w:val="0"/>
          <w:numId w:val="0"/>
        </w:numPr>
        <w:adjustRightInd w:val="0"/>
        <w:snapToGrid w:val="0"/>
        <w:spacing w:line="360" w:lineRule="auto"/>
        <w:ind w:firstLine="422" w:firstLineChars="201"/>
        <w:rPr>
          <w:rFonts w:hint="eastAsia" w:ascii="宋体" w:hAnsi="宋体"/>
          <w:szCs w:val="21"/>
        </w:rPr>
      </w:pPr>
      <w:r>
        <w:rPr>
          <w:rFonts w:hint="eastAsia" w:ascii="宋体" w:hAnsi="宋体"/>
          <w:szCs w:val="21"/>
        </w:rPr>
        <w:t>19.1测量主机    1个</w:t>
      </w:r>
    </w:p>
    <w:p>
      <w:pPr>
        <w:numPr>
          <w:ilvl w:val="0"/>
          <w:numId w:val="0"/>
        </w:numPr>
        <w:adjustRightInd w:val="0"/>
        <w:snapToGrid w:val="0"/>
        <w:spacing w:line="360" w:lineRule="auto"/>
        <w:ind w:firstLine="422" w:firstLineChars="201"/>
        <w:rPr>
          <w:rFonts w:hint="eastAsia" w:ascii="宋体" w:hAnsi="宋体"/>
          <w:szCs w:val="21"/>
        </w:rPr>
      </w:pPr>
      <w:r>
        <w:rPr>
          <w:rFonts w:hint="eastAsia" w:ascii="宋体" w:hAnsi="宋体"/>
          <w:szCs w:val="21"/>
        </w:rPr>
        <w:t>19.2数据处理系统     1套</w:t>
      </w:r>
    </w:p>
    <w:p>
      <w:pPr>
        <w:numPr>
          <w:ilvl w:val="0"/>
          <w:numId w:val="0"/>
        </w:numPr>
        <w:adjustRightInd w:val="0"/>
        <w:snapToGrid w:val="0"/>
        <w:spacing w:line="360" w:lineRule="auto"/>
        <w:ind w:firstLine="422" w:firstLineChars="201"/>
        <w:rPr>
          <w:rFonts w:hint="eastAsia" w:ascii="宋体" w:hAnsi="宋体"/>
          <w:szCs w:val="21"/>
        </w:rPr>
      </w:pPr>
      <w:r>
        <w:rPr>
          <w:rFonts w:hint="eastAsia" w:ascii="宋体" w:hAnsi="宋体"/>
          <w:szCs w:val="21"/>
        </w:rPr>
        <w:t>19.3头托及下颌托支架      1套</w:t>
      </w:r>
    </w:p>
    <w:p>
      <w:pPr>
        <w:numPr>
          <w:ilvl w:val="0"/>
          <w:numId w:val="0"/>
        </w:numPr>
        <w:adjustRightInd w:val="0"/>
        <w:snapToGrid w:val="0"/>
        <w:spacing w:line="360" w:lineRule="auto"/>
        <w:ind w:firstLine="422" w:firstLineChars="201"/>
        <w:rPr>
          <w:rFonts w:hint="eastAsia" w:ascii="宋体" w:hAnsi="宋体"/>
          <w:szCs w:val="21"/>
        </w:rPr>
      </w:pPr>
      <w:r>
        <w:rPr>
          <w:rFonts w:hint="eastAsia" w:ascii="宋体" w:hAnsi="宋体"/>
          <w:szCs w:val="21"/>
        </w:rPr>
        <w:t>19.4应用软件系统     1套</w:t>
      </w:r>
    </w:p>
    <w:p>
      <w:pPr>
        <w:numPr>
          <w:ilvl w:val="0"/>
          <w:numId w:val="0"/>
        </w:numPr>
        <w:adjustRightInd w:val="0"/>
        <w:snapToGrid w:val="0"/>
        <w:spacing w:line="360" w:lineRule="auto"/>
        <w:ind w:firstLine="422" w:firstLineChars="201"/>
        <w:rPr>
          <w:rFonts w:hint="eastAsia" w:ascii="宋体" w:hAnsi="宋体"/>
          <w:szCs w:val="21"/>
        </w:rPr>
      </w:pPr>
      <w:r>
        <w:rPr>
          <w:rFonts w:hint="eastAsia" w:ascii="宋体" w:hAnsi="宋体"/>
          <w:szCs w:val="21"/>
        </w:rPr>
        <w:t>19.5彩色喷墨打印机   1个</w:t>
      </w:r>
    </w:p>
    <w:p>
      <w:pPr>
        <w:numPr>
          <w:ilvl w:val="0"/>
          <w:numId w:val="0"/>
        </w:numPr>
        <w:adjustRightInd w:val="0"/>
        <w:snapToGrid w:val="0"/>
        <w:spacing w:line="360" w:lineRule="auto"/>
        <w:ind w:firstLine="422" w:firstLineChars="201"/>
        <w:rPr>
          <w:rFonts w:hint="eastAsia" w:ascii="宋体" w:hAnsi="宋体"/>
          <w:szCs w:val="21"/>
        </w:rPr>
      </w:pPr>
      <w:r>
        <w:rPr>
          <w:rFonts w:hint="eastAsia" w:ascii="宋体" w:hAnsi="宋体"/>
          <w:szCs w:val="21"/>
        </w:rPr>
        <w:t>19.6电动升降台       1个</w:t>
      </w:r>
    </w:p>
    <w:p>
      <w:pPr>
        <w:numPr>
          <w:ilvl w:val="0"/>
          <w:numId w:val="0"/>
        </w:numPr>
        <w:adjustRightInd w:val="0"/>
        <w:snapToGrid w:val="0"/>
        <w:spacing w:line="360" w:lineRule="auto"/>
        <w:ind w:firstLine="422" w:firstLineChars="201"/>
        <w:rPr>
          <w:rFonts w:hint="eastAsia" w:ascii="宋体" w:hAnsi="宋体"/>
          <w:szCs w:val="21"/>
        </w:rPr>
      </w:pPr>
      <w:r>
        <w:rPr>
          <w:rFonts w:hint="eastAsia" w:ascii="宋体" w:hAnsi="宋体"/>
          <w:szCs w:val="21"/>
        </w:rPr>
        <w:t>19.7集成液晶触摸显示屏  1个</w:t>
      </w:r>
    </w:p>
    <w:p>
      <w:pPr>
        <w:numPr>
          <w:ilvl w:val="0"/>
          <w:numId w:val="0"/>
        </w:numPr>
        <w:adjustRightInd w:val="0"/>
        <w:snapToGrid w:val="0"/>
        <w:spacing w:line="360" w:lineRule="auto"/>
        <w:ind w:firstLine="422" w:firstLineChars="201"/>
        <w:rPr>
          <w:rFonts w:hint="eastAsia" w:ascii="宋体" w:hAnsi="宋体"/>
          <w:szCs w:val="21"/>
        </w:rPr>
      </w:pPr>
      <w:r>
        <w:rPr>
          <w:rFonts w:hint="eastAsia" w:ascii="宋体" w:hAnsi="宋体"/>
          <w:szCs w:val="21"/>
        </w:rPr>
        <w:t xml:space="preserve">19.8数据线    1个  </w:t>
      </w:r>
    </w:p>
    <w:p>
      <w:pPr>
        <w:numPr>
          <w:ilvl w:val="0"/>
          <w:numId w:val="0"/>
        </w:numPr>
        <w:adjustRightInd w:val="0"/>
        <w:snapToGrid w:val="0"/>
        <w:spacing w:line="360" w:lineRule="auto"/>
        <w:ind w:firstLine="422" w:firstLineChars="201"/>
        <w:rPr>
          <w:rFonts w:hint="eastAsia" w:ascii="宋体" w:hAnsi="宋体"/>
          <w:szCs w:val="21"/>
        </w:rPr>
      </w:pPr>
      <w:r>
        <w:rPr>
          <w:rFonts w:hint="eastAsia" w:ascii="宋体" w:hAnsi="宋体"/>
          <w:szCs w:val="21"/>
        </w:rPr>
        <w:t>19.9防尘罩    1个</w:t>
      </w:r>
    </w:p>
    <w:p>
      <w:pPr>
        <w:spacing w:line="360" w:lineRule="auto"/>
        <w:rPr>
          <w:rFonts w:ascii="宋体" w:hAnsi="宋体"/>
          <w:b/>
          <w:bCs/>
          <w:snapToGrid w:val="0"/>
          <w:kern w:val="0"/>
          <w:sz w:val="24"/>
        </w:rPr>
      </w:pPr>
    </w:p>
    <w:p>
      <w:pPr>
        <w:spacing w:line="360" w:lineRule="auto"/>
        <w:rPr>
          <w:rFonts w:ascii="宋体" w:hAnsi="宋体"/>
          <w:b/>
          <w:bCs/>
          <w:snapToGrid w:val="0"/>
          <w:kern w:val="0"/>
          <w:sz w:val="24"/>
        </w:rPr>
      </w:pPr>
      <w:r>
        <w:rPr>
          <w:rFonts w:hint="eastAsia" w:ascii="宋体" w:hAnsi="宋体"/>
          <w:b/>
          <w:bCs/>
          <w:snapToGrid w:val="0"/>
          <w:kern w:val="0"/>
          <w:sz w:val="24"/>
        </w:rPr>
        <w:t>三、商务要求</w:t>
      </w:r>
    </w:p>
    <w:p>
      <w:pPr>
        <w:widowControl/>
        <w:spacing w:line="360" w:lineRule="auto"/>
        <w:jc w:val="left"/>
        <w:outlineLvl w:val="0"/>
        <w:rPr>
          <w:rFonts w:hint="eastAsia" w:ascii="宋体" w:hAnsi="宋体"/>
          <w:kern w:val="0"/>
          <w:szCs w:val="21"/>
        </w:rPr>
      </w:pPr>
      <w:bookmarkStart w:id="2" w:name="_Toc73610137"/>
      <w:r>
        <w:rPr>
          <w:rFonts w:hint="eastAsia" w:ascii="宋体" w:hAnsi="宋体"/>
          <w:kern w:val="0"/>
          <w:szCs w:val="21"/>
        </w:rPr>
        <w:t>★（一）交货期：签订合同后</w:t>
      </w:r>
      <w:r>
        <w:rPr>
          <w:rFonts w:hint="eastAsia" w:ascii="宋体" w:hAnsi="宋体"/>
          <w:kern w:val="0"/>
          <w:szCs w:val="21"/>
          <w:lang w:val="en-US" w:eastAsia="zh-CN"/>
        </w:rPr>
        <w:t>45</w:t>
      </w:r>
      <w:r>
        <w:rPr>
          <w:rFonts w:hint="eastAsia" w:ascii="宋体" w:hAnsi="宋体"/>
          <w:kern w:val="0"/>
          <w:szCs w:val="21"/>
        </w:rPr>
        <w:t>天（日历日）内交货。指合同生效后，中标人将全部货物运抵采购人指定地点并安装调试完成，经验收合格，正式交付采购人使用所需的时间。</w:t>
      </w:r>
      <w:bookmarkEnd w:id="2"/>
    </w:p>
    <w:p>
      <w:pPr>
        <w:widowControl/>
        <w:spacing w:line="360" w:lineRule="auto"/>
        <w:jc w:val="left"/>
        <w:outlineLvl w:val="0"/>
        <w:rPr>
          <w:rFonts w:ascii="宋体" w:hAnsi="宋体"/>
          <w:kern w:val="0"/>
          <w:szCs w:val="21"/>
        </w:rPr>
      </w:pPr>
      <w:bookmarkStart w:id="3" w:name="_Toc73610138"/>
      <w:r>
        <w:rPr>
          <w:rFonts w:hint="eastAsia" w:ascii="宋体" w:hAnsi="宋体"/>
          <w:kern w:val="0"/>
          <w:szCs w:val="21"/>
        </w:rPr>
        <w:t>（二）交货地点：采购人指定地点。</w:t>
      </w:r>
      <w:bookmarkEnd w:id="3"/>
    </w:p>
    <w:p>
      <w:pPr>
        <w:widowControl/>
        <w:spacing w:line="360" w:lineRule="auto"/>
        <w:jc w:val="left"/>
        <w:outlineLvl w:val="0"/>
        <w:rPr>
          <w:rFonts w:ascii="宋体" w:hAnsi="宋体"/>
          <w:kern w:val="0"/>
          <w:szCs w:val="21"/>
        </w:rPr>
      </w:pPr>
      <w:bookmarkStart w:id="4" w:name="_Toc73610139"/>
      <w:r>
        <w:rPr>
          <w:rFonts w:hint="eastAsia" w:ascii="宋体" w:hAnsi="宋体"/>
          <w:kern w:val="0"/>
          <w:szCs w:val="21"/>
        </w:rPr>
        <w:t>（三）报价要求：投标报价必须是完成该项目的一切费用总和，包括设备费、运输费、装卸费、安装费、调试费、保险费、技术培训费、售后服务费、国家规定的各项税费等全部费用。</w:t>
      </w:r>
      <w:bookmarkEnd w:id="4"/>
    </w:p>
    <w:p>
      <w:pPr>
        <w:spacing w:line="360" w:lineRule="auto"/>
        <w:jc w:val="left"/>
        <w:rPr>
          <w:rFonts w:ascii="宋体" w:hAnsi="宋体"/>
          <w:szCs w:val="21"/>
        </w:rPr>
      </w:pPr>
      <w:r>
        <w:rPr>
          <w:rFonts w:hint="eastAsia" w:ascii="宋体" w:hAnsi="宋体"/>
          <w:szCs w:val="21"/>
        </w:rPr>
        <w:t>（四）付款方式：</w:t>
      </w:r>
    </w:p>
    <w:p>
      <w:pPr>
        <w:spacing w:line="360" w:lineRule="auto"/>
        <w:jc w:val="left"/>
        <w:rPr>
          <w:rFonts w:hint="eastAsia" w:ascii="宋体" w:hAnsi="宋体" w:eastAsia="宋体"/>
          <w:szCs w:val="21"/>
          <w:lang w:eastAsia="zh-CN"/>
        </w:rPr>
      </w:pPr>
      <w:r>
        <w:rPr>
          <w:rFonts w:hint="eastAsia" w:ascii="宋体" w:hAnsi="宋体"/>
          <w:szCs w:val="21"/>
        </w:rPr>
        <w:t>1、</w:t>
      </w:r>
      <w:r>
        <w:rPr>
          <w:rFonts w:hint="eastAsia"/>
          <w:bCs/>
          <w:szCs w:val="21"/>
        </w:rPr>
        <w:t>合同签订后，中标人必须在</w:t>
      </w:r>
      <w:r>
        <w:rPr>
          <w:rFonts w:hint="eastAsia"/>
          <w:bCs/>
          <w:szCs w:val="21"/>
          <w:u w:val="single"/>
        </w:rPr>
        <w:t>5</w:t>
      </w:r>
      <w:r>
        <w:rPr>
          <w:rFonts w:hint="eastAsia"/>
          <w:bCs/>
          <w:szCs w:val="21"/>
        </w:rPr>
        <w:t>个工作日内向采购人账户汇入合同总金额的5%作为履约保证金。在设备安装完成经采购人验收合格后，中标人提供全额合法有效发票后，采购人在</w:t>
      </w:r>
      <w:r>
        <w:rPr>
          <w:rFonts w:hint="eastAsia"/>
          <w:bCs/>
          <w:szCs w:val="21"/>
          <w:u w:val="single"/>
        </w:rPr>
        <w:t>30</w:t>
      </w:r>
      <w:r>
        <w:rPr>
          <w:rFonts w:hint="eastAsia"/>
          <w:bCs/>
          <w:szCs w:val="21"/>
        </w:rPr>
        <w:t>工作日内付中标人全额货款。合同期满 1 年后无发现任何质量问题，经采购人书面确认后，30个工作日内，采购人扣除有关违约金或损失后无息退还中标人5%履约保证金。采购人因财政审批导致迟延付款的，不视为甲方违约，中标人仍应按照本合同约定履行义务</w:t>
      </w:r>
      <w:r>
        <w:rPr>
          <w:rFonts w:hint="eastAsia"/>
          <w:bCs/>
          <w:szCs w:val="21"/>
          <w:lang w:eastAsia="zh-CN"/>
        </w:rPr>
        <w:t>。</w:t>
      </w:r>
    </w:p>
    <w:p>
      <w:pPr>
        <w:spacing w:line="360" w:lineRule="auto"/>
        <w:jc w:val="left"/>
        <w:rPr>
          <w:rFonts w:ascii="宋体" w:hAnsi="宋体"/>
          <w:szCs w:val="21"/>
        </w:rPr>
      </w:pPr>
      <w:r>
        <w:rPr>
          <w:rFonts w:hint="eastAsia" w:ascii="宋体" w:hAnsi="宋体"/>
          <w:szCs w:val="21"/>
        </w:rPr>
        <w:t>（五）验收方式：</w:t>
      </w:r>
    </w:p>
    <w:p>
      <w:pPr>
        <w:spacing w:line="360" w:lineRule="auto"/>
        <w:jc w:val="left"/>
        <w:rPr>
          <w:rFonts w:ascii="宋体" w:hAnsi="宋体"/>
          <w:szCs w:val="21"/>
        </w:rPr>
      </w:pPr>
      <w:r>
        <w:rPr>
          <w:rFonts w:hint="eastAsia" w:ascii="宋体" w:hAnsi="宋体"/>
          <w:szCs w:val="21"/>
        </w:rPr>
        <w:t>1、交货时采购人有权要求中标人提供相关合格的原材料、配件及成品检验报告、合格证、进货单等资料，经采购人签字同意后进入验收阶段。</w:t>
      </w:r>
    </w:p>
    <w:p>
      <w:pPr>
        <w:spacing w:line="360" w:lineRule="auto"/>
        <w:jc w:val="left"/>
        <w:rPr>
          <w:rFonts w:ascii="宋体" w:hAnsi="宋体"/>
          <w:szCs w:val="21"/>
        </w:rPr>
      </w:pPr>
      <w:r>
        <w:rPr>
          <w:rFonts w:hint="eastAsia" w:ascii="宋体" w:hAnsi="宋体"/>
          <w:szCs w:val="21"/>
        </w:rPr>
        <w:t>2、采购人在中标人生产过程中有权抽查、检验生产产品的质量及加工厂地。</w:t>
      </w:r>
    </w:p>
    <w:p>
      <w:pPr>
        <w:spacing w:line="360" w:lineRule="auto"/>
        <w:jc w:val="left"/>
        <w:rPr>
          <w:rFonts w:ascii="宋体" w:hAnsi="宋体"/>
          <w:szCs w:val="21"/>
        </w:rPr>
      </w:pPr>
      <w:r>
        <w:rPr>
          <w:rFonts w:hint="eastAsia" w:ascii="宋体" w:hAnsi="宋体"/>
          <w:szCs w:val="21"/>
        </w:rPr>
        <w:t>3、出现质量问题或不合格等情况予以返修或调换。</w:t>
      </w:r>
    </w:p>
    <w:p>
      <w:pPr>
        <w:spacing w:line="360" w:lineRule="auto"/>
        <w:jc w:val="left"/>
        <w:rPr>
          <w:rFonts w:ascii="宋体" w:hAnsi="宋体"/>
          <w:szCs w:val="21"/>
        </w:rPr>
      </w:pPr>
      <w:r>
        <w:rPr>
          <w:rFonts w:hint="eastAsia" w:ascii="宋体" w:hAnsi="宋体"/>
          <w:szCs w:val="21"/>
        </w:rPr>
        <w:t>4、中标人货物经过双方检验认可后，签署验收报告，产品保修期自验收合格之日起算，由中标人提供产品保修文件。</w:t>
      </w:r>
    </w:p>
    <w:p>
      <w:pPr>
        <w:spacing w:line="360" w:lineRule="auto"/>
        <w:jc w:val="left"/>
        <w:rPr>
          <w:rFonts w:ascii="宋体" w:hAnsi="宋体"/>
          <w:szCs w:val="21"/>
        </w:rPr>
      </w:pPr>
      <w:r>
        <w:rPr>
          <w:rFonts w:hint="eastAsia" w:ascii="宋体" w:hAnsi="宋体"/>
          <w:szCs w:val="21"/>
        </w:rPr>
        <w:t>5、当满足以下条件时，采购人才向中标人签发货物验收报告。</w:t>
      </w:r>
    </w:p>
    <w:p>
      <w:pPr>
        <w:spacing w:line="360" w:lineRule="auto"/>
        <w:jc w:val="left"/>
        <w:rPr>
          <w:rFonts w:ascii="宋体" w:hAnsi="宋体"/>
          <w:szCs w:val="21"/>
        </w:rPr>
      </w:pPr>
      <w:r>
        <w:rPr>
          <w:rFonts w:hint="eastAsia" w:ascii="宋体" w:hAnsi="宋体"/>
          <w:szCs w:val="21"/>
        </w:rPr>
        <w:t>（1）中标人已按照合同规定提供了全部产品及完整的技术资料。</w:t>
      </w:r>
    </w:p>
    <w:p>
      <w:pPr>
        <w:spacing w:line="360" w:lineRule="auto"/>
        <w:jc w:val="left"/>
        <w:rPr>
          <w:rFonts w:ascii="宋体" w:hAnsi="宋体"/>
          <w:szCs w:val="21"/>
        </w:rPr>
      </w:pPr>
      <w:r>
        <w:rPr>
          <w:rFonts w:hint="eastAsia" w:ascii="宋体" w:hAnsi="宋体"/>
          <w:szCs w:val="21"/>
        </w:rPr>
        <w:t>（2）货物符合招标文件技术规格书的要求，性能满足要求。</w:t>
      </w:r>
    </w:p>
    <w:p>
      <w:pPr>
        <w:spacing w:line="360" w:lineRule="auto"/>
        <w:jc w:val="left"/>
        <w:rPr>
          <w:rFonts w:ascii="宋体" w:hAnsi="宋体"/>
          <w:szCs w:val="21"/>
        </w:rPr>
      </w:pPr>
      <w:r>
        <w:rPr>
          <w:rFonts w:hint="eastAsia" w:ascii="宋体" w:hAnsi="宋体"/>
          <w:szCs w:val="21"/>
        </w:rPr>
        <w:t>（3）货物具备产品合格证。</w:t>
      </w:r>
    </w:p>
    <w:p>
      <w:pPr>
        <w:spacing w:line="360" w:lineRule="auto"/>
        <w:jc w:val="left"/>
        <w:rPr>
          <w:rFonts w:ascii="宋体" w:hAnsi="宋体"/>
          <w:szCs w:val="21"/>
        </w:rPr>
      </w:pPr>
      <w:r>
        <w:rPr>
          <w:rFonts w:hint="eastAsia" w:ascii="宋体" w:hAnsi="宋体"/>
          <w:szCs w:val="21"/>
        </w:rPr>
        <w:t>（4）制作工艺满足招标文件要求。</w:t>
      </w:r>
    </w:p>
    <w:p>
      <w:pPr>
        <w:spacing w:line="360" w:lineRule="auto"/>
        <w:jc w:val="left"/>
        <w:rPr>
          <w:rFonts w:ascii="宋体" w:hAnsi="宋体"/>
          <w:szCs w:val="21"/>
        </w:rPr>
      </w:pPr>
      <w:r>
        <w:rPr>
          <w:rFonts w:hint="eastAsia" w:ascii="宋体" w:hAnsi="宋体"/>
          <w:szCs w:val="21"/>
        </w:rPr>
        <w:t>（六）包装及运输要求：本次采购的设备和材料必须是全新的，所有设备运输到达施工场地时的包装必须是原厂完整的。</w:t>
      </w:r>
    </w:p>
    <w:p>
      <w:pPr>
        <w:spacing w:line="360" w:lineRule="auto"/>
        <w:jc w:val="left"/>
        <w:rPr>
          <w:rFonts w:ascii="宋体" w:hAnsi="宋体"/>
          <w:szCs w:val="21"/>
        </w:rPr>
      </w:pPr>
      <w:r>
        <w:rPr>
          <w:rFonts w:hint="eastAsia" w:ascii="宋体" w:hAnsi="宋体"/>
          <w:szCs w:val="21"/>
        </w:rPr>
        <w:t>（七）售后服务：</w:t>
      </w:r>
    </w:p>
    <w:p>
      <w:pPr>
        <w:spacing w:line="360" w:lineRule="auto"/>
        <w:jc w:val="left"/>
        <w:rPr>
          <w:rFonts w:ascii="宋体" w:hAnsi="宋体"/>
          <w:szCs w:val="21"/>
        </w:rPr>
      </w:pPr>
      <w:r>
        <w:rPr>
          <w:rFonts w:hint="eastAsia" w:ascii="宋体" w:hAnsi="宋体"/>
          <w:szCs w:val="21"/>
        </w:rPr>
        <w:t>1、提供详细的售后服务方案，免费负责安装、调试及人员培训，以保证买方工作人员掌握设备各种使用操作。</w:t>
      </w:r>
    </w:p>
    <w:p>
      <w:pPr>
        <w:spacing w:line="360" w:lineRule="auto"/>
        <w:jc w:val="left"/>
        <w:rPr>
          <w:rFonts w:ascii="宋体" w:hAnsi="宋体"/>
          <w:szCs w:val="21"/>
        </w:rPr>
      </w:pPr>
      <w:r>
        <w:rPr>
          <w:rFonts w:hint="eastAsia" w:ascii="宋体" w:hAnsi="宋体"/>
          <w:szCs w:val="21"/>
        </w:rPr>
        <w:t>2、本项目免费质保期为</w:t>
      </w:r>
      <w:r>
        <w:rPr>
          <w:rFonts w:hint="eastAsia" w:ascii="宋体" w:hAnsi="宋体"/>
          <w:szCs w:val="21"/>
          <w:lang w:val="en-US" w:eastAsia="zh-CN"/>
        </w:rPr>
        <w:t>2</w:t>
      </w:r>
      <w:r>
        <w:rPr>
          <w:rFonts w:hint="eastAsia" w:ascii="宋体" w:hAnsi="宋体"/>
          <w:szCs w:val="21"/>
        </w:rPr>
        <w:t>年，自验收合格之日起开始计算，终身维护。在质保期内，设备零配件及其维修、人工等有关费用全免。</w:t>
      </w:r>
    </w:p>
    <w:p>
      <w:pPr>
        <w:spacing w:line="360" w:lineRule="auto"/>
        <w:jc w:val="left"/>
        <w:rPr>
          <w:rFonts w:ascii="宋体" w:hAnsi="宋体"/>
          <w:szCs w:val="21"/>
        </w:rPr>
      </w:pPr>
      <w:r>
        <w:rPr>
          <w:rFonts w:hint="eastAsia" w:ascii="宋体" w:hAnsi="宋体"/>
          <w:szCs w:val="21"/>
        </w:rPr>
        <w:t>3、备品备件：要求中标人有可靠的售后服务保障，并具有固定的维修服务点、能够提供正常的技术、备品备件服务。</w:t>
      </w:r>
    </w:p>
    <w:p>
      <w:pPr>
        <w:spacing w:line="360" w:lineRule="auto"/>
        <w:jc w:val="left"/>
        <w:rPr>
          <w:rFonts w:ascii="宋体" w:hAnsi="宋体"/>
          <w:szCs w:val="21"/>
        </w:rPr>
      </w:pPr>
      <w:r>
        <w:rPr>
          <w:rFonts w:hint="eastAsia" w:ascii="宋体" w:hAnsi="宋体"/>
          <w:szCs w:val="21"/>
        </w:rPr>
        <w:t>4、技术文件：随同设备提供完整的使用及安装、调试、维修手册等技术资料和软件。</w:t>
      </w:r>
    </w:p>
    <w:p>
      <w:pPr>
        <w:spacing w:line="360" w:lineRule="auto"/>
        <w:jc w:val="left"/>
        <w:rPr>
          <w:rFonts w:ascii="宋体" w:hAnsi="宋体"/>
          <w:szCs w:val="21"/>
        </w:rPr>
      </w:pPr>
      <w:r>
        <w:rPr>
          <w:rFonts w:hint="eastAsia" w:ascii="宋体" w:hAnsi="宋体"/>
          <w:szCs w:val="21"/>
        </w:rPr>
        <w:t>5、响应时间：服务响应时间为1小时，紧急情况下赶到现场不应超过2小时，1天内解决故障。</w:t>
      </w:r>
    </w:p>
    <w:p>
      <w:pPr>
        <w:spacing w:line="360" w:lineRule="auto"/>
        <w:jc w:val="left"/>
        <w:rPr>
          <w:rFonts w:ascii="宋体" w:hAnsi="宋体"/>
          <w:szCs w:val="21"/>
        </w:rPr>
      </w:pPr>
      <w:r>
        <w:rPr>
          <w:rFonts w:hint="eastAsia" w:ascii="宋体" w:hAnsi="宋体"/>
          <w:szCs w:val="21"/>
        </w:rPr>
        <w:t>6、培训要求：中标人免费在现场对采购人的技术人员进行设备操作培训。</w:t>
      </w:r>
    </w:p>
    <w:p>
      <w:pPr>
        <w:spacing w:line="360" w:lineRule="auto"/>
        <w:jc w:val="left"/>
        <w:rPr>
          <w:rFonts w:ascii="宋体" w:hAnsi="宋体"/>
          <w:szCs w:val="21"/>
        </w:rPr>
      </w:pPr>
      <w:r>
        <w:rPr>
          <w:rFonts w:hint="eastAsia" w:ascii="宋体" w:hAnsi="宋体"/>
          <w:szCs w:val="21"/>
        </w:rPr>
        <w:t>7、中标供应商需提供质保期内，每年不少于2次装备上门养护服务，并由采购人确认。</w:t>
      </w:r>
    </w:p>
    <w:p>
      <w:pPr>
        <w:spacing w:line="360" w:lineRule="auto"/>
        <w:jc w:val="left"/>
        <w:rPr>
          <w:rFonts w:ascii="宋体" w:hAnsi="宋体"/>
          <w:szCs w:val="21"/>
        </w:rPr>
      </w:pPr>
      <w:r>
        <w:rPr>
          <w:rFonts w:hint="eastAsia" w:ascii="宋体" w:hAnsi="宋体"/>
          <w:szCs w:val="21"/>
        </w:rPr>
        <w:t>（八）违约条款：</w:t>
      </w:r>
    </w:p>
    <w:p>
      <w:pPr>
        <w:spacing w:line="360" w:lineRule="auto"/>
        <w:jc w:val="left"/>
        <w:rPr>
          <w:rFonts w:ascii="宋体" w:hAnsi="宋体"/>
          <w:szCs w:val="21"/>
        </w:rPr>
      </w:pPr>
      <w:r>
        <w:rPr>
          <w:rFonts w:hint="eastAsia" w:ascii="宋体" w:hAnsi="宋体"/>
          <w:szCs w:val="21"/>
        </w:rPr>
        <w:t>1、中标人不能交货的，需偿付不能交货部分货款的5%的违约金并按主管部门相关规定处理。</w:t>
      </w:r>
    </w:p>
    <w:p>
      <w:pPr>
        <w:spacing w:line="360" w:lineRule="auto"/>
        <w:jc w:val="left"/>
        <w:rPr>
          <w:rFonts w:ascii="宋体" w:hAnsi="宋体"/>
          <w:szCs w:val="21"/>
        </w:rPr>
      </w:pPr>
      <w:r>
        <w:rPr>
          <w:rFonts w:hint="eastAsia" w:ascii="宋体" w:hAnsi="宋体"/>
          <w:szCs w:val="21"/>
        </w:rPr>
        <w:t>2、中标人逾期交货的，将被没收履约保证金并按主管部门相关规定处理。</w:t>
      </w:r>
    </w:p>
    <w:p>
      <w:pPr>
        <w:spacing w:line="360" w:lineRule="auto"/>
        <w:jc w:val="left"/>
      </w:pPr>
      <w:r>
        <w:rPr>
          <w:rFonts w:hint="eastAsia" w:ascii="宋体" w:hAnsi="宋体"/>
          <w:szCs w:val="21"/>
        </w:rPr>
        <w:t>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p/>
    <w:p>
      <w:pPr>
        <w:widowControl/>
        <w:jc w:val="left"/>
      </w:pPr>
    </w:p>
    <w:p/>
    <w:p>
      <w:pPr>
        <w:rPr>
          <w:rFonts w:hint="eastAsia"/>
        </w:rPr>
      </w:pPr>
      <w:bookmarkStart w:id="5" w:name="_Toc73610140"/>
      <w:r>
        <w:rPr>
          <w:rFonts w:hint="eastAsia"/>
        </w:rPr>
        <w:br w:type="page"/>
      </w:r>
    </w:p>
    <w:p>
      <w:pPr>
        <w:pStyle w:val="2"/>
      </w:pPr>
      <w:r>
        <w:rPr>
          <w:rFonts w:hint="eastAsia"/>
        </w:rPr>
        <w:t>第三章  投标文件初审</w:t>
      </w:r>
      <w:bookmarkEnd w:id="5"/>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pPr>
        <w:adjustRightInd w:val="0"/>
        <w:spacing w:line="360" w:lineRule="auto"/>
        <w:rPr>
          <w:snapToGrid w:val="0"/>
          <w:kern w:val="0"/>
        </w:rPr>
      </w:pPr>
    </w:p>
    <w:p>
      <w:pPr>
        <w:adjustRightInd w:val="0"/>
        <w:spacing w:line="360" w:lineRule="auto"/>
        <w:rPr>
          <w:snapToGrid w:val="0"/>
          <w:kern w:val="0"/>
        </w:rPr>
      </w:pPr>
      <w:r>
        <w:rPr>
          <w:rFonts w:hint="eastAsia"/>
          <w:snapToGrid w:val="0"/>
          <w:kern w:val="0"/>
        </w:rPr>
        <w:t>一、资格性</w:t>
      </w:r>
      <w:r>
        <w:rPr>
          <w:rFonts w:hint="eastAsia" w:ascii="宋体" w:hAnsi="宋体"/>
          <w:snapToGrid w:val="0"/>
          <w:kern w:val="0"/>
        </w:rPr>
        <w:t>审查</w:t>
      </w:r>
    </w:p>
    <w:p>
      <w:pPr>
        <w:adjustRightInd w:val="0"/>
        <w:spacing w:line="360" w:lineRule="auto"/>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pPr>
        <w:adjustRightInd w:val="0"/>
        <w:spacing w:line="360" w:lineRule="auto"/>
        <w:rPr>
          <w:rFonts w:ascii="宋体" w:hAnsi="宋体"/>
          <w:snapToGrid w:val="0"/>
          <w:kern w:val="0"/>
        </w:rPr>
      </w:pPr>
    </w:p>
    <w:p>
      <w:pPr>
        <w:adjustRightInd w:val="0"/>
        <w:spacing w:line="360" w:lineRule="auto"/>
        <w:rPr>
          <w:rFonts w:ascii="宋体" w:hAnsi="宋体"/>
          <w:snapToGrid w:val="0"/>
          <w:kern w:val="0"/>
        </w:rPr>
      </w:pPr>
      <w:r>
        <w:rPr>
          <w:rFonts w:hint="eastAsia" w:ascii="宋体" w:hAnsi="宋体"/>
          <w:snapToGrid w:val="0"/>
          <w:kern w:val="0"/>
        </w:rPr>
        <w:t>二、符合性审查</w:t>
      </w:r>
    </w:p>
    <w:p>
      <w:pPr>
        <w:adjustRightInd w:val="0"/>
        <w:spacing w:line="360" w:lineRule="auto"/>
        <w:rPr>
          <w:rFonts w:ascii="宋体" w:hAnsi="宋体"/>
          <w:snapToGrid w:val="0"/>
          <w:kern w:val="0"/>
        </w:rPr>
      </w:pPr>
      <w:r>
        <w:rPr>
          <w:rFonts w:hint="eastAsia" w:ascii="宋体" w:hAnsi="宋体"/>
          <w:snapToGrid w:val="0"/>
          <w:kern w:val="0"/>
        </w:rPr>
        <w:t>1、投标人提供的投标文件数量不符合招标文件要求。</w:t>
      </w:r>
    </w:p>
    <w:p>
      <w:pPr>
        <w:adjustRightInd w:val="0"/>
        <w:spacing w:line="360" w:lineRule="auto"/>
        <w:rPr>
          <w:rFonts w:ascii="宋体" w:hAnsi="宋体"/>
          <w:snapToGrid w:val="0"/>
          <w:kern w:val="0"/>
        </w:rPr>
      </w:pPr>
      <w:r>
        <w:rPr>
          <w:rFonts w:hint="eastAsia" w:ascii="宋体" w:hAnsi="宋体"/>
          <w:snapToGrid w:val="0"/>
          <w:kern w:val="0"/>
        </w:rPr>
        <w:t>2、投标文件未按照招标文件要求制作、密封和标记。</w:t>
      </w:r>
    </w:p>
    <w:p>
      <w:pPr>
        <w:adjustRightInd w:val="0"/>
        <w:spacing w:line="360" w:lineRule="auto"/>
        <w:rPr>
          <w:rFonts w:ascii="宋体" w:hAnsi="宋体"/>
          <w:snapToGrid w:val="0"/>
          <w:kern w:val="0"/>
        </w:rPr>
      </w:pPr>
      <w:r>
        <w:rPr>
          <w:rFonts w:hint="eastAsia" w:ascii="宋体" w:hAnsi="宋体"/>
          <w:snapToGrid w:val="0"/>
          <w:kern w:val="0"/>
        </w:rPr>
        <w:t>3、未按招标文件要求提供法定代表人证明书和法定代表人授权委托证明书。</w:t>
      </w:r>
    </w:p>
    <w:p>
      <w:pPr>
        <w:adjustRightInd w:val="0"/>
        <w:spacing w:line="360" w:lineRule="auto"/>
        <w:ind w:left="283" w:hanging="283" w:hangingChars="135"/>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pPr>
        <w:adjustRightInd w:val="0"/>
        <w:spacing w:line="360" w:lineRule="auto"/>
        <w:rPr>
          <w:rFonts w:ascii="宋体" w:hAnsi="宋体"/>
          <w:snapToGrid w:val="0"/>
          <w:kern w:val="0"/>
        </w:rPr>
      </w:pPr>
      <w:r>
        <w:rPr>
          <w:rFonts w:hint="eastAsia" w:ascii="宋体" w:hAnsi="宋体"/>
          <w:snapToGrid w:val="0"/>
          <w:kern w:val="0"/>
        </w:rPr>
        <w:t>5、投标文件的关键内容字迹模糊、无法辨认的。</w:t>
      </w:r>
    </w:p>
    <w:p>
      <w:pPr>
        <w:adjustRightInd w:val="0"/>
        <w:spacing w:line="360" w:lineRule="auto"/>
        <w:rPr>
          <w:rFonts w:ascii="宋体" w:hAnsi="宋体"/>
          <w:snapToGrid w:val="0"/>
          <w:kern w:val="0"/>
        </w:rPr>
      </w:pPr>
      <w:r>
        <w:rPr>
          <w:rFonts w:hint="eastAsia" w:ascii="宋体" w:hAnsi="宋体"/>
          <w:snapToGrid w:val="0"/>
          <w:kern w:val="0"/>
        </w:rPr>
        <w:t>6、投标报价有严重缺漏项的。</w:t>
      </w:r>
    </w:p>
    <w:p>
      <w:pPr>
        <w:adjustRightInd w:val="0"/>
        <w:spacing w:line="360" w:lineRule="auto"/>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pPr>
        <w:adjustRightInd w:val="0"/>
        <w:spacing w:line="360" w:lineRule="auto"/>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pPr>
        <w:adjustRightInd w:val="0"/>
        <w:spacing w:line="360" w:lineRule="auto"/>
        <w:rPr>
          <w:rFonts w:ascii="宋体" w:hAnsi="宋体"/>
          <w:snapToGrid w:val="0"/>
          <w:kern w:val="0"/>
        </w:rPr>
      </w:pPr>
      <w:r>
        <w:rPr>
          <w:rFonts w:hint="eastAsia" w:ascii="宋体" w:hAnsi="宋体"/>
          <w:snapToGrid w:val="0"/>
          <w:kern w:val="0"/>
        </w:rPr>
        <w:t>9、将一个项目包拆分投标，对同一货物及服务投标时，同时提供两套或以上的投标方案。</w:t>
      </w:r>
    </w:p>
    <w:p>
      <w:pPr>
        <w:adjustRightInd w:val="0"/>
        <w:spacing w:line="360" w:lineRule="auto"/>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pPr>
        <w:adjustRightInd w:val="0"/>
        <w:spacing w:line="360" w:lineRule="auto"/>
        <w:rPr>
          <w:rFonts w:ascii="宋体" w:hAnsi="宋体"/>
          <w:snapToGrid w:val="0"/>
          <w:kern w:val="0"/>
        </w:rPr>
      </w:pPr>
      <w:r>
        <w:rPr>
          <w:rFonts w:hint="eastAsia" w:ascii="宋体" w:hAnsi="宋体"/>
          <w:snapToGrid w:val="0"/>
          <w:kern w:val="0"/>
        </w:rPr>
        <w:t>11、投标违规行为：如以他人名义竞标、串通投标或者以其他弄虚作假方式投标的。</w:t>
      </w:r>
    </w:p>
    <w:p>
      <w:pPr>
        <w:adjustRightInd w:val="0"/>
        <w:spacing w:line="360" w:lineRule="auto"/>
        <w:rPr>
          <w:rFonts w:ascii="宋体" w:hAnsi="宋体"/>
          <w:snapToGrid w:val="0"/>
          <w:kern w:val="0"/>
        </w:rPr>
      </w:pPr>
      <w:r>
        <w:rPr>
          <w:rFonts w:hint="eastAsia" w:ascii="宋体" w:hAnsi="宋体"/>
          <w:snapToGrid w:val="0"/>
          <w:kern w:val="0"/>
        </w:rPr>
        <w:t>12、</w:t>
      </w:r>
      <w:r>
        <w:rPr>
          <w:rFonts w:hint="eastAsia" w:ascii="宋体" w:hAnsi="宋体"/>
          <w:bCs/>
          <w:szCs w:val="21"/>
        </w:rPr>
        <w:t>投标人的投标总价超过采购预算金额（最高投标限价）的</w:t>
      </w:r>
      <w:r>
        <w:rPr>
          <w:rFonts w:hint="eastAsia" w:ascii="宋体" w:hAnsi="宋体"/>
          <w:snapToGrid w:val="0"/>
          <w:kern w:val="0"/>
        </w:rPr>
        <w:t>。</w:t>
      </w:r>
    </w:p>
    <w:p>
      <w:pPr>
        <w:adjustRightInd w:val="0"/>
        <w:spacing w:line="360" w:lineRule="auto"/>
        <w:rPr>
          <w:rFonts w:ascii="宋体" w:hAnsi="宋体"/>
          <w:snapToGrid w:val="0"/>
          <w:kern w:val="0"/>
        </w:rPr>
      </w:pPr>
      <w:r>
        <w:rPr>
          <w:rFonts w:hint="eastAsia" w:ascii="宋体" w:hAnsi="宋体"/>
          <w:snapToGrid w:val="0"/>
          <w:kern w:val="0"/>
        </w:rPr>
        <w:t>13、法律法规规定的其它情形。</w:t>
      </w:r>
    </w:p>
    <w:p/>
    <w:p/>
    <w:p/>
    <w:p/>
    <w:p>
      <w:pPr>
        <w:widowControl/>
        <w:jc w:val="left"/>
      </w:pPr>
      <w:r>
        <w:br w:type="page"/>
      </w:r>
    </w:p>
    <w:p/>
    <w:p>
      <w:pPr>
        <w:pStyle w:val="2"/>
        <w:spacing w:afterLines="100"/>
      </w:pPr>
      <w:bookmarkStart w:id="6" w:name="_Toc73610141"/>
      <w:r>
        <w:rPr>
          <w:rFonts w:hint="eastAsia"/>
        </w:rPr>
        <w:t>第四章  评标方法和标准</w:t>
      </w:r>
      <w:bookmarkEnd w:id="6"/>
    </w:p>
    <w:p>
      <w:pPr>
        <w:pStyle w:val="4"/>
        <w:spacing w:before="0" w:after="0"/>
      </w:pPr>
      <w:bookmarkStart w:id="7" w:name="_Toc44690429"/>
      <w:bookmarkStart w:id="8" w:name="_Toc73610142"/>
      <w:bookmarkStart w:id="9" w:name="_Toc44690702"/>
      <w:bookmarkStart w:id="10" w:name="_Toc44691161"/>
      <w:bookmarkStart w:id="11" w:name="_Toc44691393"/>
      <w:r>
        <w:rPr>
          <w:rFonts w:hint="eastAsia"/>
        </w:rPr>
        <w:t>一、</w:t>
      </w:r>
      <w:r>
        <w:t>评标方法</w:t>
      </w:r>
      <w:bookmarkEnd w:id="7"/>
      <w:bookmarkEnd w:id="8"/>
      <w:bookmarkEnd w:id="9"/>
      <w:bookmarkEnd w:id="10"/>
      <w:bookmarkEnd w:id="11"/>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综合评分法，是指投标文件满足招标文件全部实质性要求，且按照评审因素的量化指标评审得分最高的投标人为中标候选人的评标方法。</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3、中标人及中标候选人数量：</w:t>
      </w:r>
      <w:r>
        <w:rPr>
          <w:rFonts w:hint="eastAsia" w:cs="仿宋" w:asciiTheme="minorEastAsia" w:hAnsiTheme="minorEastAsia" w:eastAsiaTheme="minorEastAsia"/>
          <w:kern w:val="2"/>
          <w:sz w:val="21"/>
          <w:szCs w:val="21"/>
        </w:rPr>
        <w:t>中标人数量：1名，中标候选人数量：1名。</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若评审得分相同，则按投标报价由低到高顺序排列；若评审得分及投标报价均相同，则按技术服务优劣顺序排列（即按技术部分得分由高到低顺序排列）；以上均相同的由评标委员会抽签决定排序。</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5、推荐中标候选人：</w:t>
      </w:r>
    </w:p>
    <w:p>
      <w:pPr>
        <w:pStyle w:val="45"/>
        <w:spacing w:before="0" w:beforeAutospacing="0" w:after="0" w:afterAutospacing="0" w:line="360" w:lineRule="exact"/>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评标排名第一的投标人</w:t>
      </w:r>
      <w:r>
        <w:rPr>
          <w:rFonts w:hint="eastAsia" w:cs="仿宋" w:asciiTheme="minorEastAsia" w:hAnsiTheme="minorEastAsia" w:eastAsiaTheme="minorEastAsia"/>
          <w:kern w:val="2"/>
          <w:sz w:val="21"/>
          <w:szCs w:val="21"/>
        </w:rPr>
        <w:t>作为中标候选人。</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6、确定中标人：</w:t>
      </w:r>
    </w:p>
    <w:p>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非评定分离项目：采购人在评标报告确定的中标候选人名单中按顺序确定1名中标人。</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pPr>
        <w:spacing w:line="360" w:lineRule="auto"/>
        <w:ind w:firstLine="424" w:firstLineChars="202"/>
        <w:rPr>
          <w:rFonts w:asciiTheme="minorEastAsia" w:hAnsiTheme="minorEastAsia" w:eastAsiaTheme="minorEastAsia"/>
        </w:rPr>
      </w:pPr>
    </w:p>
    <w:p>
      <w:pPr>
        <w:pStyle w:val="4"/>
        <w:spacing w:before="0" w:after="0"/>
      </w:pPr>
      <w:bookmarkStart w:id="12" w:name="_Toc73610143"/>
      <w:r>
        <w:rPr>
          <w:rFonts w:hint="eastAsia"/>
        </w:rPr>
        <w:t>二、评标标准</w:t>
      </w:r>
      <w:bookmarkEnd w:id="12"/>
    </w:p>
    <w:p>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评标委员会按照以下量化的评审因素，对各投标文件进行分析和比较：</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评分项及评分规则</w:t>
            </w:r>
          </w:p>
        </w:tc>
        <w:tc>
          <w:tcPr>
            <w:tcW w:w="1187" w:type="dxa"/>
            <w:vAlign w:val="center"/>
          </w:tcPr>
          <w:p>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一、价格部分</w:t>
            </w:r>
          </w:p>
        </w:tc>
        <w:tc>
          <w:tcPr>
            <w:tcW w:w="1187" w:type="dxa"/>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pPr>
              <w:pStyle w:val="45"/>
              <w:spacing w:before="0" w:beforeAutospacing="0" w:after="0" w:afterAutospacing="0" w:line="360" w:lineRule="exact"/>
              <w:ind w:left="420" w:hanging="420"/>
              <w:rPr>
                <w:rFonts w:cs="仿宋"/>
                <w:b/>
                <w:bCs/>
                <w:sz w:val="21"/>
                <w:szCs w:val="21"/>
              </w:rPr>
            </w:pPr>
            <w:r>
              <w:rPr>
                <w:rFonts w:hint="eastAsia" w:cs="仿宋" w:asciiTheme="minorEastAsia" w:hAnsiTheme="minorEastAsia" w:eastAsiaTheme="minorEastAsia"/>
                <w:kern w:val="2"/>
                <w:sz w:val="21"/>
                <w:szCs w:val="21"/>
              </w:rPr>
              <w:t>价格分采用低价优先法计算，计算公式如下：</w:t>
            </w:r>
          </w:p>
          <w:p>
            <w:pPr>
              <w:pStyle w:val="45"/>
              <w:spacing w:before="0" w:beforeAutospacing="0" w:after="0" w:afterAutospacing="0" w:line="360" w:lineRule="exac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投标报价得分 = Z/Sn ×30</w:t>
            </w:r>
          </w:p>
          <w:p>
            <w:pPr>
              <w:pStyle w:val="45"/>
              <w:spacing w:before="0" w:beforeAutospacing="0" w:after="0" w:afterAutospacing="0" w:line="360" w:lineRule="exac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 xml:space="preserve">当价格分＜0时，取0。 </w:t>
            </w:r>
          </w:p>
          <w:p>
            <w:pPr>
              <w:pStyle w:val="45"/>
              <w:spacing w:before="0" w:beforeAutospacing="0" w:after="0" w:afterAutospacing="0" w:line="360" w:lineRule="exac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其中：</w:t>
            </w:r>
          </w:p>
          <w:p>
            <w:pPr>
              <w:pStyle w:val="45"/>
              <w:spacing w:before="0" w:beforeAutospacing="0" w:after="0" w:afterAutospacing="0" w:line="360" w:lineRule="exac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 xml:space="preserve">Z </w:t>
            </w:r>
            <w:r>
              <w:rPr>
                <w:rFonts w:hint="eastAsia" w:cs="仿宋" w:asciiTheme="minorEastAsia" w:hAnsiTheme="minorEastAsia" w:eastAsiaTheme="minorEastAsia"/>
                <w:sz w:val="21"/>
                <w:szCs w:val="21"/>
              </w:rPr>
              <w:t>----</w:t>
            </w:r>
            <w:r>
              <w:rPr>
                <w:rFonts w:hint="eastAsia" w:cs="仿宋" w:asciiTheme="minorEastAsia" w:hAnsiTheme="minorEastAsia" w:eastAsiaTheme="minorEastAsia"/>
                <w:kern w:val="2"/>
                <w:sz w:val="21"/>
                <w:szCs w:val="21"/>
              </w:rPr>
              <w:t>评标基准价，即通过资格性审查和符合性审查且投标价格最低的投标报价。</w:t>
            </w:r>
          </w:p>
          <w:p>
            <w:pPr>
              <w:autoSpaceDE w:val="0"/>
              <w:autoSpaceDN w:val="0"/>
              <w:adjustRightInd w:val="0"/>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Sn ---投标报价，即通过资格性审查和符合性审查的投标报价。</w:t>
            </w:r>
          </w:p>
          <w:p>
            <w:pPr>
              <w:autoSpaceDE w:val="0"/>
              <w:autoSpaceDN w:val="0"/>
              <w:adjustRightInd w:val="0"/>
              <w:spacing w:line="360" w:lineRule="exact"/>
              <w:jc w:val="left"/>
              <w:rPr>
                <w:rFonts w:ascii="宋体" w:hAnsi="宋体"/>
                <w:b/>
                <w:bCs/>
                <w:snapToGrid w:val="0"/>
                <w:kern w:val="0"/>
              </w:rPr>
            </w:pPr>
            <w:r>
              <w:rPr>
                <w:rFonts w:hint="eastAsia" w:ascii="宋体" w:hAnsi="宋体"/>
                <w:b/>
                <w:snapToGrid w:val="0"/>
                <w:kern w:val="0"/>
                <w:szCs w:val="21"/>
              </w:rPr>
              <w:t>注：对于符合 “</w:t>
            </w:r>
            <w:r>
              <w:rPr>
                <w:rFonts w:hint="eastAsia" w:ascii="宋体" w:hAnsi="宋体"/>
                <w:b/>
                <w:snapToGrid w:val="0"/>
                <w:kern w:val="0"/>
              </w:rPr>
              <w:t>政府采购优惠政策</w:t>
            </w:r>
            <w:r>
              <w:rPr>
                <w:rFonts w:hint="eastAsia" w:ascii="宋体" w:hAnsi="宋体"/>
                <w:b/>
                <w:bCs/>
                <w:snapToGrid w:val="0"/>
                <w:kern w:val="0"/>
              </w:rPr>
              <w:t>”的小微企业、监狱企业和残疾人福利性单位，以调整后的价格计算评标基准价和投标报价。</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按公式计算评分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rPr>
              <w:t>二、技术部分</w:t>
            </w:r>
          </w:p>
        </w:tc>
        <w:tc>
          <w:tcPr>
            <w:tcW w:w="1187" w:type="dxa"/>
            <w:vAlign w:val="center"/>
          </w:tcPr>
          <w:p>
            <w:pPr>
              <w:autoSpaceDE w:val="0"/>
              <w:autoSpaceDN w:val="0"/>
              <w:adjustRightInd w:val="0"/>
              <w:spacing w:line="360" w:lineRule="exact"/>
              <w:jc w:val="center"/>
              <w:rPr>
                <w:rFonts w:hint="default" w:ascii="宋体" w:hAnsi="宋体" w:eastAsia="宋体" w:cs="仿宋"/>
                <w:b/>
                <w:szCs w:val="21"/>
                <w:lang w:val="en-US" w:eastAsia="zh-CN"/>
              </w:rPr>
            </w:pPr>
            <w:r>
              <w:rPr>
                <w:rFonts w:hint="eastAsia" w:ascii="宋体" w:hAnsi="宋体" w:cs="仿宋"/>
                <w:b/>
                <w:szCs w:val="21"/>
                <w:lang w:val="en-US" w:eastAsia="zh-CN"/>
              </w:rPr>
              <w:t>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序号</w:t>
            </w:r>
          </w:p>
        </w:tc>
        <w:tc>
          <w:tcPr>
            <w:tcW w:w="114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内容</w:t>
            </w:r>
          </w:p>
        </w:tc>
        <w:tc>
          <w:tcPr>
            <w:tcW w:w="709"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权重</w:t>
            </w:r>
          </w:p>
        </w:tc>
        <w:tc>
          <w:tcPr>
            <w:tcW w:w="595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评分规则</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54"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1</w:t>
            </w:r>
          </w:p>
        </w:tc>
        <w:tc>
          <w:tcPr>
            <w:tcW w:w="1143" w:type="dxa"/>
            <w:vAlign w:val="center"/>
          </w:tcPr>
          <w:p>
            <w:pPr>
              <w:widowControl/>
              <w:spacing w:line="360" w:lineRule="exact"/>
              <w:jc w:val="center"/>
              <w:rPr>
                <w:rFonts w:ascii="宋体" w:hAnsi="宋体" w:cs="仿宋"/>
                <w:kern w:val="0"/>
                <w:szCs w:val="21"/>
              </w:rPr>
            </w:pPr>
            <w:r>
              <w:rPr>
                <w:rFonts w:hint="eastAsia" w:ascii="宋体" w:hAnsi="宋体" w:cs="宋体"/>
                <w:kern w:val="0"/>
                <w:szCs w:val="21"/>
              </w:rPr>
              <w:t>技术规格偏离情况</w:t>
            </w:r>
          </w:p>
        </w:tc>
        <w:tc>
          <w:tcPr>
            <w:tcW w:w="709" w:type="dxa"/>
            <w:vAlign w:val="center"/>
          </w:tcPr>
          <w:p>
            <w:pPr>
              <w:widowControl/>
              <w:spacing w:line="360" w:lineRule="exact"/>
              <w:jc w:val="center"/>
              <w:rPr>
                <w:rFonts w:hint="default" w:ascii="宋体" w:hAnsi="宋体" w:eastAsia="宋体" w:cs="仿宋"/>
                <w:kern w:val="0"/>
                <w:szCs w:val="21"/>
                <w:lang w:val="en-US" w:eastAsia="zh-CN"/>
              </w:rPr>
            </w:pPr>
            <w:r>
              <w:rPr>
                <w:rFonts w:hint="eastAsia" w:ascii="宋体" w:hAnsi="宋体" w:cs="仿宋"/>
                <w:kern w:val="0"/>
                <w:szCs w:val="21"/>
                <w:lang w:val="en-US" w:eastAsia="zh-CN"/>
              </w:rPr>
              <w:t>35</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spacing w:line="360" w:lineRule="exact"/>
              <w:jc w:val="left"/>
              <w:rPr>
                <w:rFonts w:ascii="宋体" w:hAnsi="宋体" w:cs="仿宋"/>
                <w:szCs w:val="21"/>
              </w:rPr>
            </w:pPr>
            <w:r>
              <w:rPr>
                <w:rFonts w:hint="eastAsia" w:ascii="宋体" w:hAnsi="宋体" w:cs="仿宋"/>
                <w:szCs w:val="21"/>
              </w:rPr>
              <w:t>投标人应如实填写《技术规格偏离表》，各项技术参数指标及要求全部满足的得</w:t>
            </w:r>
            <w:r>
              <w:rPr>
                <w:rFonts w:hint="eastAsia" w:ascii="宋体" w:hAnsi="宋体" w:cs="仿宋"/>
                <w:szCs w:val="21"/>
                <w:lang w:val="en-US" w:eastAsia="zh-CN"/>
              </w:rPr>
              <w:t>35</w:t>
            </w:r>
            <w:r>
              <w:rPr>
                <w:rFonts w:hint="eastAsia" w:ascii="宋体" w:hAnsi="宋体" w:cs="仿宋"/>
                <w:szCs w:val="21"/>
              </w:rPr>
              <w:t>分；“▲”参数为重要指标，每负偏离一项扣</w:t>
            </w:r>
            <w:r>
              <w:rPr>
                <w:rFonts w:hint="eastAsia" w:ascii="宋体" w:hAnsi="宋体" w:cs="仿宋"/>
                <w:szCs w:val="21"/>
                <w:lang w:val="en-US" w:eastAsia="zh-CN"/>
              </w:rPr>
              <w:t>5</w:t>
            </w:r>
            <w:r>
              <w:rPr>
                <w:rFonts w:hint="eastAsia" w:ascii="宋体" w:hAnsi="宋体" w:cs="仿宋"/>
                <w:szCs w:val="21"/>
              </w:rPr>
              <w:t>分；其余指标每负偏离一项扣 1分，</w:t>
            </w:r>
            <w:r>
              <w:rPr>
                <w:rFonts w:hint="eastAsia" w:ascii="宋体" w:hAnsi="宋体"/>
                <w:bCs/>
                <w:szCs w:val="21"/>
              </w:rPr>
              <w:t>最低0分</w:t>
            </w:r>
            <w:r>
              <w:rPr>
                <w:rFonts w:hint="eastAsia" w:ascii="宋体" w:hAnsi="宋体" w:cs="仿宋"/>
                <w:szCs w:val="21"/>
              </w:rPr>
              <w:t>。</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pPr>
              <w:spacing w:line="360" w:lineRule="exact"/>
              <w:jc w:val="left"/>
              <w:rPr>
                <w:rFonts w:ascii="宋体" w:hAnsi="宋体" w:cs="仿宋"/>
                <w:szCs w:val="21"/>
              </w:rPr>
            </w:pPr>
            <w:r>
              <w:rPr>
                <w:rFonts w:hint="eastAsia" w:ascii="宋体" w:hAnsi="宋体"/>
                <w:bCs/>
                <w:szCs w:val="21"/>
              </w:rPr>
              <w:t>以投标文件《技术</w:t>
            </w:r>
            <w:r>
              <w:rPr>
                <w:rFonts w:hint="eastAsia" w:ascii="宋体" w:hAnsi="宋体" w:cs="仿宋"/>
                <w:szCs w:val="21"/>
              </w:rPr>
              <w:t>规格</w:t>
            </w:r>
            <w:r>
              <w:rPr>
                <w:rFonts w:hint="eastAsia" w:ascii="宋体" w:hAnsi="宋体"/>
                <w:bCs/>
                <w:szCs w:val="21"/>
              </w:rPr>
              <w:t>偏离表》为评分依据，投标人</w:t>
            </w:r>
            <w:r>
              <w:rPr>
                <w:rFonts w:hint="eastAsia" w:ascii="宋体" w:hAnsi="宋体" w:cs="仿宋"/>
                <w:szCs w:val="21"/>
              </w:rPr>
              <w:t>按招标文件要求提供相应的证明材料复印件或扫描件加盖投标人公章（原件备查），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w:t>
            </w:r>
            <w:r>
              <w:rPr>
                <w:rFonts w:hint="eastAsia" w:ascii="宋体" w:hAnsi="宋体"/>
                <w:szCs w:val="21"/>
              </w:rPr>
              <w:t>对于不同货物的技术要求中的相同项不满足时按一项不满足进行扣分，不对某一项技术要求重复扣分。</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62"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2</w:t>
            </w:r>
          </w:p>
        </w:tc>
        <w:tc>
          <w:tcPr>
            <w:tcW w:w="1143" w:type="dxa"/>
            <w:vAlign w:val="center"/>
          </w:tcPr>
          <w:p>
            <w:pPr>
              <w:spacing w:line="360" w:lineRule="exact"/>
              <w:jc w:val="center"/>
              <w:rPr>
                <w:rFonts w:ascii="宋体" w:hAnsi="宋体" w:cs="仿宋"/>
                <w:szCs w:val="21"/>
              </w:rPr>
            </w:pPr>
            <w:r>
              <w:rPr>
                <w:rFonts w:hint="eastAsia" w:ascii="宋体" w:hAnsi="宋体" w:cs="宋体"/>
                <w:kern w:val="0"/>
                <w:szCs w:val="21"/>
              </w:rPr>
              <w:t>技术保障措施</w:t>
            </w:r>
          </w:p>
        </w:tc>
        <w:tc>
          <w:tcPr>
            <w:tcW w:w="709" w:type="dxa"/>
            <w:vAlign w:val="center"/>
          </w:tcPr>
          <w:p>
            <w:pPr>
              <w:spacing w:line="360" w:lineRule="exact"/>
              <w:jc w:val="center"/>
              <w:rPr>
                <w:rFonts w:hint="eastAsia" w:ascii="宋体" w:hAnsi="宋体" w:eastAsia="宋体" w:cs="仿宋"/>
                <w:szCs w:val="21"/>
                <w:lang w:eastAsia="zh-CN"/>
              </w:rPr>
            </w:pPr>
            <w:r>
              <w:rPr>
                <w:rFonts w:hint="eastAsia" w:ascii="宋体" w:hAnsi="宋体" w:cs="仿宋"/>
                <w:szCs w:val="21"/>
                <w:lang w:val="en-US" w:eastAsia="zh-CN"/>
              </w:rPr>
              <w:t>6</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spacing w:line="360" w:lineRule="exact"/>
              <w:jc w:val="left"/>
              <w:rPr>
                <w:rFonts w:ascii="宋体" w:hAnsi="宋体" w:cs="仿宋"/>
                <w:szCs w:val="21"/>
              </w:rPr>
            </w:pPr>
            <w:r>
              <w:rPr>
                <w:rFonts w:hint="eastAsia" w:ascii="宋体" w:hAnsi="宋体" w:cs="仿宋"/>
                <w:szCs w:val="21"/>
              </w:rPr>
              <w:t>投标人</w:t>
            </w:r>
            <w:r>
              <w:rPr>
                <w:rFonts w:ascii="宋体" w:hAnsi="宋体" w:cs="仿宋"/>
                <w:szCs w:val="21"/>
              </w:rPr>
              <w:t>在投标文件中详细说明</w:t>
            </w:r>
            <w:r>
              <w:rPr>
                <w:rFonts w:hint="eastAsia" w:ascii="宋体" w:hAnsi="宋体" w:cs="仿宋"/>
                <w:szCs w:val="21"/>
              </w:rPr>
              <w:t>技术</w:t>
            </w:r>
            <w:r>
              <w:rPr>
                <w:rFonts w:ascii="宋体" w:hAnsi="宋体" w:cs="仿宋"/>
                <w:szCs w:val="21"/>
              </w:rPr>
              <w:t>保障措施（</w:t>
            </w:r>
            <w:r>
              <w:rPr>
                <w:rFonts w:hint="eastAsia" w:ascii="宋体" w:hAnsi="宋体" w:cs="宋体"/>
                <w:szCs w:val="21"/>
              </w:rPr>
              <w:t>包括但不限于技术团队和技术方案</w:t>
            </w:r>
            <w:r>
              <w:rPr>
                <w:rFonts w:ascii="宋体" w:hAnsi="宋体" w:cs="仿宋"/>
                <w:szCs w:val="21"/>
              </w:rPr>
              <w:t>）</w:t>
            </w:r>
            <w:r>
              <w:rPr>
                <w:rFonts w:hint="eastAsia" w:ascii="宋体" w:hAnsi="宋体" w:cs="仿宋"/>
                <w:szCs w:val="21"/>
              </w:rPr>
              <w:t>，根据响应情况进行评审：</w:t>
            </w:r>
          </w:p>
          <w:p>
            <w:pPr>
              <w:spacing w:line="360" w:lineRule="exact"/>
              <w:jc w:val="left"/>
              <w:rPr>
                <w:rFonts w:ascii="宋体" w:hAnsi="宋体" w:cs="仿宋"/>
                <w:szCs w:val="21"/>
              </w:rPr>
            </w:pPr>
            <w:r>
              <w:rPr>
                <w:rFonts w:hint="eastAsia" w:ascii="宋体" w:hAnsi="宋体" w:cs="仿宋"/>
                <w:szCs w:val="21"/>
              </w:rPr>
              <w:t>（1）技术方案科学、严谨，</w:t>
            </w:r>
            <w:r>
              <w:rPr>
                <w:rFonts w:hint="eastAsia" w:ascii="宋体" w:hAnsi="宋体"/>
                <w:szCs w:val="21"/>
              </w:rPr>
              <w:t>能有效把控产品质量</w:t>
            </w:r>
            <w:r>
              <w:rPr>
                <w:rFonts w:hint="eastAsia" w:ascii="宋体" w:hAnsi="宋体" w:cs="仿宋"/>
                <w:szCs w:val="21"/>
              </w:rPr>
              <w:t>；</w:t>
            </w:r>
          </w:p>
          <w:p>
            <w:pPr>
              <w:spacing w:line="360" w:lineRule="exact"/>
              <w:jc w:val="left"/>
              <w:rPr>
                <w:rFonts w:ascii="宋体" w:hAnsi="宋体" w:cs="仿宋"/>
                <w:szCs w:val="21"/>
              </w:rPr>
            </w:pPr>
            <w:r>
              <w:rPr>
                <w:rFonts w:hint="eastAsia" w:ascii="宋体" w:hAnsi="宋体" w:cs="仿宋"/>
                <w:szCs w:val="21"/>
              </w:rPr>
              <w:t>（2）技术团队专业性高，人员稳定；</w:t>
            </w:r>
          </w:p>
          <w:p>
            <w:pPr>
              <w:spacing w:line="360" w:lineRule="exact"/>
              <w:jc w:val="left"/>
              <w:rPr>
                <w:rFonts w:ascii="宋体" w:hAnsi="宋体" w:cs="仿宋"/>
                <w:szCs w:val="21"/>
              </w:rPr>
            </w:pPr>
            <w:r>
              <w:rPr>
                <w:rFonts w:hint="eastAsia" w:ascii="宋体" w:hAnsi="宋体" w:cs="仿宋"/>
                <w:szCs w:val="21"/>
              </w:rPr>
              <w:t>（3）</w:t>
            </w:r>
            <w:r>
              <w:rPr>
                <w:rFonts w:hint="eastAsia" w:ascii="宋体" w:hAnsi="宋体"/>
                <w:szCs w:val="21"/>
              </w:rPr>
              <w:t>产品质量检查等</w:t>
            </w:r>
            <w:r>
              <w:rPr>
                <w:rFonts w:hint="eastAsia" w:ascii="宋体" w:hAnsi="宋体" w:cs="仿宋"/>
                <w:szCs w:val="21"/>
              </w:rPr>
              <w:t>保障措施完善可靠。</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（二）评分标准：</w:t>
            </w:r>
          </w:p>
          <w:p>
            <w:pPr>
              <w:spacing w:line="360" w:lineRule="exact"/>
              <w:jc w:val="left"/>
              <w:rPr>
                <w:rFonts w:ascii="宋体" w:hAnsi="宋体" w:cs="仿宋"/>
                <w:szCs w:val="21"/>
              </w:rPr>
            </w:pPr>
            <w:r>
              <w:rPr>
                <w:rFonts w:hint="eastAsia" w:ascii="宋体" w:hAnsi="宋体" w:cs="仿宋"/>
                <w:szCs w:val="21"/>
              </w:rPr>
              <w:t>满足以上三项要求得</w:t>
            </w:r>
            <w:r>
              <w:rPr>
                <w:rFonts w:hint="eastAsia" w:ascii="宋体" w:hAnsi="宋体" w:cs="仿宋"/>
                <w:szCs w:val="21"/>
                <w:lang w:val="en-US" w:eastAsia="zh-CN"/>
              </w:rPr>
              <w:t>6</w:t>
            </w:r>
            <w:r>
              <w:rPr>
                <w:rFonts w:hint="eastAsia" w:ascii="宋体" w:hAnsi="宋体" w:cs="仿宋"/>
                <w:szCs w:val="21"/>
              </w:rPr>
              <w:t>分，满足以上两项要求得</w:t>
            </w:r>
            <w:r>
              <w:rPr>
                <w:rFonts w:hint="eastAsia" w:ascii="宋体" w:hAnsi="宋体" w:cs="仿宋"/>
                <w:szCs w:val="21"/>
                <w:lang w:val="en-US" w:eastAsia="zh-CN"/>
              </w:rPr>
              <w:t>4</w:t>
            </w:r>
            <w:r>
              <w:rPr>
                <w:rFonts w:hint="eastAsia" w:ascii="宋体" w:hAnsi="宋体" w:cs="仿宋"/>
                <w:szCs w:val="21"/>
              </w:rPr>
              <w:t>分，满足以上一项要求得2分，其它情况不得分。</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73" w:hRule="atLeast"/>
          <w:jc w:val="center"/>
        </w:trPr>
        <w:tc>
          <w:tcPr>
            <w:tcW w:w="754" w:type="dxa"/>
            <w:vAlign w:val="center"/>
          </w:tcPr>
          <w:p>
            <w:pPr>
              <w:widowControl/>
              <w:snapToGrid w:val="0"/>
              <w:spacing w:line="360" w:lineRule="exact"/>
              <w:jc w:val="center"/>
              <w:rPr>
                <w:rFonts w:ascii="宋体" w:hAnsi="宋体"/>
                <w:kern w:val="0"/>
                <w:szCs w:val="21"/>
              </w:rPr>
            </w:pPr>
            <w:r>
              <w:rPr>
                <w:rFonts w:hint="eastAsia" w:ascii="宋体" w:hAnsi="宋体"/>
                <w:kern w:val="0"/>
                <w:szCs w:val="21"/>
              </w:rPr>
              <w:t>3</w:t>
            </w:r>
          </w:p>
        </w:tc>
        <w:tc>
          <w:tcPr>
            <w:tcW w:w="1143" w:type="dxa"/>
            <w:vAlign w:val="center"/>
          </w:tcPr>
          <w:p>
            <w:pPr>
              <w:widowControl/>
              <w:spacing w:line="360" w:lineRule="exact"/>
              <w:jc w:val="center"/>
              <w:rPr>
                <w:rFonts w:ascii="宋体" w:hAnsi="宋体" w:cs="宋体"/>
                <w:szCs w:val="21"/>
              </w:rPr>
            </w:pPr>
            <w:r>
              <w:rPr>
                <w:rFonts w:hint="eastAsia"/>
              </w:rPr>
              <w:t>售后服务方案</w:t>
            </w:r>
          </w:p>
        </w:tc>
        <w:tc>
          <w:tcPr>
            <w:tcW w:w="709" w:type="dxa"/>
            <w:vAlign w:val="center"/>
          </w:tcPr>
          <w:p>
            <w:pPr>
              <w:widowControl/>
              <w:spacing w:line="360" w:lineRule="exact"/>
              <w:jc w:val="center"/>
              <w:rPr>
                <w:rFonts w:hint="eastAsia" w:ascii="宋体" w:hAnsi="宋体" w:eastAsia="宋体" w:cs="宋体"/>
                <w:kern w:val="0"/>
                <w:szCs w:val="21"/>
                <w:lang w:eastAsia="zh-CN"/>
              </w:rPr>
            </w:pPr>
            <w:r>
              <w:rPr>
                <w:rFonts w:hint="eastAsia" w:ascii="宋体" w:hAnsi="宋体" w:cs="宋体"/>
                <w:kern w:val="0"/>
                <w:szCs w:val="21"/>
                <w:lang w:val="en-US" w:eastAsia="zh-CN"/>
              </w:rPr>
              <w:t>5</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widowControl/>
              <w:spacing w:line="360" w:lineRule="exact"/>
              <w:rPr>
                <w:rFonts w:ascii="宋体" w:hAnsi="宋体" w:cs="仿宋"/>
                <w:szCs w:val="21"/>
              </w:rPr>
            </w:pPr>
            <w:r>
              <w:rPr>
                <w:rFonts w:hint="eastAsia" w:ascii="宋体" w:hAnsi="宋体" w:cs="仿宋"/>
                <w:szCs w:val="21"/>
              </w:rPr>
              <w:t>投标人根据本项目的需求制定</w:t>
            </w:r>
            <w:r>
              <w:rPr>
                <w:rFonts w:hint="eastAsia"/>
              </w:rPr>
              <w:t>售后服务方案</w:t>
            </w:r>
            <w:r>
              <w:rPr>
                <w:rFonts w:hint="eastAsia" w:ascii="宋体" w:hAnsi="宋体" w:cs="仿宋"/>
                <w:szCs w:val="21"/>
              </w:rPr>
              <w:t>（包括但不限于售后服务机构及维护人员配置、技术培训方案、故障响应时间及</w:t>
            </w:r>
            <w:r>
              <w:rPr>
                <w:rFonts w:hint="eastAsia" w:ascii="宋体" w:hAnsi="宋体"/>
                <w:szCs w:val="21"/>
              </w:rPr>
              <w:t>备品备件</w:t>
            </w:r>
            <w:r>
              <w:rPr>
                <w:rFonts w:hint="eastAsia" w:ascii="宋体" w:hAnsi="宋体"/>
              </w:rPr>
              <w:t>支持计划</w:t>
            </w:r>
            <w:r>
              <w:rPr>
                <w:rFonts w:hint="eastAsia" w:ascii="宋体" w:hAnsi="宋体" w:cs="仿宋"/>
                <w:szCs w:val="21"/>
              </w:rPr>
              <w:t>），根据响应情况进行评审：</w:t>
            </w:r>
          </w:p>
          <w:p>
            <w:pPr>
              <w:widowControl/>
              <w:spacing w:line="360" w:lineRule="exact"/>
              <w:rPr>
                <w:rFonts w:ascii="宋体" w:hAnsi="宋体" w:cs="仿宋"/>
                <w:szCs w:val="21"/>
              </w:rPr>
            </w:pPr>
            <w:r>
              <w:rPr>
                <w:rFonts w:hint="eastAsia" w:ascii="宋体" w:hAnsi="宋体" w:cs="仿宋"/>
                <w:szCs w:val="21"/>
              </w:rPr>
              <w:t>（1）</w:t>
            </w:r>
            <w:r>
              <w:rPr>
                <w:rFonts w:hint="eastAsia"/>
              </w:rPr>
              <w:t>售后</w:t>
            </w:r>
            <w:r>
              <w:rPr>
                <w:rFonts w:hint="eastAsia" w:ascii="宋体" w:hAnsi="宋体" w:cs="仿宋"/>
                <w:szCs w:val="21"/>
              </w:rPr>
              <w:t>服务机构配置合理，维护团队专业性高，人员稳定；</w:t>
            </w:r>
          </w:p>
          <w:p>
            <w:pPr>
              <w:widowControl/>
              <w:spacing w:line="360" w:lineRule="exact"/>
              <w:rPr>
                <w:rFonts w:ascii="宋体" w:hAnsi="宋体" w:cs="仿宋"/>
                <w:szCs w:val="21"/>
              </w:rPr>
            </w:pPr>
            <w:r>
              <w:rPr>
                <w:rFonts w:hint="eastAsia" w:ascii="宋体" w:hAnsi="宋体" w:cs="仿宋"/>
                <w:szCs w:val="21"/>
              </w:rPr>
              <w:t>（2）</w:t>
            </w:r>
            <w:r>
              <w:rPr>
                <w:rFonts w:hint="eastAsia"/>
              </w:rPr>
              <w:t>故障响应时间满足项目</w:t>
            </w:r>
            <w:r>
              <w:rPr>
                <w:rFonts w:hint="eastAsia" w:ascii="宋体" w:hAnsi="宋体" w:cs="仿宋"/>
                <w:szCs w:val="21"/>
              </w:rPr>
              <w:t>需求；</w:t>
            </w:r>
          </w:p>
          <w:p>
            <w:pPr>
              <w:widowControl/>
              <w:spacing w:line="360" w:lineRule="exact"/>
              <w:rPr>
                <w:rFonts w:ascii="宋体" w:hAnsi="宋体" w:cs="仿宋"/>
                <w:szCs w:val="21"/>
              </w:rPr>
            </w:pPr>
            <w:r>
              <w:rPr>
                <w:rFonts w:hint="eastAsia" w:ascii="宋体" w:hAnsi="宋体" w:cs="仿宋"/>
                <w:szCs w:val="21"/>
              </w:rPr>
              <w:t>（3）技术培训及</w:t>
            </w:r>
            <w:r>
              <w:rPr>
                <w:rFonts w:hint="eastAsia" w:ascii="宋体" w:hAnsi="宋体"/>
                <w:szCs w:val="21"/>
              </w:rPr>
              <w:t>备品备件</w:t>
            </w:r>
            <w:r>
              <w:rPr>
                <w:rFonts w:hint="eastAsia" w:ascii="宋体" w:hAnsi="宋体"/>
              </w:rPr>
              <w:t>支持计划内容具体，可行性高</w:t>
            </w:r>
            <w:r>
              <w:rPr>
                <w:rFonts w:hint="eastAsia" w:ascii="宋体" w:hAnsi="宋体" w:cs="仿宋"/>
                <w:szCs w:val="21"/>
              </w:rPr>
              <w:t>。</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（二）评分标准：</w:t>
            </w:r>
          </w:p>
          <w:p>
            <w:pPr>
              <w:pStyle w:val="94"/>
              <w:spacing w:line="360" w:lineRule="exact"/>
              <w:ind w:firstLine="0" w:firstLineChars="0"/>
              <w:rPr>
                <w:rFonts w:ascii="宋体" w:hAnsi="宋体"/>
                <w:szCs w:val="21"/>
              </w:rPr>
            </w:pPr>
            <w:r>
              <w:rPr>
                <w:rFonts w:hint="eastAsia" w:ascii="宋体" w:hAnsi="宋体" w:cs="仿宋"/>
                <w:szCs w:val="21"/>
              </w:rPr>
              <w:t>满足以上三项要求得</w:t>
            </w:r>
            <w:r>
              <w:rPr>
                <w:rFonts w:hint="eastAsia" w:ascii="宋体" w:hAnsi="宋体" w:cs="仿宋"/>
                <w:szCs w:val="21"/>
                <w:lang w:val="en-US" w:eastAsia="zh-CN"/>
              </w:rPr>
              <w:t>5</w:t>
            </w:r>
            <w:r>
              <w:rPr>
                <w:rFonts w:hint="eastAsia" w:ascii="宋体" w:hAnsi="宋体" w:cs="仿宋"/>
                <w:szCs w:val="21"/>
              </w:rPr>
              <w:t>分，满足以上两项要求得</w:t>
            </w:r>
            <w:r>
              <w:rPr>
                <w:rFonts w:hint="eastAsia" w:ascii="宋体" w:hAnsi="宋体" w:cs="仿宋"/>
                <w:szCs w:val="21"/>
                <w:lang w:val="en-US" w:eastAsia="zh-CN"/>
              </w:rPr>
              <w:t>3</w:t>
            </w:r>
            <w:r>
              <w:rPr>
                <w:rFonts w:hint="eastAsia" w:ascii="宋体" w:hAnsi="宋体" w:cs="仿宋"/>
                <w:szCs w:val="21"/>
              </w:rPr>
              <w:t>分，满足以上一项要求得2分，其它情况不得分。</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72" w:hRule="atLeast"/>
          <w:jc w:val="center"/>
        </w:trPr>
        <w:tc>
          <w:tcPr>
            <w:tcW w:w="754" w:type="dxa"/>
            <w:vAlign w:val="center"/>
          </w:tcPr>
          <w:p>
            <w:pPr>
              <w:widowControl/>
              <w:snapToGrid w:val="0"/>
              <w:spacing w:line="360" w:lineRule="exact"/>
              <w:jc w:val="center"/>
              <w:rPr>
                <w:rFonts w:ascii="宋体" w:hAnsi="宋体"/>
                <w:kern w:val="0"/>
                <w:szCs w:val="21"/>
              </w:rPr>
            </w:pPr>
            <w:r>
              <w:rPr>
                <w:rFonts w:hint="eastAsia" w:ascii="宋体" w:hAnsi="宋体"/>
                <w:kern w:val="0"/>
                <w:szCs w:val="21"/>
              </w:rPr>
              <w:t>4</w:t>
            </w:r>
          </w:p>
        </w:tc>
        <w:tc>
          <w:tcPr>
            <w:tcW w:w="1143" w:type="dxa"/>
            <w:vAlign w:val="center"/>
          </w:tcPr>
          <w:p>
            <w:pPr>
              <w:widowControl/>
              <w:spacing w:line="360" w:lineRule="exact"/>
              <w:jc w:val="center"/>
              <w:rPr>
                <w:rFonts w:ascii="宋体" w:hAnsi="宋体" w:cs="宋体"/>
                <w:szCs w:val="21"/>
              </w:rPr>
            </w:pPr>
            <w:r>
              <w:t>政府采购品目清单产品</w:t>
            </w:r>
          </w:p>
        </w:tc>
        <w:tc>
          <w:tcPr>
            <w:tcW w:w="709" w:type="dxa"/>
            <w:vAlign w:val="center"/>
          </w:tcPr>
          <w:p>
            <w:pPr>
              <w:widowControl/>
              <w:spacing w:line="360" w:lineRule="exact"/>
              <w:jc w:val="center"/>
              <w:rPr>
                <w:rFonts w:ascii="宋体" w:hAnsi="宋体" w:cs="宋体"/>
                <w:kern w:val="0"/>
                <w:szCs w:val="21"/>
              </w:rPr>
            </w:pPr>
            <w:r>
              <w:rPr>
                <w:rFonts w:hint="eastAsia" w:ascii="宋体" w:hAnsi="宋体" w:cs="宋体"/>
                <w:kern w:val="0"/>
                <w:szCs w:val="21"/>
              </w:rPr>
              <w:t>1</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pStyle w:val="94"/>
              <w:spacing w:line="360" w:lineRule="exact"/>
              <w:ind w:firstLine="0" w:firstLineChars="0"/>
              <w:rPr>
                <w:rFonts w:ascii="宋体" w:hAnsi="宋体"/>
                <w:szCs w:val="21"/>
              </w:rPr>
            </w:pPr>
            <w:r>
              <w:rPr>
                <w:rFonts w:hint="eastAsia" w:ascii="宋体" w:hAnsi="宋体"/>
                <w:szCs w:val="21"/>
              </w:rPr>
              <w:t>投标人所投任一产品列入财库[2019]18 号《环境标志产品政府采购品目清单》或财库[2019]19 号《节能产品政府采购品目清单》，得 1分，不满足的不得分。</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pPr>
              <w:pStyle w:val="94"/>
              <w:spacing w:line="360" w:lineRule="exact"/>
              <w:ind w:firstLine="0" w:firstLineChars="0"/>
              <w:rPr>
                <w:rFonts w:ascii="宋体" w:hAnsi="宋体"/>
                <w:szCs w:val="21"/>
              </w:rPr>
            </w:pPr>
            <w:r>
              <w:rPr>
                <w:rFonts w:hint="eastAsia" w:ascii="宋体" w:hAnsi="宋体"/>
                <w:szCs w:val="21"/>
              </w:rPr>
              <w:t>同时提供以下证明材料： 1.提供品目清单截图并对所投产品对应的品目作明显标识，未作明显标识不得分； 2.提供所投产品依据国家确定的认证机构出具的、处于有效期之内的节能产品或环境标志产品认证证书复印件或扫描件加盖投标人公章（原件备查），认证证书上的品牌型号须与所投产品品牌型号一致。</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lang w:val="zh-CN"/>
              </w:rPr>
              <w:t>三、商务部分</w:t>
            </w:r>
          </w:p>
        </w:tc>
        <w:tc>
          <w:tcPr>
            <w:tcW w:w="1187" w:type="dxa"/>
            <w:vAlign w:val="center"/>
          </w:tcPr>
          <w:p>
            <w:pPr>
              <w:autoSpaceDE w:val="0"/>
              <w:autoSpaceDN w:val="0"/>
              <w:adjustRightInd w:val="0"/>
              <w:spacing w:line="360" w:lineRule="exact"/>
              <w:jc w:val="center"/>
              <w:rPr>
                <w:rFonts w:hint="default" w:ascii="宋体" w:hAnsi="宋体" w:eastAsia="宋体" w:cs="仿宋"/>
                <w:b/>
                <w:szCs w:val="21"/>
                <w:lang w:val="en-US" w:eastAsia="zh-CN"/>
              </w:rPr>
            </w:pPr>
            <w:r>
              <w:rPr>
                <w:rFonts w:hint="eastAsia" w:ascii="宋体" w:hAnsi="宋体" w:cs="仿宋"/>
                <w:b/>
                <w:szCs w:val="21"/>
                <w:lang w:val="en-US" w:eastAsia="zh-CN"/>
              </w:rPr>
              <w:t>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序号</w:t>
            </w:r>
          </w:p>
        </w:tc>
        <w:tc>
          <w:tcPr>
            <w:tcW w:w="114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内容</w:t>
            </w:r>
          </w:p>
        </w:tc>
        <w:tc>
          <w:tcPr>
            <w:tcW w:w="709"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权重</w:t>
            </w:r>
          </w:p>
        </w:tc>
        <w:tc>
          <w:tcPr>
            <w:tcW w:w="595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评分规则</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93"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lang w:val="zh-CN"/>
              </w:rPr>
              <w:t>1</w:t>
            </w:r>
          </w:p>
        </w:tc>
        <w:tc>
          <w:tcPr>
            <w:tcW w:w="1143" w:type="dxa"/>
            <w:vAlign w:val="center"/>
          </w:tcPr>
          <w:p>
            <w:pPr>
              <w:widowControl/>
              <w:spacing w:line="360" w:lineRule="exact"/>
              <w:jc w:val="center"/>
              <w:rPr>
                <w:rFonts w:ascii="宋体" w:hAnsi="宋体" w:cs="仿宋"/>
                <w:kern w:val="0"/>
                <w:szCs w:val="21"/>
              </w:rPr>
            </w:pPr>
            <w:r>
              <w:rPr>
                <w:rFonts w:hint="eastAsia" w:ascii="宋体" w:hAnsi="宋体" w:cs="宋体"/>
                <w:kern w:val="0"/>
                <w:szCs w:val="21"/>
              </w:rPr>
              <w:t>免费保修期内售后服务条款偏离情况</w:t>
            </w:r>
          </w:p>
        </w:tc>
        <w:tc>
          <w:tcPr>
            <w:tcW w:w="709" w:type="dxa"/>
            <w:vAlign w:val="center"/>
          </w:tcPr>
          <w:p>
            <w:pPr>
              <w:widowControl/>
              <w:spacing w:line="360" w:lineRule="exact"/>
              <w:jc w:val="center"/>
              <w:rPr>
                <w:rFonts w:ascii="宋体" w:hAnsi="宋体" w:cs="仿宋"/>
                <w:kern w:val="0"/>
                <w:szCs w:val="21"/>
              </w:rPr>
            </w:pPr>
            <w:r>
              <w:rPr>
                <w:rFonts w:hint="eastAsia" w:ascii="宋体" w:hAnsi="宋体" w:cs="仿宋"/>
                <w:kern w:val="0"/>
                <w:szCs w:val="21"/>
              </w:rPr>
              <w:t>5</w:t>
            </w:r>
          </w:p>
        </w:tc>
        <w:tc>
          <w:tcPr>
            <w:tcW w:w="5953" w:type="dxa"/>
            <w:vAlign w:val="center"/>
          </w:tcPr>
          <w:p>
            <w:pPr>
              <w:autoSpaceDE w:val="0"/>
              <w:autoSpaceDN w:val="0"/>
              <w:adjustRightInd w:val="0"/>
              <w:spacing w:line="360" w:lineRule="exact"/>
              <w:jc w:val="left"/>
              <w:rPr>
                <w:rFonts w:ascii="宋体" w:hAnsi="宋体" w:cs="仿宋"/>
                <w:szCs w:val="21"/>
              </w:rPr>
            </w:pPr>
            <w:r>
              <w:rPr>
                <w:rFonts w:hint="eastAsia" w:ascii="宋体" w:hAnsi="宋体" w:cs="仿宋"/>
                <w:szCs w:val="21"/>
              </w:rPr>
              <w:t>投标人应如实填写《商务条款偏离表》，评审委员会根据其中免费保修期内售后服务条款响应情况进行打分。</w:t>
            </w:r>
          </w:p>
          <w:p>
            <w:pPr>
              <w:autoSpaceDE w:val="0"/>
              <w:autoSpaceDN w:val="0"/>
              <w:adjustRightInd w:val="0"/>
              <w:spacing w:line="360" w:lineRule="exact"/>
              <w:jc w:val="left"/>
              <w:rPr>
                <w:rFonts w:ascii="宋体" w:hAnsi="宋体" w:cs="仿宋"/>
                <w:szCs w:val="21"/>
              </w:rPr>
            </w:pPr>
            <w:r>
              <w:rPr>
                <w:rFonts w:hint="eastAsia" w:ascii="宋体" w:hAnsi="宋体" w:cs="仿宋"/>
                <w:szCs w:val="21"/>
              </w:rPr>
              <w:t>（1）免费保修期在满足招标要求的基础上，每增加一年得1分，最高得2分。</w:t>
            </w:r>
          </w:p>
          <w:p>
            <w:pPr>
              <w:autoSpaceDE w:val="0"/>
              <w:autoSpaceDN w:val="0"/>
              <w:adjustRightInd w:val="0"/>
              <w:spacing w:line="360" w:lineRule="exact"/>
              <w:jc w:val="left"/>
              <w:rPr>
                <w:rFonts w:ascii="宋体" w:hAnsi="宋体" w:cs="仿宋"/>
                <w:szCs w:val="21"/>
              </w:rPr>
            </w:pPr>
            <w:r>
              <w:rPr>
                <w:rFonts w:hint="eastAsia" w:ascii="宋体" w:hAnsi="宋体" w:cs="仿宋"/>
                <w:szCs w:val="21"/>
              </w:rPr>
              <w:t>（2）其它要求全部满足的得3分，否则不得分。</w:t>
            </w:r>
          </w:p>
          <w:p>
            <w:pPr>
              <w:autoSpaceDE w:val="0"/>
              <w:autoSpaceDN w:val="0"/>
              <w:adjustRightInd w:val="0"/>
              <w:spacing w:line="360" w:lineRule="exact"/>
              <w:jc w:val="left"/>
              <w:rPr>
                <w:rFonts w:ascii="宋体" w:hAnsi="宋体" w:cs="仿宋"/>
                <w:szCs w:val="21"/>
                <w:lang w:val="zh-CN"/>
              </w:rPr>
            </w:pPr>
            <w:r>
              <w:rPr>
                <w:rFonts w:hint="eastAsia" w:ascii="宋体" w:hAnsi="宋体" w:cs="仿宋"/>
                <w:szCs w:val="21"/>
              </w:rPr>
              <w:t>以上累计满分为5分。</w:t>
            </w:r>
          </w:p>
        </w:tc>
        <w:tc>
          <w:tcPr>
            <w:tcW w:w="1187"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2"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lang w:val="zh-CN"/>
              </w:rPr>
              <w:t>2</w:t>
            </w:r>
          </w:p>
        </w:tc>
        <w:tc>
          <w:tcPr>
            <w:tcW w:w="1143" w:type="dxa"/>
            <w:vAlign w:val="center"/>
          </w:tcPr>
          <w:p>
            <w:pPr>
              <w:widowControl/>
              <w:spacing w:line="360" w:lineRule="exact"/>
              <w:jc w:val="center"/>
              <w:rPr>
                <w:rFonts w:ascii="宋体" w:hAnsi="宋体" w:cs="宋体"/>
                <w:kern w:val="0"/>
                <w:szCs w:val="21"/>
              </w:rPr>
            </w:pPr>
            <w:r>
              <w:rPr>
                <w:rFonts w:hint="eastAsia" w:ascii="宋体" w:hAnsi="宋体" w:cs="宋体"/>
                <w:kern w:val="0"/>
                <w:szCs w:val="21"/>
              </w:rPr>
              <w:t>免费保修期外售后服务条款偏离情况</w:t>
            </w:r>
          </w:p>
        </w:tc>
        <w:tc>
          <w:tcPr>
            <w:tcW w:w="709" w:type="dxa"/>
            <w:vAlign w:val="center"/>
          </w:tcPr>
          <w:p>
            <w:pPr>
              <w:widowControl/>
              <w:spacing w:line="360" w:lineRule="exact"/>
              <w:jc w:val="center"/>
              <w:rPr>
                <w:rFonts w:ascii="宋体" w:hAnsi="宋体" w:cs="仿宋"/>
                <w:szCs w:val="21"/>
              </w:rPr>
            </w:pPr>
            <w:r>
              <w:rPr>
                <w:rFonts w:hint="eastAsia" w:ascii="宋体" w:hAnsi="宋体" w:cs="仿宋"/>
                <w:szCs w:val="21"/>
              </w:rPr>
              <w:t>3</w:t>
            </w:r>
          </w:p>
        </w:tc>
        <w:tc>
          <w:tcPr>
            <w:tcW w:w="5953" w:type="dxa"/>
            <w:vAlign w:val="center"/>
          </w:tcPr>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投标人应如实填写《商务条款偏离表》，评审委员会根据其中免费保修期外售后服务条款响应情况进行打分。全部满足要求的得3分，</w:t>
            </w:r>
            <w:r>
              <w:rPr>
                <w:rFonts w:hint="eastAsia" w:ascii="宋体" w:hAnsi="宋体" w:cs="宋体"/>
                <w:szCs w:val="21"/>
              </w:rPr>
              <w:t>每1小项负偏离</w:t>
            </w:r>
            <w:r>
              <w:rPr>
                <w:rFonts w:hint="eastAsia" w:ascii="宋体" w:hAnsi="宋体" w:cs="宋体"/>
                <w:kern w:val="0"/>
                <w:szCs w:val="21"/>
              </w:rPr>
              <w:t>扣1分，</w:t>
            </w:r>
            <w:r>
              <w:rPr>
                <w:rFonts w:hint="eastAsia" w:ascii="宋体" w:hAnsi="宋体" w:cs="仿宋"/>
                <w:szCs w:val="21"/>
              </w:rPr>
              <w:t>最低得0分</w:t>
            </w:r>
            <w:r>
              <w:rPr>
                <w:rFonts w:hint="eastAsia" w:ascii="宋体" w:hAnsi="宋体" w:cs="宋体"/>
                <w:kern w:val="0"/>
                <w:szCs w:val="21"/>
              </w:rPr>
              <w:t>。</w:t>
            </w:r>
          </w:p>
        </w:tc>
        <w:tc>
          <w:tcPr>
            <w:tcW w:w="1187"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0"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3</w:t>
            </w:r>
          </w:p>
        </w:tc>
        <w:tc>
          <w:tcPr>
            <w:tcW w:w="1143" w:type="dxa"/>
            <w:vAlign w:val="center"/>
          </w:tcPr>
          <w:p>
            <w:pPr>
              <w:spacing w:line="360" w:lineRule="exact"/>
              <w:jc w:val="center"/>
              <w:rPr>
                <w:rFonts w:ascii="宋体" w:hAnsi="宋体" w:cs="仿宋"/>
                <w:szCs w:val="21"/>
              </w:rPr>
            </w:pPr>
            <w:r>
              <w:rPr>
                <w:rFonts w:hint="eastAsia"/>
              </w:rPr>
              <w:t>其他商务条款偏离情况</w:t>
            </w:r>
          </w:p>
        </w:tc>
        <w:tc>
          <w:tcPr>
            <w:tcW w:w="709" w:type="dxa"/>
            <w:vAlign w:val="center"/>
          </w:tcPr>
          <w:p>
            <w:pPr>
              <w:spacing w:line="360" w:lineRule="exact"/>
              <w:jc w:val="center"/>
              <w:rPr>
                <w:rFonts w:ascii="宋体" w:hAnsi="宋体" w:cs="仿宋"/>
                <w:szCs w:val="21"/>
              </w:rPr>
            </w:pPr>
            <w:r>
              <w:rPr>
                <w:rFonts w:hint="eastAsia" w:ascii="宋体" w:hAnsi="宋体" w:cs="仿宋"/>
                <w:szCs w:val="21"/>
              </w:rPr>
              <w:t>2</w:t>
            </w:r>
          </w:p>
        </w:tc>
        <w:tc>
          <w:tcPr>
            <w:tcW w:w="5953" w:type="dxa"/>
            <w:vAlign w:val="center"/>
          </w:tcPr>
          <w:p>
            <w:pPr>
              <w:widowControl/>
              <w:spacing w:line="360" w:lineRule="exact"/>
              <w:rPr>
                <w:rFonts w:ascii="宋体" w:hAnsi="宋体" w:cs="仿宋"/>
                <w:szCs w:val="21"/>
              </w:rPr>
            </w:pPr>
            <w:r>
              <w:rPr>
                <w:rFonts w:hint="eastAsia" w:ascii="宋体" w:hAnsi="宋体" w:cs="仿宋"/>
                <w:szCs w:val="21"/>
              </w:rPr>
              <w:t>投标人应如实填写《商务条款偏离表》，评审委员会根据其中其他商务条款响应情况进行打分。全部满足要求的得2分，</w:t>
            </w:r>
            <w:r>
              <w:rPr>
                <w:rFonts w:hint="eastAsia" w:ascii="宋体" w:hAnsi="宋体" w:cs="宋体"/>
                <w:szCs w:val="21"/>
              </w:rPr>
              <w:t>每1小项负偏离</w:t>
            </w:r>
            <w:r>
              <w:rPr>
                <w:rFonts w:hint="eastAsia" w:ascii="宋体" w:hAnsi="宋体" w:cs="仿宋"/>
                <w:szCs w:val="21"/>
              </w:rPr>
              <w:t>扣</w:t>
            </w:r>
            <w:r>
              <w:rPr>
                <w:rFonts w:ascii="宋体" w:hAnsi="宋体" w:cs="仿宋"/>
                <w:szCs w:val="21"/>
              </w:rPr>
              <w:t>1</w:t>
            </w:r>
            <w:r>
              <w:rPr>
                <w:rFonts w:hint="eastAsia" w:ascii="宋体" w:hAnsi="宋体" w:cs="仿宋"/>
                <w:szCs w:val="21"/>
              </w:rPr>
              <w:t>分，最低得0分。</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55"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4</w:t>
            </w:r>
          </w:p>
        </w:tc>
        <w:tc>
          <w:tcPr>
            <w:tcW w:w="1143" w:type="dxa"/>
            <w:vAlign w:val="center"/>
          </w:tcPr>
          <w:p>
            <w:pPr>
              <w:spacing w:line="360" w:lineRule="exact"/>
              <w:jc w:val="center"/>
              <w:rPr>
                <w:rFonts w:ascii="宋体" w:hAnsi="宋体" w:cs="仿宋"/>
                <w:szCs w:val="21"/>
              </w:rPr>
            </w:pPr>
            <w:r>
              <w:rPr>
                <w:rFonts w:hint="eastAsia" w:ascii="宋体" w:hAnsi="宋体" w:cs="宋体"/>
                <w:color w:val="000000"/>
                <w:kern w:val="0"/>
                <w:szCs w:val="21"/>
              </w:rPr>
              <w:t>同类项目业绩情况</w:t>
            </w:r>
          </w:p>
        </w:tc>
        <w:tc>
          <w:tcPr>
            <w:tcW w:w="709" w:type="dxa"/>
            <w:vAlign w:val="center"/>
          </w:tcPr>
          <w:p>
            <w:pPr>
              <w:spacing w:line="360" w:lineRule="exact"/>
              <w:jc w:val="center"/>
              <w:rPr>
                <w:rFonts w:ascii="宋体" w:hAnsi="宋体" w:cs="仿宋"/>
                <w:szCs w:val="21"/>
              </w:rPr>
            </w:pPr>
            <w:r>
              <w:rPr>
                <w:rFonts w:hint="eastAsia" w:ascii="宋体" w:hAnsi="宋体" w:cs="仿宋"/>
                <w:szCs w:val="21"/>
              </w:rPr>
              <w:t>2</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widowControl/>
              <w:spacing w:line="360" w:lineRule="exact"/>
              <w:rPr>
                <w:rFonts w:ascii="宋体" w:hAnsi="宋体" w:cs="仿宋"/>
                <w:szCs w:val="21"/>
              </w:rPr>
            </w:pPr>
            <w:r>
              <w:rPr>
                <w:rFonts w:hint="eastAsia" w:ascii="宋体" w:hAnsi="宋体" w:cs="宋体"/>
                <w:szCs w:val="21"/>
              </w:rPr>
              <w:t>2018年1月1日至本项目投标截止日（以合同签订日期为准），投标人</w:t>
            </w:r>
            <w:r>
              <w:rPr>
                <w:rFonts w:hint="eastAsia" w:ascii="宋体" w:hAnsi="宋体" w:cs="仿宋"/>
                <w:szCs w:val="21"/>
              </w:rPr>
              <w:t>具有同类项目业绩的，每提供1个项目得0.5分，最高得2分。</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pPr>
              <w:adjustRightInd w:val="0"/>
              <w:snapToGrid w:val="0"/>
              <w:spacing w:line="360" w:lineRule="exact"/>
              <w:rPr>
                <w:rFonts w:ascii="宋体" w:hAnsi="宋体"/>
                <w:szCs w:val="21"/>
              </w:rPr>
            </w:pPr>
            <w:r>
              <w:rPr>
                <w:rFonts w:hint="eastAsia" w:ascii="宋体" w:hAnsi="宋体" w:cs="仿宋"/>
                <w:szCs w:val="21"/>
              </w:rPr>
              <w:t>1.提供合同关键页（需</w:t>
            </w:r>
            <w:r>
              <w:rPr>
                <w:rFonts w:hint="eastAsia" w:asciiTheme="minorEastAsia" w:hAnsiTheme="minorEastAsia" w:eastAsiaTheme="minorEastAsia"/>
                <w:bCs/>
                <w:szCs w:val="21"/>
              </w:rPr>
              <w:t>体现签订日期</w:t>
            </w:r>
            <w:r>
              <w:rPr>
                <w:rFonts w:hint="eastAsia" w:ascii="宋体" w:hAnsi="宋体" w:cs="仿宋"/>
                <w:szCs w:val="21"/>
              </w:rPr>
              <w:t>）</w:t>
            </w:r>
            <w:r>
              <w:rPr>
                <w:rFonts w:hint="eastAsia" w:asciiTheme="minorEastAsia" w:hAnsiTheme="minorEastAsia" w:eastAsiaTheme="minorEastAsia"/>
                <w:bCs/>
                <w:szCs w:val="21"/>
              </w:rPr>
              <w:t>且各项信息不得有任何遮挡</w:t>
            </w:r>
            <w:r>
              <w:rPr>
                <w:rFonts w:hint="eastAsia" w:ascii="宋体" w:hAnsi="宋体"/>
                <w:szCs w:val="21"/>
              </w:rPr>
              <w:t>；</w:t>
            </w:r>
          </w:p>
          <w:p>
            <w:pPr>
              <w:widowControl/>
              <w:spacing w:line="360" w:lineRule="exact"/>
              <w:rPr>
                <w:rFonts w:ascii="宋体" w:hAnsi="宋体" w:cs="仿宋"/>
                <w:szCs w:val="21"/>
              </w:rPr>
            </w:pPr>
            <w:r>
              <w:rPr>
                <w:rFonts w:hint="eastAsia" w:ascii="宋体" w:hAnsi="宋体"/>
                <w:szCs w:val="21"/>
              </w:rPr>
              <w:t>2.</w:t>
            </w:r>
            <w:r>
              <w:rPr>
                <w:rFonts w:hint="eastAsia" w:ascii="宋体" w:hAnsi="宋体"/>
                <w:kern w:val="0"/>
                <w:szCs w:val="21"/>
              </w:rPr>
              <w:t xml:space="preserve"> 以上</w:t>
            </w:r>
            <w:r>
              <w:rPr>
                <w:rFonts w:hint="eastAsia" w:ascii="宋体" w:hAnsi="宋体"/>
                <w:szCs w:val="21"/>
              </w:rPr>
              <w:t>证明文件</w:t>
            </w:r>
            <w:r>
              <w:rPr>
                <w:rFonts w:hint="eastAsia" w:ascii="宋体" w:hAnsi="宋体"/>
                <w:kern w:val="0"/>
                <w:szCs w:val="21"/>
              </w:rPr>
              <w:t>均提供复印件或扫描件加盖投标人公章，原件备查。</w:t>
            </w:r>
            <w:r>
              <w:rPr>
                <w:rFonts w:hint="eastAsia" w:ascii="宋体" w:hAnsi="宋体"/>
                <w:szCs w:val="21"/>
              </w:rPr>
              <w:t>未按要求提供有效证明材料或提供不清晰导致评委无法识别的不计得分。</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15"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5</w:t>
            </w:r>
          </w:p>
        </w:tc>
        <w:tc>
          <w:tcPr>
            <w:tcW w:w="1143" w:type="dxa"/>
            <w:vAlign w:val="center"/>
          </w:tcPr>
          <w:p>
            <w:pPr>
              <w:spacing w:line="360" w:lineRule="exact"/>
              <w:jc w:val="center"/>
              <w:rPr>
                <w:rFonts w:ascii="宋体" w:hAnsi="宋体" w:cs="仿宋"/>
                <w:szCs w:val="21"/>
              </w:rPr>
            </w:pPr>
            <w:r>
              <w:rPr>
                <w:rFonts w:hint="eastAsia" w:ascii="宋体" w:hAnsi="宋体" w:cs="宋体"/>
                <w:kern w:val="0"/>
                <w:szCs w:val="21"/>
              </w:rPr>
              <w:t>投标人资格情况及通过相关认证情况</w:t>
            </w:r>
          </w:p>
        </w:tc>
        <w:tc>
          <w:tcPr>
            <w:tcW w:w="709" w:type="dxa"/>
            <w:vAlign w:val="center"/>
          </w:tcPr>
          <w:p>
            <w:pPr>
              <w:spacing w:line="360" w:lineRule="exact"/>
              <w:jc w:val="center"/>
              <w:rPr>
                <w:rFonts w:ascii="宋体" w:hAnsi="宋体" w:cs="仿宋"/>
                <w:szCs w:val="21"/>
              </w:rPr>
            </w:pPr>
            <w:r>
              <w:rPr>
                <w:rFonts w:hint="eastAsia" w:ascii="宋体" w:hAnsi="宋体" w:cs="仿宋"/>
                <w:szCs w:val="21"/>
              </w:rPr>
              <w:t>5</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投标人具有</w:t>
            </w:r>
            <w:r>
              <w:rPr>
                <w:rFonts w:hint="eastAsia" w:ascii="宋体" w:hAnsi="宋体"/>
                <w:bCs/>
                <w:szCs w:val="21"/>
              </w:rPr>
              <w:t>ISO20000</w:t>
            </w:r>
            <w:r>
              <w:rPr>
                <w:rFonts w:hint="eastAsia" w:ascii="宋体" w:hAnsi="宋体"/>
                <w:kern w:val="0"/>
                <w:szCs w:val="21"/>
              </w:rPr>
              <w:t>信息技术服务管理体系认证证书、</w:t>
            </w:r>
            <w:r>
              <w:rPr>
                <w:rFonts w:hint="eastAsia" w:ascii="宋体" w:hAnsi="宋体"/>
                <w:bCs/>
                <w:szCs w:val="21"/>
              </w:rPr>
              <w:t>ISO27001</w:t>
            </w:r>
            <w:r>
              <w:rPr>
                <w:rFonts w:hint="eastAsia" w:ascii="宋体" w:hAnsi="宋体"/>
                <w:kern w:val="0"/>
                <w:szCs w:val="21"/>
              </w:rPr>
              <w:t>信息安全管理体系认证证书、</w:t>
            </w:r>
            <w:r>
              <w:rPr>
                <w:rFonts w:hint="eastAsia" w:ascii="宋体" w:hAnsi="宋体"/>
                <w:bCs/>
                <w:szCs w:val="21"/>
              </w:rPr>
              <w:t>ISO9001</w:t>
            </w:r>
            <w:r>
              <w:rPr>
                <w:rFonts w:hint="eastAsia" w:ascii="宋体" w:hAnsi="宋体"/>
                <w:kern w:val="0"/>
                <w:szCs w:val="21"/>
              </w:rPr>
              <w:t>质量管理体系认证证书、</w:t>
            </w:r>
            <w:r>
              <w:rPr>
                <w:rFonts w:ascii="宋体" w:hAnsi="宋体"/>
                <w:kern w:val="0"/>
                <w:szCs w:val="21"/>
              </w:rPr>
              <w:t>ISO14001</w:t>
            </w:r>
            <w:r>
              <w:rPr>
                <w:rFonts w:hint="eastAsia" w:ascii="宋体" w:hAnsi="宋体"/>
                <w:kern w:val="0"/>
                <w:szCs w:val="21"/>
              </w:rPr>
              <w:t>环境管理体系认证证书、</w:t>
            </w:r>
            <w:r>
              <w:rPr>
                <w:rFonts w:ascii="宋体" w:hAnsi="宋体"/>
                <w:kern w:val="0"/>
                <w:szCs w:val="21"/>
              </w:rPr>
              <w:t>OHSAS18001</w:t>
            </w:r>
            <w:r>
              <w:rPr>
                <w:rFonts w:hint="eastAsia" w:ascii="宋体" w:hAnsi="宋体"/>
                <w:kern w:val="0"/>
                <w:szCs w:val="21"/>
              </w:rPr>
              <w:t>或ISO45001职业健康安全管理体系认证证书，以上所有证书认证范围要求包含：视频监控系统。每提供1个有效认证证书得1分，最高得5分。</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1.提供有效认证证书（如认证证书注明年审要求的，必须按规定年审且证书在有效期内的方为有效；如未注明年审要求的，证书必须在有效期内的方为有效）；</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2.提供证书官网或权威机构【如：全国认证认可信息公共服务平台（cx.cnca.cn）】认证信息查询截图（截图需显示证书状态为有效）。</w:t>
            </w:r>
            <w:r>
              <w:rPr>
                <w:rFonts w:hint="eastAsia" w:ascii="宋体" w:hAnsi="宋体" w:cs="仿宋"/>
                <w:szCs w:val="21"/>
                <w:lang w:val="zh-CN"/>
              </w:rPr>
              <w:t>相关证书在公开渠道无法查询的，投标人需提供颁发部门或者监管机构的证明材料，证明证书真实有效且为合法机构颁发；</w:t>
            </w:r>
          </w:p>
          <w:p>
            <w:pPr>
              <w:adjustRightInd w:val="0"/>
              <w:snapToGrid w:val="0"/>
              <w:spacing w:line="360" w:lineRule="exact"/>
              <w:rPr>
                <w:rFonts w:ascii="宋体" w:hAnsi="宋体" w:cs="仿宋"/>
                <w:szCs w:val="21"/>
              </w:rPr>
            </w:pPr>
            <w:r>
              <w:rPr>
                <w:rFonts w:hint="eastAsia" w:ascii="宋体" w:hAnsi="宋体"/>
                <w:kern w:val="0"/>
                <w:szCs w:val="21"/>
              </w:rPr>
              <w:t>3.</w:t>
            </w:r>
            <w:r>
              <w:rPr>
                <w:rFonts w:hint="eastAsia" w:ascii="宋体" w:hAnsi="宋体"/>
                <w:szCs w:val="21"/>
              </w:rPr>
              <w:t xml:space="preserve"> 以上证明文件均</w:t>
            </w:r>
            <w:r>
              <w:rPr>
                <w:rFonts w:hint="eastAsia" w:ascii="宋体" w:hAnsi="宋体"/>
                <w:kern w:val="0"/>
                <w:szCs w:val="21"/>
              </w:rPr>
              <w:t>提供复印件或扫描件（或官方网站截图）加盖投标人公章，原件备查。</w:t>
            </w:r>
            <w:r>
              <w:rPr>
                <w:rFonts w:hint="eastAsia" w:ascii="宋体" w:hAnsi="宋体" w:cs="仿宋"/>
                <w:szCs w:val="21"/>
                <w:lang w:val="zh-CN"/>
              </w:rPr>
              <w:t>对于未提供证明文件，未提供查询记录且无其他证明材料的，或者提供不清晰导致评委无法判断的，均作不得分处理。</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22"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6</w:t>
            </w:r>
          </w:p>
        </w:tc>
        <w:tc>
          <w:tcPr>
            <w:tcW w:w="1143" w:type="dxa"/>
            <w:vAlign w:val="center"/>
          </w:tcPr>
          <w:p>
            <w:pPr>
              <w:spacing w:line="360" w:lineRule="exact"/>
              <w:jc w:val="center"/>
              <w:rPr>
                <w:rFonts w:ascii="宋体" w:hAnsi="宋体" w:cs="仿宋"/>
                <w:szCs w:val="21"/>
              </w:rPr>
            </w:pPr>
            <w:r>
              <w:rPr>
                <w:rFonts w:hint="eastAsia" w:ascii="宋体" w:hAnsi="宋体" w:cs="仿宋"/>
                <w:szCs w:val="21"/>
              </w:rPr>
              <w:t>服务网点</w:t>
            </w:r>
          </w:p>
        </w:tc>
        <w:tc>
          <w:tcPr>
            <w:tcW w:w="709" w:type="dxa"/>
            <w:vAlign w:val="center"/>
          </w:tcPr>
          <w:p>
            <w:pPr>
              <w:spacing w:line="360" w:lineRule="exact"/>
              <w:jc w:val="center"/>
              <w:rPr>
                <w:rFonts w:ascii="宋体" w:hAnsi="宋体" w:cs="仿宋"/>
                <w:szCs w:val="21"/>
              </w:rPr>
            </w:pPr>
            <w:r>
              <w:rPr>
                <w:rFonts w:hint="eastAsia" w:ascii="宋体" w:hAnsi="宋体" w:cs="仿宋"/>
                <w:szCs w:val="21"/>
              </w:rPr>
              <w:t>1</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tabs>
                <w:tab w:val="left" w:pos="175"/>
              </w:tabs>
              <w:spacing w:line="360" w:lineRule="exact"/>
              <w:ind w:left="33"/>
              <w:jc w:val="left"/>
              <w:rPr>
                <w:rFonts w:ascii="宋体" w:hAnsi="宋体" w:cs="宋体"/>
                <w:bCs/>
                <w:kern w:val="0"/>
                <w:szCs w:val="21"/>
              </w:rPr>
            </w:pPr>
            <w:r>
              <w:rPr>
                <w:rFonts w:ascii="宋体" w:hAnsi="宋体" w:cs="宋体"/>
                <w:bCs/>
                <w:kern w:val="0"/>
                <w:szCs w:val="21"/>
              </w:rPr>
              <w:t>投标人为深圳供应商</w:t>
            </w:r>
            <w:r>
              <w:rPr>
                <w:rFonts w:hint="eastAsia" w:ascii="宋体" w:hAnsi="宋体" w:cs="宋体"/>
                <w:bCs/>
                <w:kern w:val="0"/>
                <w:szCs w:val="21"/>
              </w:rPr>
              <w:t>，</w:t>
            </w:r>
            <w:r>
              <w:rPr>
                <w:rFonts w:ascii="宋体" w:hAnsi="宋体" w:cs="宋体"/>
                <w:bCs/>
                <w:kern w:val="0"/>
                <w:szCs w:val="21"/>
              </w:rPr>
              <w:t>或非深圳供应商但在深圳市</w:t>
            </w:r>
            <w:r>
              <w:rPr>
                <w:rFonts w:hint="eastAsia" w:ascii="宋体" w:hAnsi="宋体" w:cs="宋体"/>
                <w:bCs/>
                <w:kern w:val="0"/>
                <w:szCs w:val="21"/>
              </w:rPr>
              <w:t>设</w:t>
            </w:r>
            <w:r>
              <w:rPr>
                <w:rFonts w:ascii="宋体" w:hAnsi="宋体" w:cs="宋体"/>
                <w:bCs/>
                <w:kern w:val="0"/>
                <w:szCs w:val="21"/>
              </w:rPr>
              <w:t>有合法注册的分公司或售后</w:t>
            </w:r>
            <w:r>
              <w:rPr>
                <w:rFonts w:hint="eastAsia" w:ascii="宋体" w:hAnsi="宋体" w:cs="宋体"/>
                <w:bCs/>
                <w:kern w:val="0"/>
                <w:szCs w:val="21"/>
              </w:rPr>
              <w:t>服务</w:t>
            </w:r>
            <w:r>
              <w:rPr>
                <w:rFonts w:ascii="宋体" w:hAnsi="宋体" w:cs="宋体"/>
                <w:bCs/>
                <w:kern w:val="0"/>
                <w:szCs w:val="21"/>
              </w:rPr>
              <w:t>机构</w:t>
            </w:r>
            <w:r>
              <w:rPr>
                <w:rFonts w:hint="eastAsia" w:ascii="宋体" w:hAnsi="宋体" w:cs="宋体"/>
                <w:bCs/>
                <w:kern w:val="0"/>
                <w:szCs w:val="21"/>
              </w:rPr>
              <w:t>的</w:t>
            </w:r>
            <w:r>
              <w:rPr>
                <w:rFonts w:ascii="宋体" w:hAnsi="宋体" w:cs="宋体"/>
                <w:bCs/>
                <w:kern w:val="0"/>
                <w:szCs w:val="21"/>
              </w:rPr>
              <w:t>，得</w:t>
            </w:r>
            <w:r>
              <w:rPr>
                <w:rFonts w:hint="eastAsia" w:ascii="宋体" w:hAnsi="宋体" w:cs="宋体"/>
                <w:bCs/>
                <w:kern w:val="0"/>
                <w:szCs w:val="21"/>
              </w:rPr>
              <w:t>1</w:t>
            </w:r>
            <w:r>
              <w:rPr>
                <w:rFonts w:ascii="宋体" w:hAnsi="宋体" w:cs="宋体"/>
                <w:bCs/>
                <w:kern w:val="0"/>
                <w:szCs w:val="21"/>
              </w:rPr>
              <w:t>分</w:t>
            </w:r>
            <w:r>
              <w:rPr>
                <w:rFonts w:hint="eastAsia" w:ascii="宋体" w:hAnsi="宋体" w:cs="宋体"/>
                <w:bCs/>
                <w:kern w:val="0"/>
                <w:szCs w:val="21"/>
              </w:rPr>
              <w:t>；投标人承诺中标后一个月内在深圳设立</w:t>
            </w:r>
            <w:r>
              <w:rPr>
                <w:rFonts w:ascii="宋体" w:hAnsi="宋体" w:cs="宋体"/>
                <w:bCs/>
                <w:kern w:val="0"/>
                <w:szCs w:val="21"/>
              </w:rPr>
              <w:t>分公司或售后</w:t>
            </w:r>
            <w:r>
              <w:rPr>
                <w:rFonts w:hint="eastAsia" w:ascii="宋体" w:hAnsi="宋体" w:cs="宋体"/>
                <w:bCs/>
                <w:kern w:val="0"/>
                <w:szCs w:val="21"/>
              </w:rPr>
              <w:t>服务</w:t>
            </w:r>
            <w:r>
              <w:rPr>
                <w:rFonts w:ascii="宋体" w:hAnsi="宋体" w:cs="宋体"/>
                <w:bCs/>
                <w:kern w:val="0"/>
                <w:szCs w:val="21"/>
              </w:rPr>
              <w:t>机构</w:t>
            </w:r>
            <w:r>
              <w:rPr>
                <w:rFonts w:hint="eastAsia" w:ascii="宋体" w:hAnsi="宋体" w:cs="宋体"/>
                <w:bCs/>
                <w:kern w:val="0"/>
                <w:szCs w:val="21"/>
              </w:rPr>
              <w:t>的，得0.5分，其他情况不得分。</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pPr>
              <w:tabs>
                <w:tab w:val="left" w:pos="175"/>
              </w:tabs>
              <w:spacing w:line="360" w:lineRule="exact"/>
              <w:ind w:left="33"/>
              <w:jc w:val="left"/>
              <w:rPr>
                <w:rFonts w:asciiTheme="minorEastAsia" w:hAnsiTheme="minorEastAsia" w:eastAsiaTheme="minorEastAsia"/>
                <w:szCs w:val="21"/>
              </w:rPr>
            </w:pPr>
            <w:r>
              <w:rPr>
                <w:rFonts w:hint="eastAsia" w:asciiTheme="minorEastAsia" w:hAnsiTheme="minorEastAsia" w:eastAsiaTheme="minorEastAsia"/>
                <w:szCs w:val="21"/>
              </w:rPr>
              <w:t>1. 提供投标人营业执照，如为分公司的需提供分公司营业执照，如为售后服务机构的需同时提供售后服务合作合同及售后服务机构营业执照，分公司及售后服务机构还需提供服务场所证明（自有场地房产证明或房屋租赁合同）；</w:t>
            </w:r>
          </w:p>
          <w:p>
            <w:pPr>
              <w:tabs>
                <w:tab w:val="left" w:pos="175"/>
              </w:tabs>
              <w:spacing w:line="360" w:lineRule="exact"/>
              <w:ind w:left="33"/>
              <w:jc w:val="left"/>
              <w:rPr>
                <w:rFonts w:asciiTheme="minorEastAsia" w:hAnsiTheme="minorEastAsia" w:eastAsiaTheme="minorEastAsia"/>
                <w:szCs w:val="21"/>
              </w:rPr>
            </w:pPr>
            <w:r>
              <w:rPr>
                <w:rFonts w:hint="eastAsia" w:asciiTheme="minorEastAsia" w:hAnsiTheme="minorEastAsia" w:eastAsiaTheme="minorEastAsia"/>
                <w:szCs w:val="21"/>
              </w:rPr>
              <w:t>2.如承诺中标后设立服务网点的，需提供承诺函（格式自拟）；</w:t>
            </w:r>
          </w:p>
          <w:p>
            <w:pPr>
              <w:tabs>
                <w:tab w:val="left" w:pos="175"/>
              </w:tabs>
              <w:spacing w:line="360" w:lineRule="exact"/>
              <w:ind w:left="33"/>
              <w:jc w:val="left"/>
              <w:rPr>
                <w:rFonts w:ascii="宋体" w:hAnsi="宋体"/>
                <w:szCs w:val="21"/>
              </w:rPr>
            </w:pPr>
            <w:r>
              <w:rPr>
                <w:rFonts w:hint="eastAsia" w:asciiTheme="minorEastAsia" w:hAnsiTheme="minorEastAsia" w:eastAsiaTheme="minorEastAsia"/>
                <w:szCs w:val="21"/>
              </w:rPr>
              <w:t>3.</w:t>
            </w:r>
            <w:r>
              <w:rPr>
                <w:rFonts w:hint="eastAsia" w:ascii="宋体" w:hAnsi="宋体"/>
                <w:szCs w:val="21"/>
              </w:rPr>
              <w:t>以上证明文件均提供复印件或扫描件加盖投标人公章，原件备查。未按要求提供有效证明材料或提供不清晰导致评委无法识别的不计得分。</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37"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7</w:t>
            </w:r>
          </w:p>
        </w:tc>
        <w:tc>
          <w:tcPr>
            <w:tcW w:w="1143" w:type="dxa"/>
            <w:vAlign w:val="center"/>
          </w:tcPr>
          <w:p>
            <w:pPr>
              <w:spacing w:line="360" w:lineRule="exact"/>
              <w:jc w:val="center"/>
              <w:rPr>
                <w:rFonts w:ascii="宋体" w:hAnsi="宋体" w:cs="仿宋"/>
                <w:szCs w:val="21"/>
              </w:rPr>
            </w:pPr>
            <w:r>
              <w:rPr>
                <w:rFonts w:hint="eastAsia" w:ascii="宋体" w:hAnsi="宋体" w:cs="仿宋"/>
                <w:szCs w:val="21"/>
              </w:rPr>
              <w:t>诚信评审</w:t>
            </w:r>
          </w:p>
        </w:tc>
        <w:tc>
          <w:tcPr>
            <w:tcW w:w="709" w:type="dxa"/>
            <w:vAlign w:val="center"/>
          </w:tcPr>
          <w:p>
            <w:pPr>
              <w:spacing w:line="360" w:lineRule="exact"/>
              <w:jc w:val="center"/>
              <w:rPr>
                <w:rFonts w:ascii="宋体" w:hAnsi="宋体" w:cs="仿宋"/>
                <w:szCs w:val="21"/>
              </w:rPr>
            </w:pPr>
            <w:r>
              <w:rPr>
                <w:rFonts w:hint="eastAsia" w:ascii="宋体" w:hAnsi="宋体" w:cs="仿宋"/>
                <w:szCs w:val="21"/>
              </w:rPr>
              <w:t>5</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adjustRightInd w:val="0"/>
              <w:snapToGrid w:val="0"/>
              <w:spacing w:line="360" w:lineRule="exact"/>
              <w:rPr>
                <w:rFonts w:ascii="宋体" w:hAnsi="宋体" w:cs="宋体"/>
                <w:szCs w:val="21"/>
              </w:rPr>
            </w:pPr>
            <w:r>
              <w:rPr>
                <w:rFonts w:hint="eastAsia" w:ascii="宋体" w:hAnsi="宋体" w:cs="宋体"/>
                <w:szCs w:val="21"/>
              </w:rPr>
              <w:t>投标人参与政府采购活动在诚信管理中受过主管部门通报处理且仍在实施期限内的本项不得分，</w:t>
            </w:r>
            <w:r>
              <w:rPr>
                <w:rFonts w:hint="eastAsia" w:asciiTheme="minorEastAsia" w:hAnsiTheme="minorEastAsia" w:eastAsiaTheme="minorEastAsia"/>
                <w:kern w:val="0"/>
                <w:szCs w:val="21"/>
              </w:rPr>
              <w:t>否则得5分</w:t>
            </w:r>
            <w:r>
              <w:rPr>
                <w:rFonts w:hint="eastAsia" w:ascii="宋体" w:hAnsi="宋体" w:cs="宋体"/>
                <w:szCs w:val="21"/>
              </w:rPr>
              <w:t>。</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pPr>
              <w:tabs>
                <w:tab w:val="left" w:pos="175"/>
              </w:tabs>
              <w:spacing w:line="360" w:lineRule="exact"/>
              <w:ind w:left="33"/>
              <w:jc w:val="left"/>
              <w:rPr>
                <w:rFonts w:ascii="宋体" w:hAnsi="宋体" w:cs="仿宋"/>
                <w:szCs w:val="21"/>
              </w:rPr>
            </w:pPr>
            <w:r>
              <w:rPr>
                <w:rFonts w:hint="eastAsia" w:ascii="宋体" w:hAnsi="宋体" w:cs="宋体"/>
                <w:bCs/>
                <w:kern w:val="0"/>
                <w:szCs w:val="21"/>
              </w:rPr>
              <w:t>按招标文件格式如实提供</w:t>
            </w:r>
            <w:r>
              <w:rPr>
                <w:rFonts w:hint="eastAsia" w:ascii="宋体" w:hAnsi="宋体" w:cs="宋体"/>
                <w:szCs w:val="21"/>
              </w:rPr>
              <w:t>《诚信承诺函》</w:t>
            </w:r>
            <w:r>
              <w:rPr>
                <w:rFonts w:hint="eastAsia" w:ascii="宋体" w:hAnsi="宋体" w:cs="宋体"/>
                <w:bCs/>
                <w:kern w:val="0"/>
                <w:szCs w:val="21"/>
              </w:rPr>
              <w:t>原件加盖投标人公章，且承诺函格式及内容不得修改，否则不得分</w:t>
            </w:r>
            <w:r>
              <w:rPr>
                <w:rFonts w:hint="eastAsia" w:ascii="宋体" w:hAnsi="宋体" w:cs="宋体"/>
                <w:szCs w:val="21"/>
              </w:rPr>
              <w:t>。</w:t>
            </w:r>
            <w:r>
              <w:rPr>
                <w:rFonts w:hint="eastAsia" w:ascii="宋体" w:hAnsi="宋体" w:cs="宋体"/>
                <w:bCs/>
                <w:kern w:val="0"/>
                <w:szCs w:val="21"/>
              </w:rPr>
              <w:t>如若投标人承诺与实际情况不相符，将按虚假应标报相关主管部门处理</w:t>
            </w:r>
            <w:r>
              <w:rPr>
                <w:rFonts w:hint="eastAsia" w:ascii="宋体" w:hAnsi="宋体" w:cs="宋体"/>
                <w:szCs w:val="21"/>
              </w:rPr>
              <w:t>。</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bl>
    <w:p>
      <w:pPr>
        <w:pStyle w:val="4"/>
        <w:spacing w:before="0" w:after="0"/>
        <w:jc w:val="left"/>
        <w:rPr>
          <w:rFonts w:asciiTheme="minorEastAsia" w:hAnsiTheme="minorEastAsia"/>
          <w:bCs w:val="0"/>
          <w:sz w:val="21"/>
          <w:szCs w:val="21"/>
        </w:rPr>
      </w:pPr>
      <w:bookmarkStart w:id="13" w:name="_Toc44691162"/>
      <w:bookmarkStart w:id="14" w:name="_Toc44690430"/>
      <w:bookmarkStart w:id="15" w:name="_Toc44691394"/>
      <w:bookmarkStart w:id="16" w:name="_Toc44690703"/>
      <w:bookmarkStart w:id="17" w:name="_Toc73610144"/>
      <w:r>
        <w:rPr>
          <w:rFonts w:hint="eastAsia" w:asciiTheme="minorEastAsia" w:hAnsiTheme="minorEastAsia"/>
          <w:bCs w:val="0"/>
          <w:sz w:val="21"/>
          <w:szCs w:val="21"/>
        </w:rPr>
        <w:t>备注：</w:t>
      </w:r>
      <w:bookmarkEnd w:id="13"/>
      <w:bookmarkEnd w:id="14"/>
      <w:bookmarkEnd w:id="15"/>
      <w:bookmarkEnd w:id="16"/>
      <w:bookmarkEnd w:id="17"/>
    </w:p>
    <w:p>
      <w:pPr>
        <w:pStyle w:val="3"/>
        <w:spacing w:before="0" w:after="0"/>
      </w:pPr>
      <w:bookmarkStart w:id="18" w:name="_Toc73610145"/>
      <w:r>
        <w:rPr>
          <w:rFonts w:hint="eastAsia"/>
        </w:rPr>
        <w:t>1、资质证书有效期</w:t>
      </w:r>
      <w:bookmarkEnd w:id="18"/>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adjustRightInd w:val="0"/>
        <w:spacing w:line="360" w:lineRule="exact"/>
        <w:rPr>
          <w:rFonts w:asciiTheme="minorEastAsia" w:hAnsiTheme="minorEastAsia" w:eastAsiaTheme="minorEastAsia"/>
          <w:b/>
        </w:rPr>
      </w:pPr>
    </w:p>
    <w:p>
      <w:pPr>
        <w:pStyle w:val="3"/>
        <w:spacing w:before="0" w:after="0"/>
        <w:rPr>
          <w:rFonts w:asciiTheme="minorEastAsia" w:hAnsiTheme="minorEastAsia" w:eastAsiaTheme="minorEastAsia"/>
        </w:rPr>
      </w:pPr>
      <w:bookmarkStart w:id="19" w:name="_Toc73610146"/>
      <w:r>
        <w:rPr>
          <w:rFonts w:hint="eastAsia" w:asciiTheme="minorEastAsia" w:hAnsiTheme="minorEastAsia" w:eastAsiaTheme="minorEastAsia"/>
        </w:rPr>
        <w:t>2、政府采购优惠政策</w:t>
      </w:r>
      <w:bookmarkEnd w:id="19"/>
    </w:p>
    <w:p>
      <w:pPr>
        <w:adjustRightInd w:val="0"/>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优惠政策的证明材料的投标人，</w:t>
      </w:r>
      <w:r>
        <w:rPr>
          <w:rFonts w:hint="eastAsia" w:asciiTheme="minorEastAsia" w:hAnsiTheme="minorEastAsia" w:eastAsiaTheme="minorEastAsia"/>
          <w:b/>
        </w:rPr>
        <w:t>其投标报价扣除</w:t>
      </w:r>
      <w:r>
        <w:rPr>
          <w:rFonts w:hint="eastAsia" w:asciiTheme="minorEastAsia" w:hAnsiTheme="minorEastAsia" w:eastAsiaTheme="minorEastAsia"/>
          <w:b/>
          <w:u w:val="single"/>
        </w:rPr>
        <w:t xml:space="preserve"> 6 </w:t>
      </w:r>
      <w:r>
        <w:rPr>
          <w:rFonts w:hint="eastAsia" w:asciiTheme="minorEastAsia" w:hAnsiTheme="minorEastAsia" w:eastAsiaTheme="minorEastAsia"/>
          <w:b/>
        </w:rPr>
        <w:t>%（请在6%-10%范围内选择）后参与评审</w:t>
      </w:r>
      <w:r>
        <w:rPr>
          <w:rFonts w:hint="eastAsia" w:asciiTheme="minorEastAsia" w:hAnsiTheme="minorEastAsia" w:eastAsiaTheme="minorEastAsia"/>
        </w:rPr>
        <w:t>。对于同时属于小微企业、监狱企业或残疾人福利性单位的，不重复进行投标报价扣除。</w:t>
      </w:r>
    </w:p>
    <w:p>
      <w:pPr>
        <w:adjustRightInd w:val="0"/>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rPr>
        <w:t>（2）联合协议中约定，小型、微型企业的协议合同金额占到联合体协议合同总金额30%以上的，可给予</w:t>
      </w:r>
      <w:r>
        <w:rPr>
          <w:rFonts w:hint="eastAsia" w:asciiTheme="minorEastAsia" w:hAnsiTheme="minorEastAsia" w:eastAsiaTheme="minorEastAsia"/>
          <w:b/>
        </w:rPr>
        <w:t>联合体</w:t>
      </w:r>
      <w:r>
        <w:rPr>
          <w:rFonts w:hint="eastAsia" w:asciiTheme="minorEastAsia" w:hAnsiTheme="minorEastAsia" w:eastAsiaTheme="minorEastAsia"/>
          <w:b/>
          <w:u w:val="single"/>
        </w:rPr>
        <w:t xml:space="preserve"> / </w:t>
      </w:r>
      <w:r>
        <w:rPr>
          <w:rFonts w:hint="eastAsia" w:asciiTheme="minorEastAsia" w:hAnsiTheme="minorEastAsia" w:eastAsiaTheme="minorEastAsia"/>
          <w:b/>
        </w:rPr>
        <w:t>%（请在2</w:t>
      </w:r>
      <w:r>
        <w:rPr>
          <w:rFonts w:asciiTheme="minorEastAsia" w:hAnsiTheme="minorEastAsia" w:eastAsiaTheme="minorEastAsia"/>
          <w:b/>
        </w:rPr>
        <w:t>%-</w:t>
      </w:r>
      <w:r>
        <w:rPr>
          <w:rFonts w:hint="eastAsia" w:asciiTheme="minorEastAsia" w:hAnsiTheme="minorEastAsia" w:eastAsiaTheme="minorEastAsia"/>
          <w:b/>
        </w:rPr>
        <w:t>3</w:t>
      </w:r>
      <w:r>
        <w:rPr>
          <w:rFonts w:asciiTheme="minorEastAsia" w:hAnsiTheme="minorEastAsia" w:eastAsiaTheme="minorEastAsia"/>
          <w:b/>
        </w:rPr>
        <w:t>%</w:t>
      </w:r>
      <w:r>
        <w:rPr>
          <w:rFonts w:hint="eastAsia" w:asciiTheme="minorEastAsia" w:hAnsiTheme="minorEastAsia" w:eastAsiaTheme="minorEastAsia"/>
          <w:b/>
        </w:rPr>
        <w:t>范围内选择）</w:t>
      </w:r>
      <w:r>
        <w:rPr>
          <w:rFonts w:hint="eastAsia" w:asciiTheme="minorEastAsia" w:hAnsiTheme="minorEastAsia" w:eastAsiaTheme="minorEastAsia"/>
        </w:rPr>
        <w:t>的价格扣除。</w:t>
      </w:r>
    </w:p>
    <w:p>
      <w:pPr>
        <w:spacing w:line="360" w:lineRule="auto"/>
        <w:ind w:firstLine="424" w:firstLineChars="202"/>
        <w:jc w:val="left"/>
        <w:rPr>
          <w:rFonts w:asciiTheme="minorEastAsia" w:hAnsiTheme="minorEastAsia" w:eastAsiaTheme="minorEastAsia"/>
        </w:rPr>
      </w:pPr>
      <w:r>
        <w:rPr>
          <w:rFonts w:hint="eastAsia" w:asciiTheme="minorEastAsia" w:hAnsiTheme="minorEastAsia" w:eastAsiaTheme="minorEastAsia"/>
        </w:rPr>
        <w:t>联合体各方均为小型、微型企业、监狱企业和</w:t>
      </w:r>
      <w:r>
        <w:rPr>
          <w:rFonts w:hint="eastAsia" w:ascii="宋体" w:hAnsi="宋体"/>
        </w:rPr>
        <w:t>残疾人福利性单位</w:t>
      </w:r>
      <w:r>
        <w:rPr>
          <w:rFonts w:hint="eastAsia" w:asciiTheme="minorEastAsia" w:hAnsiTheme="minorEastAsia" w:eastAsiaTheme="minorEastAsia"/>
        </w:rPr>
        <w:t>的，联合体视同为小型、微型企业、监狱企业和</w:t>
      </w:r>
      <w:r>
        <w:rPr>
          <w:rFonts w:hint="eastAsia" w:ascii="宋体" w:hAnsi="宋体"/>
        </w:rPr>
        <w:t>残疾人福利性单位</w:t>
      </w:r>
      <w:r>
        <w:rPr>
          <w:rFonts w:hint="eastAsia" w:asciiTheme="minorEastAsia" w:hAnsiTheme="minorEastAsia" w:eastAsiaTheme="minorEastAsia"/>
        </w:rPr>
        <w:t>，均享受</w:t>
      </w:r>
      <w:r>
        <w:rPr>
          <w:rFonts w:hint="eastAsia" w:asciiTheme="minorEastAsia" w:hAnsiTheme="minorEastAsia" w:eastAsiaTheme="minorEastAsia"/>
          <w:b/>
          <w:bCs/>
        </w:rPr>
        <w:t>政府采购优惠政策</w:t>
      </w:r>
      <w:r>
        <w:rPr>
          <w:rFonts w:hint="eastAsia" w:asciiTheme="minorEastAsia" w:hAnsiTheme="minorEastAsia" w:eastAsiaTheme="minorEastAsia"/>
          <w:b/>
        </w:rPr>
        <w:t>第一款</w:t>
      </w:r>
      <w:r>
        <w:rPr>
          <w:rFonts w:hint="eastAsia" w:asciiTheme="minorEastAsia" w:hAnsiTheme="minorEastAsia" w:eastAsiaTheme="minorEastAsia"/>
        </w:rPr>
        <w:t>的优惠政策。</w:t>
      </w:r>
    </w:p>
    <w:p>
      <w:pPr>
        <w:spacing w:line="360" w:lineRule="auto"/>
        <w:ind w:firstLine="424" w:firstLineChars="202"/>
        <w:jc w:val="left"/>
        <w:rPr>
          <w:rFonts w:asciiTheme="minorEastAsia" w:hAnsiTheme="minorEastAsia" w:eastAsiaTheme="minorEastAsia"/>
        </w:rPr>
      </w:pPr>
      <w:r>
        <w:rPr>
          <w:rFonts w:hint="eastAsia" w:asciiTheme="minorEastAsia" w:hAnsiTheme="minorEastAsia" w:eastAsiaTheme="minorEastAsia"/>
        </w:rPr>
        <w:t>（3）优惠主体资格的认定资料为《中小企业声明函》、《残疾人福利性单位声明函》以及《监狱企业声明函》等承诺性质的资料（格式详见招标文件第三章）；监狱企业或者代理提供监狱企业货物的供应商如须享受优惠政策，除上述资料外，还须提供省级以上监狱管理局、戒毒管理局出具的监狱企业证明文件。</w:t>
      </w:r>
    </w:p>
    <w:p>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（4）投标产品属于《关于调整优化节能产品环境标志产品政府采购执行机制的通知》（财库〔2019〕9号）、《关于印发环境标志产品政府采购品目清单的通知》（财库〔2019〕18号）和《关于印发节能产品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对符合条件的获证产品（强制采购产品除外）</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%的价格扣除，用扣除后的价格参与价格分的评审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szCs w:val="21"/>
        </w:rPr>
        <w:t>（5）为缓解中小企业融资难题，我市推出政府采购订单融资改革举措。订单融资具体流程及试点金融机构订单融资服务承诺可参阅深圳市政府采购监管网（www.zfcg.sz.gov.cn）信息公开栏目或深圳公共资源交易中心网站（www.szzfcg.cn）政府采购订单融资栏目。</w:t>
      </w:r>
    </w:p>
    <w:p>
      <w:pPr>
        <w:spacing w:line="360" w:lineRule="auto"/>
        <w:ind w:firstLine="424" w:firstLineChars="202"/>
        <w:jc w:val="left"/>
        <w:rPr>
          <w:rFonts w:asciiTheme="minorEastAsia" w:hAnsiTheme="minorEastAsia" w:eastAsiaTheme="minorEastAsia"/>
          <w:szCs w:val="21"/>
        </w:rPr>
      </w:pPr>
    </w:p>
    <w:p/>
    <w:p>
      <w:pPr>
        <w:widowControl/>
        <w:jc w:val="left"/>
        <w:rPr>
          <w:sz w:val="32"/>
        </w:rPr>
      </w:pPr>
      <w:r>
        <w:rPr>
          <w:rFonts w:eastAsiaTheme="minorEastAsia"/>
          <w:b/>
          <w:kern w:val="44"/>
          <w:sz w:val="32"/>
          <w:szCs w:val="28"/>
        </w:rPr>
        <w:br w:type="page"/>
      </w:r>
    </w:p>
    <w:p>
      <w:pPr>
        <w:widowControl/>
        <w:jc w:val="left"/>
        <w:rPr>
          <w:rFonts w:eastAsiaTheme="minorEastAsia"/>
          <w:b/>
          <w:kern w:val="44"/>
          <w:sz w:val="32"/>
          <w:szCs w:val="28"/>
        </w:rPr>
      </w:pPr>
    </w:p>
    <w:p>
      <w:pPr>
        <w:pStyle w:val="2"/>
        <w:spacing w:beforeLines="50"/>
      </w:pPr>
      <w:bookmarkStart w:id="20" w:name="_Toc73610147"/>
      <w:r>
        <w:rPr>
          <w:rFonts w:hint="eastAsia"/>
        </w:rPr>
        <w:t>第五章  投标人须知前附表</w:t>
      </w:r>
      <w:bookmarkEnd w:id="20"/>
    </w:p>
    <w:p>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项号</w:t>
            </w:r>
          </w:p>
        </w:tc>
        <w:tc>
          <w:tcPr>
            <w:tcW w:w="1038" w:type="dxa"/>
            <w:vAlign w:val="center"/>
          </w:tcPr>
          <w:p>
            <w:pPr>
              <w:pStyle w:val="26"/>
              <w:spacing w:line="360" w:lineRule="auto"/>
              <w:jc w:val="center"/>
              <w:rPr>
                <w:rFonts w:hAnsi="宋体"/>
              </w:rPr>
            </w:pPr>
            <w:r>
              <w:rPr>
                <w:rFonts w:hint="eastAsia" w:hAnsi="宋体"/>
              </w:rPr>
              <w:t>条款号</w:t>
            </w:r>
          </w:p>
        </w:tc>
        <w:tc>
          <w:tcPr>
            <w:tcW w:w="1843" w:type="dxa"/>
            <w:vAlign w:val="center"/>
          </w:tcPr>
          <w:p>
            <w:pPr>
              <w:pStyle w:val="26"/>
              <w:spacing w:line="360" w:lineRule="auto"/>
              <w:jc w:val="center"/>
              <w:rPr>
                <w:rFonts w:hAnsi="宋体"/>
              </w:rPr>
            </w:pPr>
            <w:r>
              <w:rPr>
                <w:rFonts w:hint="eastAsia" w:hAnsi="宋体"/>
              </w:rPr>
              <w:t>内容</w:t>
            </w:r>
          </w:p>
        </w:tc>
        <w:tc>
          <w:tcPr>
            <w:tcW w:w="6520" w:type="dxa"/>
          </w:tcPr>
          <w:p>
            <w:pPr>
              <w:pStyle w:val="26"/>
              <w:spacing w:line="360" w:lineRule="auto"/>
              <w:jc w:val="center"/>
              <w:rPr>
                <w:rFonts w:hAnsi="宋体"/>
              </w:rPr>
            </w:pPr>
            <w:r>
              <w:rPr>
                <w:rFonts w:hint="eastAsia" w:hAnsi="宋体"/>
              </w:rPr>
              <w:t>内容规定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Ansi="宋体"/>
              </w:rPr>
              <w:t>1</w:t>
            </w:r>
          </w:p>
        </w:tc>
        <w:tc>
          <w:tcPr>
            <w:tcW w:w="1038" w:type="dxa"/>
            <w:vAlign w:val="center"/>
          </w:tcPr>
          <w:p>
            <w:pPr>
              <w:pStyle w:val="26"/>
              <w:spacing w:line="360" w:lineRule="auto"/>
              <w:jc w:val="center"/>
              <w:rPr>
                <w:rFonts w:hAnsi="宋体"/>
              </w:rPr>
            </w:pPr>
            <w:r>
              <w:rPr>
                <w:rFonts w:hAnsi="宋体"/>
              </w:rPr>
              <w:t>1.1</w:t>
            </w:r>
          </w:p>
        </w:tc>
        <w:tc>
          <w:tcPr>
            <w:tcW w:w="1843" w:type="dxa"/>
            <w:vAlign w:val="center"/>
          </w:tcPr>
          <w:p>
            <w:pPr>
              <w:pStyle w:val="26"/>
              <w:spacing w:line="360" w:lineRule="exact"/>
              <w:jc w:val="center"/>
              <w:rPr>
                <w:rFonts w:hAnsi="宋体"/>
              </w:rPr>
            </w:pPr>
            <w:r>
              <w:rPr>
                <w:rFonts w:hint="eastAsia" w:hAnsi="宋体"/>
              </w:rPr>
              <w:t>项目名称</w:t>
            </w:r>
          </w:p>
        </w:tc>
        <w:tc>
          <w:tcPr>
            <w:tcW w:w="6520" w:type="dxa"/>
            <w:vAlign w:val="center"/>
          </w:tcPr>
          <w:p>
            <w:pPr>
              <w:pStyle w:val="26"/>
              <w:spacing w:line="360" w:lineRule="exact"/>
            </w:pPr>
            <w:r>
              <w:rPr>
                <w:rFonts w:hint="eastAsia" w:asciiTheme="minorEastAsia" w:hAnsiTheme="minorEastAsia" w:eastAsiaTheme="minorEastAsia"/>
              </w:rPr>
              <w:t>可视化角膜生物力学分析仪采购项目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2</w:t>
            </w:r>
          </w:p>
        </w:tc>
        <w:tc>
          <w:tcPr>
            <w:tcW w:w="1038" w:type="dxa"/>
            <w:vAlign w:val="center"/>
          </w:tcPr>
          <w:p>
            <w:pPr>
              <w:pStyle w:val="26"/>
              <w:spacing w:line="360" w:lineRule="auto"/>
              <w:jc w:val="center"/>
              <w:rPr>
                <w:rFonts w:hAnsi="宋体"/>
              </w:rPr>
            </w:pPr>
            <w:r>
              <w:rPr>
                <w:rFonts w:hAnsi="宋体"/>
              </w:rPr>
              <w:t>2.1</w:t>
            </w:r>
          </w:p>
        </w:tc>
        <w:tc>
          <w:tcPr>
            <w:tcW w:w="1843" w:type="dxa"/>
            <w:vAlign w:val="center"/>
          </w:tcPr>
          <w:p>
            <w:pPr>
              <w:pStyle w:val="26"/>
              <w:spacing w:line="360" w:lineRule="exact"/>
              <w:jc w:val="center"/>
              <w:rPr>
                <w:rFonts w:hAnsi="宋体"/>
              </w:rPr>
            </w:pPr>
            <w:r>
              <w:rPr>
                <w:rFonts w:hint="eastAsia" w:hAnsi="宋体"/>
              </w:rPr>
              <w:t>采购人</w:t>
            </w:r>
          </w:p>
        </w:tc>
        <w:tc>
          <w:tcPr>
            <w:tcW w:w="6520" w:type="dxa"/>
            <w:vAlign w:val="center"/>
          </w:tcPr>
          <w:p>
            <w:pPr>
              <w:pStyle w:val="26"/>
              <w:spacing w:line="360" w:lineRule="exact"/>
              <w:rPr>
                <w:rFonts w:hint="default" w:hAnsi="宋体" w:eastAsia="宋体"/>
                <w:szCs w:val="24"/>
                <w:lang w:val="en-US" w:eastAsia="zh-CN"/>
              </w:rPr>
            </w:pPr>
            <w:r>
              <w:rPr>
                <w:rFonts w:hint="eastAsia" w:hAnsi="宋体"/>
                <w:szCs w:val="24"/>
                <w:lang w:val="en-US" w:eastAsia="zh-CN"/>
              </w:rPr>
              <w:t>深圳市眼科医院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3</w:t>
            </w:r>
          </w:p>
        </w:tc>
        <w:tc>
          <w:tcPr>
            <w:tcW w:w="1038" w:type="dxa"/>
            <w:vAlign w:val="center"/>
          </w:tcPr>
          <w:p>
            <w:pPr>
              <w:pStyle w:val="26"/>
              <w:spacing w:line="360" w:lineRule="auto"/>
              <w:jc w:val="center"/>
              <w:rPr>
                <w:rFonts w:hAnsi="宋体"/>
              </w:rPr>
            </w:pPr>
            <w:r>
              <w:rPr>
                <w:rFonts w:hAnsi="宋体"/>
              </w:rPr>
              <w:t>2.2</w:t>
            </w:r>
          </w:p>
        </w:tc>
        <w:tc>
          <w:tcPr>
            <w:tcW w:w="1843" w:type="dxa"/>
            <w:vAlign w:val="center"/>
          </w:tcPr>
          <w:p>
            <w:pPr>
              <w:pStyle w:val="26"/>
              <w:spacing w:line="360" w:lineRule="exact"/>
              <w:jc w:val="center"/>
              <w:rPr>
                <w:rFonts w:hAnsi="宋体"/>
              </w:rPr>
            </w:pPr>
            <w:r>
              <w:rPr>
                <w:rFonts w:hint="eastAsia" w:hAnsi="宋体"/>
              </w:rPr>
              <w:t>招标代理机构</w:t>
            </w:r>
          </w:p>
        </w:tc>
        <w:tc>
          <w:tcPr>
            <w:tcW w:w="6520" w:type="dxa"/>
            <w:vAlign w:val="center"/>
          </w:tcPr>
          <w:p>
            <w:pPr>
              <w:pStyle w:val="26"/>
              <w:spacing w:line="360" w:lineRule="exact"/>
              <w:rPr>
                <w:rFonts w:hAnsi="宋体"/>
              </w:rPr>
            </w:pPr>
            <w:r>
              <w:rPr>
                <w:rFonts w:hAnsi="宋体"/>
              </w:rPr>
              <w:t>深圳市中正招标有限公司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pPr>
              <w:pStyle w:val="26"/>
              <w:spacing w:line="360" w:lineRule="auto"/>
              <w:jc w:val="center"/>
              <w:rPr>
                <w:rFonts w:hAnsi="宋体"/>
              </w:rPr>
            </w:pPr>
            <w:r>
              <w:rPr>
                <w:rFonts w:hint="eastAsia" w:hAnsi="宋体"/>
              </w:rPr>
              <w:t>4</w:t>
            </w:r>
          </w:p>
        </w:tc>
        <w:tc>
          <w:tcPr>
            <w:tcW w:w="1038" w:type="dxa"/>
            <w:vAlign w:val="center"/>
          </w:tcPr>
          <w:p>
            <w:pPr>
              <w:pStyle w:val="26"/>
              <w:spacing w:line="360" w:lineRule="auto"/>
              <w:jc w:val="center"/>
              <w:rPr>
                <w:rFonts w:hAnsi="宋体"/>
              </w:rPr>
            </w:pPr>
            <w:r>
              <w:rPr>
                <w:rFonts w:hint="eastAsia" w:hAnsi="宋体"/>
              </w:rPr>
              <w:t>3.1</w:t>
            </w:r>
          </w:p>
        </w:tc>
        <w:tc>
          <w:tcPr>
            <w:tcW w:w="1843" w:type="dxa"/>
            <w:vAlign w:val="center"/>
          </w:tcPr>
          <w:p>
            <w:pPr>
              <w:pStyle w:val="26"/>
              <w:spacing w:line="360" w:lineRule="exact"/>
              <w:jc w:val="center"/>
              <w:rPr>
                <w:rFonts w:hAnsi="宋体"/>
              </w:rPr>
            </w:pPr>
            <w:r>
              <w:rPr>
                <w:rFonts w:hint="eastAsia" w:hAnsi="宋体"/>
              </w:rPr>
              <w:t>资金来源</w:t>
            </w:r>
          </w:p>
        </w:tc>
        <w:tc>
          <w:tcPr>
            <w:tcW w:w="6520" w:type="dxa"/>
            <w:vAlign w:val="center"/>
          </w:tcPr>
          <w:p>
            <w:pPr>
              <w:pStyle w:val="26"/>
              <w:spacing w:line="360" w:lineRule="exact"/>
              <w:rPr>
                <w:rFonts w:hAnsi="宋体"/>
              </w:rPr>
            </w:pPr>
            <w:r>
              <w:rPr>
                <w:rFonts w:hint="eastAsia" w:hAnsi="宋体" w:eastAsia="MS Mincho" w:cs="MS Mincho"/>
                <w:sz w:val="24"/>
                <w:szCs w:val="24"/>
              </w:rPr>
              <w:t>☑</w:t>
            </w:r>
            <w:r>
              <w:rPr>
                <w:rFonts w:hint="eastAsia" w:hAnsi="宋体"/>
              </w:rPr>
              <w:t>预算内资金/□预算外资金/□自筹资金/□其它资金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pPr>
              <w:pStyle w:val="26"/>
              <w:spacing w:line="360" w:lineRule="auto"/>
              <w:jc w:val="center"/>
              <w:rPr>
                <w:rFonts w:hAnsi="宋体"/>
              </w:rPr>
            </w:pPr>
            <w:r>
              <w:rPr>
                <w:rFonts w:hint="eastAsia" w:hAnsi="宋体"/>
              </w:rPr>
              <w:t>5</w:t>
            </w:r>
          </w:p>
        </w:tc>
        <w:tc>
          <w:tcPr>
            <w:tcW w:w="1038" w:type="dxa"/>
            <w:vAlign w:val="center"/>
          </w:tcPr>
          <w:p>
            <w:pPr>
              <w:pStyle w:val="26"/>
              <w:spacing w:line="360" w:lineRule="auto"/>
              <w:jc w:val="center"/>
              <w:rPr>
                <w:rFonts w:hAnsi="宋体"/>
              </w:rPr>
            </w:pPr>
            <w:r>
              <w:rPr>
                <w:rFonts w:hint="eastAsia" w:hAnsi="宋体"/>
              </w:rPr>
              <w:t>4.7</w:t>
            </w:r>
          </w:p>
        </w:tc>
        <w:tc>
          <w:tcPr>
            <w:tcW w:w="1843" w:type="dxa"/>
            <w:vAlign w:val="center"/>
          </w:tcPr>
          <w:p>
            <w:pPr>
              <w:pStyle w:val="26"/>
              <w:spacing w:line="360" w:lineRule="auto"/>
              <w:jc w:val="center"/>
              <w:rPr>
                <w:rFonts w:hAnsi="宋体"/>
              </w:rPr>
            </w:pPr>
            <w:r>
              <w:rPr>
                <w:rFonts w:hint="eastAsia" w:hAnsi="宋体"/>
              </w:rPr>
              <w:t>投标人资格要求</w:t>
            </w:r>
          </w:p>
        </w:tc>
        <w:tc>
          <w:tcPr>
            <w:tcW w:w="6520" w:type="dxa"/>
            <w:vAlign w:val="center"/>
          </w:tcPr>
          <w:p>
            <w:pPr>
              <w:pStyle w:val="26"/>
              <w:spacing w:line="360" w:lineRule="auto"/>
              <w:rPr>
                <w:rFonts w:hAnsi="宋体"/>
                <w:szCs w:val="21"/>
              </w:rPr>
            </w:pPr>
            <w:r>
              <w:rPr>
                <w:rFonts w:hint="eastAsia" w:hAnsi="宋体"/>
                <w:szCs w:val="21"/>
              </w:rPr>
              <w:t>详见《第一章 投标邀请》“申请人的资格要求”</w:t>
            </w:r>
          </w:p>
          <w:p>
            <w:pPr>
              <w:pStyle w:val="26"/>
              <w:spacing w:line="360" w:lineRule="auto"/>
              <w:rPr>
                <w:rFonts w:hAnsi="宋体"/>
                <w:b/>
                <w:bCs/>
                <w:szCs w:val="21"/>
              </w:rPr>
            </w:pPr>
            <w:r>
              <w:rPr>
                <w:rFonts w:hint="eastAsia" w:hAnsi="宋体"/>
                <w:b/>
                <w:bCs/>
                <w:szCs w:val="21"/>
              </w:rPr>
              <w:t>（投标人资格证明文件详见第七章 投标文件格式）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6</w:t>
            </w:r>
          </w:p>
        </w:tc>
        <w:tc>
          <w:tcPr>
            <w:tcW w:w="1038" w:type="dxa"/>
            <w:vAlign w:val="center"/>
          </w:tcPr>
          <w:p>
            <w:pPr>
              <w:pStyle w:val="26"/>
              <w:spacing w:line="360" w:lineRule="auto"/>
              <w:jc w:val="center"/>
              <w:rPr>
                <w:rFonts w:hAnsi="宋体"/>
              </w:rPr>
            </w:pPr>
            <w:r>
              <w:rPr>
                <w:rFonts w:hint="eastAsia" w:hAnsi="宋体"/>
              </w:rPr>
              <w:t>4.8</w:t>
            </w:r>
          </w:p>
        </w:tc>
        <w:tc>
          <w:tcPr>
            <w:tcW w:w="1843" w:type="dxa"/>
            <w:vAlign w:val="center"/>
          </w:tcPr>
          <w:p>
            <w:pPr>
              <w:pStyle w:val="26"/>
              <w:spacing w:line="360" w:lineRule="auto"/>
              <w:jc w:val="center"/>
              <w:rPr>
                <w:rFonts w:hAnsi="宋体"/>
              </w:rPr>
            </w:pPr>
            <w:r>
              <w:rPr>
                <w:rFonts w:hint="eastAsia" w:hAnsi="宋体"/>
              </w:rPr>
              <w:t>联合体投标</w:t>
            </w:r>
          </w:p>
        </w:tc>
        <w:tc>
          <w:tcPr>
            <w:tcW w:w="6520" w:type="dxa"/>
          </w:tcPr>
          <w:p>
            <w:pPr>
              <w:pStyle w:val="26"/>
              <w:spacing w:line="360" w:lineRule="auto"/>
              <w:rPr>
                <w:rFonts w:hAnsi="宋体"/>
              </w:rPr>
            </w:pPr>
            <w:r>
              <w:rPr>
                <w:rFonts w:hint="eastAsia" w:hAnsi="宋体"/>
              </w:rPr>
              <w:t>不接受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7</w:t>
            </w:r>
          </w:p>
        </w:tc>
        <w:tc>
          <w:tcPr>
            <w:tcW w:w="1038" w:type="dxa"/>
            <w:vAlign w:val="center"/>
          </w:tcPr>
          <w:p>
            <w:pPr>
              <w:pStyle w:val="26"/>
              <w:spacing w:line="360" w:lineRule="auto"/>
              <w:jc w:val="center"/>
              <w:rPr>
                <w:rFonts w:hAnsi="宋体"/>
              </w:rPr>
            </w:pPr>
            <w:r>
              <w:rPr>
                <w:rFonts w:hint="eastAsia" w:hAnsi="宋体"/>
              </w:rPr>
              <w:t>6.1</w:t>
            </w:r>
          </w:p>
        </w:tc>
        <w:tc>
          <w:tcPr>
            <w:tcW w:w="1843" w:type="dxa"/>
            <w:vAlign w:val="center"/>
          </w:tcPr>
          <w:p>
            <w:pPr>
              <w:pStyle w:val="26"/>
              <w:spacing w:line="360" w:lineRule="auto"/>
              <w:jc w:val="center"/>
              <w:rPr>
                <w:rFonts w:hAnsi="宋体"/>
              </w:rPr>
            </w:pPr>
            <w:r>
              <w:rPr>
                <w:rFonts w:hint="eastAsia" w:hAnsi="宋体"/>
              </w:rPr>
              <w:t>踏勘现场</w:t>
            </w:r>
          </w:p>
        </w:tc>
        <w:tc>
          <w:tcPr>
            <w:tcW w:w="6520" w:type="dxa"/>
          </w:tcPr>
          <w:p>
            <w:pPr>
              <w:pStyle w:val="26"/>
              <w:spacing w:line="360" w:lineRule="auto"/>
              <w:rPr>
                <w:rFonts w:hAnsi="宋体"/>
              </w:rPr>
            </w:pPr>
            <w:r>
              <w:rPr>
                <w:rFonts w:hint="eastAsia" w:hAnsi="宋体"/>
              </w:rPr>
              <w:t>不统一组织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28" w:type="dxa"/>
            <w:vAlign w:val="center"/>
          </w:tcPr>
          <w:p>
            <w:pPr>
              <w:pStyle w:val="26"/>
              <w:spacing w:line="360" w:lineRule="auto"/>
              <w:jc w:val="center"/>
              <w:rPr>
                <w:rFonts w:hAnsi="宋体"/>
              </w:rPr>
            </w:pPr>
            <w:r>
              <w:rPr>
                <w:rFonts w:hint="eastAsia" w:hAnsi="宋体"/>
              </w:rPr>
              <w:t>8</w:t>
            </w:r>
          </w:p>
        </w:tc>
        <w:tc>
          <w:tcPr>
            <w:tcW w:w="1038" w:type="dxa"/>
            <w:vAlign w:val="center"/>
          </w:tcPr>
          <w:p>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pPr>
              <w:pStyle w:val="26"/>
              <w:spacing w:line="360" w:lineRule="auto"/>
              <w:jc w:val="center"/>
              <w:rPr>
                <w:rFonts w:hAnsi="宋体"/>
              </w:rPr>
            </w:pPr>
            <w:r>
              <w:rPr>
                <w:rFonts w:hint="eastAsia" w:hAnsi="宋体"/>
              </w:rPr>
              <w:t>投标有效期</w:t>
            </w:r>
          </w:p>
        </w:tc>
        <w:tc>
          <w:tcPr>
            <w:tcW w:w="6520" w:type="dxa"/>
          </w:tcPr>
          <w:p>
            <w:pPr>
              <w:pStyle w:val="26"/>
              <w:spacing w:line="360" w:lineRule="auto"/>
              <w:rPr>
                <w:rFonts w:hAnsi="宋体"/>
              </w:rPr>
            </w:pPr>
            <w:r>
              <w:rPr>
                <w:rFonts w:hint="eastAsia" w:hAnsi="宋体"/>
              </w:rPr>
              <w:t>90</w:t>
            </w:r>
            <w:r>
              <w:rPr>
                <w:rFonts w:hAnsi="宋体"/>
              </w:rPr>
              <w:t>日历天（从投标截止之日算起）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8" w:type="dxa"/>
            <w:vAlign w:val="center"/>
          </w:tcPr>
          <w:p>
            <w:pPr>
              <w:pStyle w:val="26"/>
              <w:spacing w:line="360" w:lineRule="auto"/>
              <w:jc w:val="center"/>
              <w:rPr>
                <w:rFonts w:hAnsi="宋体"/>
              </w:rPr>
            </w:pPr>
            <w:r>
              <w:rPr>
                <w:rFonts w:hint="eastAsia" w:hAnsi="宋体"/>
              </w:rPr>
              <w:t>9</w:t>
            </w:r>
          </w:p>
        </w:tc>
        <w:tc>
          <w:tcPr>
            <w:tcW w:w="1038" w:type="dxa"/>
            <w:vAlign w:val="center"/>
          </w:tcPr>
          <w:p>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pPr>
              <w:pStyle w:val="26"/>
              <w:spacing w:line="360" w:lineRule="auto"/>
              <w:jc w:val="center"/>
              <w:rPr>
                <w:rFonts w:hAnsi="宋体"/>
              </w:rPr>
            </w:pPr>
            <w:r>
              <w:rPr>
                <w:rFonts w:hint="eastAsia" w:hAnsi="宋体"/>
              </w:rPr>
              <w:t>投标保证金</w:t>
            </w:r>
          </w:p>
        </w:tc>
        <w:tc>
          <w:tcPr>
            <w:tcW w:w="6520" w:type="dxa"/>
            <w:vAlign w:val="center"/>
          </w:tcPr>
          <w:p>
            <w:pPr>
              <w:tabs>
                <w:tab w:val="left" w:pos="915"/>
              </w:tabs>
              <w:spacing w:line="360" w:lineRule="exact"/>
              <w:rPr>
                <w:rFonts w:hAnsi="宋体"/>
              </w:rPr>
            </w:pPr>
            <w:r>
              <w:rPr>
                <w:rFonts w:hint="eastAsia" w:hAnsi="宋体"/>
              </w:rPr>
              <w:t>不要求向招标代理机构提交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pPr>
              <w:pStyle w:val="26"/>
              <w:spacing w:line="360" w:lineRule="auto"/>
              <w:jc w:val="center"/>
              <w:rPr>
                <w:rFonts w:hAnsi="宋体"/>
              </w:rPr>
            </w:pPr>
            <w:r>
              <w:rPr>
                <w:rFonts w:hint="eastAsia" w:hAnsi="宋体"/>
              </w:rPr>
              <w:t>10</w:t>
            </w:r>
          </w:p>
        </w:tc>
        <w:tc>
          <w:tcPr>
            <w:tcW w:w="1038" w:type="dxa"/>
            <w:vAlign w:val="center"/>
          </w:tcPr>
          <w:p>
            <w:pPr>
              <w:pStyle w:val="26"/>
              <w:spacing w:line="360" w:lineRule="auto"/>
              <w:jc w:val="center"/>
              <w:rPr>
                <w:rFonts w:hAnsi="宋体"/>
              </w:rPr>
            </w:pPr>
            <w:r>
              <w:rPr>
                <w:rFonts w:hint="eastAsia" w:hAnsi="宋体"/>
              </w:rPr>
              <w:t>16.1</w:t>
            </w:r>
          </w:p>
        </w:tc>
        <w:tc>
          <w:tcPr>
            <w:tcW w:w="1843" w:type="dxa"/>
            <w:vAlign w:val="center"/>
          </w:tcPr>
          <w:p>
            <w:pPr>
              <w:pStyle w:val="26"/>
              <w:spacing w:line="360" w:lineRule="auto"/>
              <w:jc w:val="center"/>
              <w:rPr>
                <w:rFonts w:hAnsi="宋体"/>
              </w:rPr>
            </w:pPr>
            <w:r>
              <w:rPr>
                <w:rFonts w:hint="eastAsia" w:hAnsi="宋体"/>
              </w:rPr>
              <w:t>投标预备会</w:t>
            </w:r>
          </w:p>
          <w:p>
            <w:pPr>
              <w:pStyle w:val="26"/>
              <w:spacing w:line="360" w:lineRule="auto"/>
              <w:jc w:val="center"/>
              <w:rPr>
                <w:rFonts w:hAnsi="宋体"/>
              </w:rPr>
            </w:pPr>
            <w:r>
              <w:rPr>
                <w:rFonts w:hint="eastAsia" w:hAnsi="宋体"/>
              </w:rPr>
              <w:t>（答疑会）</w:t>
            </w:r>
          </w:p>
        </w:tc>
        <w:tc>
          <w:tcPr>
            <w:tcW w:w="6520" w:type="dxa"/>
            <w:vAlign w:val="center"/>
          </w:tcPr>
          <w:p>
            <w:pPr>
              <w:pStyle w:val="26"/>
              <w:spacing w:line="360" w:lineRule="auto"/>
              <w:rPr>
                <w:rFonts w:hAnsi="宋体"/>
              </w:rPr>
            </w:pPr>
            <w:r>
              <w:rPr>
                <w:rFonts w:hint="eastAsia" w:hAnsi="宋体"/>
              </w:rPr>
              <w:t>不召开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11</w:t>
            </w:r>
          </w:p>
        </w:tc>
        <w:tc>
          <w:tcPr>
            <w:tcW w:w="1038" w:type="dxa"/>
            <w:vAlign w:val="center"/>
          </w:tcPr>
          <w:p>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pPr>
              <w:pStyle w:val="26"/>
              <w:spacing w:line="360" w:lineRule="auto"/>
              <w:jc w:val="center"/>
              <w:rPr>
                <w:rFonts w:hAnsi="宋体"/>
              </w:rPr>
            </w:pPr>
            <w:r>
              <w:rPr>
                <w:rFonts w:hint="eastAsia" w:hAnsi="宋体"/>
              </w:rPr>
              <w:t>投标文件份数</w:t>
            </w:r>
          </w:p>
        </w:tc>
        <w:tc>
          <w:tcPr>
            <w:tcW w:w="6520" w:type="dxa"/>
          </w:tcPr>
          <w:p>
            <w:pPr>
              <w:pStyle w:val="26"/>
              <w:spacing w:line="360" w:lineRule="auto"/>
              <w:rPr>
                <w:rFonts w:hAnsi="宋体"/>
              </w:rPr>
            </w:pPr>
            <w:r>
              <w:rPr>
                <w:rFonts w:asciiTheme="minorEastAsia" w:hAnsiTheme="minorEastAsia" w:eastAsiaTheme="minorEastAsia"/>
                <w:highlight w:val="cyan"/>
              </w:rPr>
              <w:t xml:space="preserve">正本1份，副本 </w:t>
            </w:r>
            <w:r>
              <w:rPr>
                <w:rFonts w:hint="eastAsia" w:asciiTheme="minorEastAsia" w:hAnsiTheme="minorEastAsia" w:eastAsiaTheme="minorEastAsia"/>
                <w:highlight w:val="cyan"/>
                <w:lang w:val="en-US" w:eastAsia="zh-CN"/>
              </w:rPr>
              <w:t>5</w:t>
            </w:r>
            <w:r>
              <w:rPr>
                <w:rFonts w:asciiTheme="minorEastAsia" w:hAnsiTheme="minorEastAsia" w:eastAsiaTheme="minorEastAsia"/>
                <w:highlight w:val="cyan"/>
              </w:rPr>
              <w:t>份，</w:t>
            </w:r>
            <w:r>
              <w:rPr>
                <w:rFonts w:hint="eastAsia" w:asciiTheme="minorEastAsia" w:hAnsiTheme="minorEastAsia" w:eastAsiaTheme="minorEastAsia"/>
              </w:rPr>
              <w:t>电子</w:t>
            </w:r>
            <w:r>
              <w:rPr>
                <w:rFonts w:asciiTheme="minorEastAsia" w:hAnsiTheme="minorEastAsia" w:eastAsiaTheme="minorEastAsia"/>
              </w:rPr>
              <w:t>备份光盘（或U盘）1份</w:t>
            </w:r>
            <w:r>
              <w:rPr>
                <w:rFonts w:hint="eastAsia" w:asciiTheme="minorEastAsia" w:hAnsiTheme="minorEastAsia" w:eastAsiaTheme="minorEastAsia"/>
              </w:rPr>
              <w:t>（内容为投标文件正本盖章扫描件）。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12</w:t>
            </w:r>
          </w:p>
        </w:tc>
        <w:tc>
          <w:tcPr>
            <w:tcW w:w="1038" w:type="dxa"/>
            <w:vAlign w:val="center"/>
          </w:tcPr>
          <w:p>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pPr>
              <w:pStyle w:val="26"/>
              <w:spacing w:line="360" w:lineRule="auto"/>
              <w:jc w:val="center"/>
              <w:rPr>
                <w:rFonts w:hAnsi="宋体"/>
              </w:rPr>
            </w:pPr>
            <w:r>
              <w:rPr>
                <w:rFonts w:hint="eastAsia" w:hAnsi="宋体"/>
              </w:rPr>
              <w:t>开标</w:t>
            </w:r>
          </w:p>
        </w:tc>
        <w:tc>
          <w:tcPr>
            <w:tcW w:w="6520" w:type="dxa"/>
          </w:tcPr>
          <w:p>
            <w:pPr>
              <w:pStyle w:val="26"/>
              <w:spacing w:line="360" w:lineRule="auto"/>
              <w:rPr>
                <w:rFonts w:hAnsi="宋体"/>
                <w:b/>
              </w:rPr>
            </w:pPr>
            <w:r>
              <w:rPr>
                <w:rFonts w:hAnsi="宋体"/>
                <w:b/>
              </w:rPr>
              <w:t>时间：</w:t>
            </w:r>
            <w:r>
              <w:rPr>
                <w:rFonts w:hint="eastAsia" w:hAnsi="宋体"/>
                <w:b/>
                <w:snapToGrid w:val="0"/>
                <w:szCs w:val="18"/>
              </w:rPr>
              <w:t>2021年</w:t>
            </w:r>
            <w:r>
              <w:rPr>
                <w:rFonts w:hint="eastAsia" w:hAnsi="宋体"/>
                <w:b/>
                <w:snapToGrid w:val="0"/>
                <w:szCs w:val="18"/>
                <w:lang w:val="en-US" w:eastAsia="zh-CN"/>
              </w:rPr>
              <w:t>10</w:t>
            </w:r>
            <w:r>
              <w:rPr>
                <w:rFonts w:hint="eastAsia" w:hAnsi="宋体"/>
                <w:b/>
                <w:snapToGrid w:val="0"/>
                <w:szCs w:val="18"/>
              </w:rPr>
              <w:t>月</w:t>
            </w:r>
            <w:r>
              <w:rPr>
                <w:rFonts w:hint="eastAsia" w:hAnsi="宋体"/>
                <w:b/>
                <w:snapToGrid w:val="0"/>
                <w:szCs w:val="18"/>
                <w:lang w:val="en-US" w:eastAsia="zh-CN"/>
              </w:rPr>
              <w:t>14</w:t>
            </w:r>
            <w:r>
              <w:rPr>
                <w:rFonts w:hint="eastAsia" w:hAnsi="宋体"/>
                <w:b/>
                <w:snapToGrid w:val="0"/>
                <w:szCs w:val="18"/>
              </w:rPr>
              <w:t>日14点30分</w:t>
            </w:r>
            <w:r>
              <w:rPr>
                <w:rFonts w:hAnsi="宋体"/>
                <w:b/>
              </w:rPr>
              <w:t>（北京时间）</w:t>
            </w:r>
          </w:p>
          <w:p>
            <w:pPr>
              <w:pStyle w:val="26"/>
              <w:spacing w:line="360" w:lineRule="auto"/>
              <w:rPr>
                <w:rFonts w:hAnsi="宋体"/>
              </w:rPr>
            </w:pPr>
            <w:r>
              <w:rPr>
                <w:rFonts w:hAnsi="宋体"/>
              </w:rPr>
              <w:t>地点：</w:t>
            </w:r>
            <w:r>
              <w:rPr>
                <w:rFonts w:hint="eastAsia" w:hAnsi="宋体"/>
                <w:snapToGrid w:val="0"/>
              </w:rPr>
              <w:t>深圳市福田区民田路171号新华保险大厦903中正招标会议室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13</w:t>
            </w:r>
          </w:p>
        </w:tc>
        <w:tc>
          <w:tcPr>
            <w:tcW w:w="1038" w:type="dxa"/>
            <w:vAlign w:val="center"/>
          </w:tcPr>
          <w:p>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pPr>
              <w:pStyle w:val="26"/>
              <w:spacing w:line="360" w:lineRule="auto"/>
              <w:jc w:val="center"/>
              <w:rPr>
                <w:rFonts w:hAnsi="宋体"/>
              </w:rPr>
            </w:pPr>
            <w:r>
              <w:rPr>
                <w:rFonts w:hint="eastAsia" w:hAnsi="宋体"/>
              </w:rPr>
              <w:t>投标截止时间</w:t>
            </w:r>
          </w:p>
        </w:tc>
        <w:tc>
          <w:tcPr>
            <w:tcW w:w="6520" w:type="dxa"/>
          </w:tcPr>
          <w:p>
            <w:pPr>
              <w:pStyle w:val="26"/>
              <w:spacing w:line="360" w:lineRule="auto"/>
              <w:rPr>
                <w:rFonts w:hAnsi="宋体"/>
                <w:b/>
              </w:rPr>
            </w:pPr>
            <w:r>
              <w:rPr>
                <w:rFonts w:hint="eastAsia" w:hAnsi="宋体"/>
                <w:b/>
                <w:snapToGrid w:val="0"/>
                <w:szCs w:val="18"/>
              </w:rPr>
              <w:t>2021年</w:t>
            </w:r>
            <w:r>
              <w:rPr>
                <w:rFonts w:hint="eastAsia" w:hAnsi="宋体"/>
                <w:b/>
                <w:snapToGrid w:val="0"/>
                <w:szCs w:val="18"/>
                <w:lang w:val="en-US" w:eastAsia="zh-CN"/>
              </w:rPr>
              <w:t>10</w:t>
            </w:r>
            <w:r>
              <w:rPr>
                <w:rFonts w:hint="eastAsia" w:hAnsi="宋体"/>
                <w:b/>
                <w:snapToGrid w:val="0"/>
                <w:szCs w:val="18"/>
              </w:rPr>
              <w:t>月</w:t>
            </w:r>
            <w:r>
              <w:rPr>
                <w:rFonts w:hint="eastAsia" w:hAnsi="宋体"/>
                <w:b/>
                <w:snapToGrid w:val="0"/>
                <w:szCs w:val="18"/>
                <w:lang w:val="en-US" w:eastAsia="zh-CN"/>
              </w:rPr>
              <w:t>14</w:t>
            </w:r>
            <w:r>
              <w:rPr>
                <w:rFonts w:hint="eastAsia" w:hAnsi="宋体"/>
                <w:b/>
                <w:snapToGrid w:val="0"/>
                <w:szCs w:val="18"/>
              </w:rPr>
              <w:t>日14点30分</w:t>
            </w:r>
            <w:bookmarkStart w:id="90" w:name="_GoBack"/>
            <w:bookmarkEnd w:id="90"/>
            <w:r>
              <w:rPr>
                <w:rFonts w:hint="eastAsia" w:hAnsi="宋体"/>
                <w:b/>
              </w:rPr>
              <w:t>（北京时间）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14</w:t>
            </w:r>
          </w:p>
        </w:tc>
        <w:tc>
          <w:tcPr>
            <w:tcW w:w="1038" w:type="dxa"/>
            <w:vAlign w:val="center"/>
          </w:tcPr>
          <w:p>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pPr>
              <w:pStyle w:val="26"/>
              <w:spacing w:line="360" w:lineRule="auto"/>
              <w:jc w:val="center"/>
              <w:rPr>
                <w:rFonts w:hAnsi="宋体"/>
              </w:rPr>
            </w:pPr>
            <w:r>
              <w:rPr>
                <w:rFonts w:hint="eastAsia" w:hAnsi="宋体"/>
              </w:rPr>
              <w:t>评标办法</w:t>
            </w:r>
          </w:p>
        </w:tc>
        <w:tc>
          <w:tcPr>
            <w:tcW w:w="6520" w:type="dxa"/>
          </w:tcPr>
          <w:p>
            <w:pPr>
              <w:pStyle w:val="26"/>
              <w:spacing w:line="360" w:lineRule="auto"/>
              <w:rPr>
                <w:rFonts w:hAnsi="宋体"/>
              </w:rPr>
            </w:pPr>
            <w:r>
              <w:rPr>
                <w:rFonts w:hint="eastAsia" w:hAnsi="宋体"/>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15</w:t>
            </w:r>
          </w:p>
        </w:tc>
        <w:tc>
          <w:tcPr>
            <w:tcW w:w="1038" w:type="dxa"/>
            <w:vAlign w:val="center"/>
          </w:tcPr>
          <w:p>
            <w:pPr>
              <w:pStyle w:val="26"/>
              <w:spacing w:line="360" w:lineRule="auto"/>
              <w:jc w:val="center"/>
              <w:rPr>
                <w:rFonts w:hAnsi="宋体"/>
              </w:rPr>
            </w:pPr>
            <w:r>
              <w:rPr>
                <w:rFonts w:hint="eastAsia" w:hAnsi="宋体"/>
              </w:rPr>
              <w:t>33</w:t>
            </w:r>
            <w:r>
              <w:rPr>
                <w:rFonts w:hAnsi="宋体"/>
              </w:rPr>
              <w:t>.1</w:t>
            </w:r>
          </w:p>
        </w:tc>
        <w:tc>
          <w:tcPr>
            <w:tcW w:w="1843" w:type="dxa"/>
            <w:vAlign w:val="center"/>
          </w:tcPr>
          <w:p>
            <w:pPr>
              <w:pStyle w:val="26"/>
              <w:spacing w:line="360" w:lineRule="auto"/>
              <w:jc w:val="center"/>
              <w:rPr>
                <w:snapToGrid w:val="0"/>
                <w:kern w:val="0"/>
              </w:rPr>
            </w:pPr>
            <w:r>
              <w:rPr>
                <w:rFonts w:hint="eastAsia"/>
                <w:snapToGrid w:val="0"/>
                <w:kern w:val="0"/>
              </w:rPr>
              <w:t>履约保证金</w:t>
            </w:r>
          </w:p>
        </w:tc>
        <w:tc>
          <w:tcPr>
            <w:tcW w:w="6520" w:type="dxa"/>
          </w:tcPr>
          <w:p>
            <w:pPr>
              <w:pStyle w:val="26"/>
              <w:spacing w:line="360" w:lineRule="auto"/>
              <w:rPr>
                <w:rFonts w:hAnsi="宋体"/>
              </w:rPr>
            </w:pPr>
            <w:r>
              <w:rPr>
                <w:rFonts w:hint="eastAsia"/>
                <w:snapToGrid w:val="0"/>
                <w:kern w:val="0"/>
              </w:rPr>
              <w:t>按签订的合同条款执行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16</w:t>
            </w:r>
          </w:p>
        </w:tc>
        <w:tc>
          <w:tcPr>
            <w:tcW w:w="1038" w:type="dxa"/>
            <w:vAlign w:val="center"/>
          </w:tcPr>
          <w:p>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pPr>
              <w:pStyle w:val="26"/>
              <w:spacing w:line="360" w:lineRule="auto"/>
              <w:jc w:val="center"/>
              <w:rPr>
                <w:rFonts w:hAnsi="宋体"/>
              </w:rPr>
            </w:pPr>
            <w:r>
              <w:rPr>
                <w:rFonts w:hint="eastAsia" w:hAnsi="宋体"/>
              </w:rPr>
              <w:t>中标服务费</w:t>
            </w:r>
          </w:p>
        </w:tc>
        <w:tc>
          <w:tcPr>
            <w:tcW w:w="6520" w:type="dxa"/>
          </w:tcPr>
          <w:p>
            <w:pPr>
              <w:pStyle w:val="26"/>
              <w:spacing w:line="360" w:lineRule="auto"/>
              <w:rPr>
                <w:rFonts w:hAnsi="宋体"/>
              </w:rPr>
            </w:pPr>
            <w:r>
              <w:rPr>
                <w:rFonts w:hint="eastAsia" w:asciiTheme="minorEastAsia" w:hAnsiTheme="minorEastAsia" w:eastAsiaTheme="minorEastAsia"/>
                <w:szCs w:val="21"/>
              </w:rPr>
              <w:t>按深财购[2018]27号文件的代理费用参考标准（</w:t>
            </w:r>
            <w:r>
              <w:rPr>
                <w:rFonts w:hint="eastAsia" w:asciiTheme="minorEastAsia" w:hAnsiTheme="minorEastAsia" w:eastAsiaTheme="minorEastAsia"/>
              </w:rPr>
              <w:t>详见《投标人须知》</w:t>
            </w:r>
            <w:r>
              <w:rPr>
                <w:rFonts w:hint="eastAsia" w:asciiTheme="minorEastAsia" w:hAnsiTheme="minorEastAsia" w:eastAsiaTheme="minorEastAsia"/>
                <w:szCs w:val="21"/>
              </w:rPr>
              <w:t>），向中标供应商收取</w:t>
            </w:r>
            <w:r>
              <w:rPr>
                <w:rFonts w:hint="eastAsia" w:asciiTheme="minorEastAsia" w:hAnsiTheme="minorEastAsia" w:eastAsiaTheme="minorEastAsia"/>
              </w:rPr>
              <w:t>。</w:t>
            </w:r>
          </w:p>
        </w:tc>
      </w:tr>
    </w:tbl>
    <w:p>
      <w:pPr>
        <w:widowControl/>
        <w:jc w:val="left"/>
      </w:pPr>
      <w:r>
        <w:br w:type="page"/>
      </w:r>
    </w:p>
    <w:p/>
    <w:p>
      <w:pPr>
        <w:pStyle w:val="2"/>
      </w:pPr>
      <w:bookmarkStart w:id="21" w:name="_Toc73610148"/>
      <w:r>
        <w:rPr>
          <w:rFonts w:hint="eastAsia"/>
        </w:rPr>
        <w:t>第六章  投标人须知</w:t>
      </w:r>
      <w:bookmarkEnd w:id="21"/>
    </w:p>
    <w:p>
      <w:pPr>
        <w:pStyle w:val="4"/>
        <w:spacing w:before="0" w:after="0"/>
      </w:pPr>
      <w:bookmarkStart w:id="22" w:name="_Toc73610149"/>
      <w:r>
        <w:rPr>
          <w:rFonts w:hint="eastAsia"/>
        </w:rPr>
        <w:t>一、说</w:t>
      </w:r>
      <w:r>
        <w:t xml:space="preserve">  </w:t>
      </w:r>
      <w:r>
        <w:rPr>
          <w:rFonts w:hint="eastAsia"/>
        </w:rPr>
        <w:t>明</w:t>
      </w:r>
      <w:bookmarkEnd w:id="22"/>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及有关招投标法规、规章、规定通过招标来择优选定投标人。</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”系指前附表第2项所述。</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”系前附表第3项所述。</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“投标人”系指向</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提交投标文件的供应商。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“货物”系指投标人按招标文件规定，向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提供的设备及材料。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“工程”系指投标人按招标文件规定，向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提供的设备及材料的安装。</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“服务”系指投标人按招标文件规定，向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提供符合方案的服务。</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（2）投标联合体各方必须有一方先行注册成深圳市政府采购中心供应商。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（3）联合体中有同类资质的供应商按照联合体分工承担相同工作的，应当按照资质等级较低的供应商确定资质等级。</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（4）是否允许联合体参加投标，应当由采购人和采购代理机构根据项目的实际情况和潜在供应商的数量自主决定，如果决定接受联合体投标则应当在采购公告中明示。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（6）投标人的投标文件及中标后签署的合同协议对联合体各方均具法律约束力。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（7）联合体各方应当签订共同投标协议，明确约定各方拟承担的工作和责任，该共同投标协议应作为投标文件不可缺的组成部分。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（8）联合体中标后，联合体各方应当共同与采购人签订合同，就中标项目向采购人承担连带责任。</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（9）联合体的各方应当共同推荐一联合体投标授权代表，由联合体各方提交一份授权书，证明其有资格代表联合体各方签署投标文件，该授权书应作为投标文件不可缺的组成部分。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以联合体形式参加政府采购活动的，联合体各方不得再单独参加或者与其他供应商另外组成联合体参加同一合同项下的政府采购活动，出现上述情况者，其投标和与此有关的联合体、总包单位的投标将被拒绝。</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（11）本次招标中“投标人”一词亦指联合体各方，《投标人须知前附表》另有规定或说明的除外。</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6.1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将按前附表第7项的规定，组织投标人对现场及周围环境进行踏勘，以便投标人获取须自己负责的有关编制投标文件和签署合同所需的所有资料。踏勘现场所发生的费用由投标人自己承担。</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对投标人由此而做出的推论、理解和结论概不负责。</w:t>
      </w:r>
    </w:p>
    <w:p>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pPr>
        <w:adjustRightInd w:val="0"/>
        <w:spacing w:line="360" w:lineRule="auto"/>
        <w:jc w:val="center"/>
        <w:rPr>
          <w:rFonts w:asciiTheme="minorEastAsia" w:hAnsiTheme="minorEastAsia" w:eastAsiaTheme="minorEastAsia"/>
          <w:b/>
          <w:snapToGrid w:val="0"/>
          <w:kern w:val="0"/>
        </w:rPr>
      </w:pPr>
      <w:bookmarkStart w:id="23" w:name="q5"/>
      <w:bookmarkEnd w:id="23"/>
    </w:p>
    <w:p>
      <w:pPr>
        <w:pStyle w:val="4"/>
        <w:spacing w:before="0" w:after="0"/>
      </w:pPr>
      <w:bookmarkStart w:id="24" w:name="_Toc73610150"/>
      <w:r>
        <w:rPr>
          <w:rFonts w:hint="eastAsia"/>
        </w:rPr>
        <w:t>二、招标文件说明</w:t>
      </w:r>
      <w:bookmarkEnd w:id="24"/>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招标文件是用以阐明所需设备及服务的情况，以及招标、投标程序和相应的合同条款。招标文件由下述部份组成：</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招标代理机构。招标代理机构将视情况确定采用适当方式予以澄清或以书面形式予以答复，并在其认为必要时，将不标明查询来源的书面答复发给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在投标截止日3日前，招标代理机构可主动或依据投标人要求澄清的问题修改招标文件，并以书面形式通知所有购买招标文件的每一投标人，对方在收到该通知后应立即以书面的形式予以确认。</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pPr>
        <w:adjustRightInd w:val="0"/>
        <w:spacing w:line="360" w:lineRule="auto"/>
        <w:ind w:firstLine="600"/>
        <w:jc w:val="center"/>
        <w:rPr>
          <w:rFonts w:asciiTheme="minorEastAsia" w:hAnsiTheme="minorEastAsia" w:eastAsiaTheme="minorEastAsia"/>
          <w:b/>
          <w:snapToGrid w:val="0"/>
          <w:kern w:val="0"/>
        </w:rPr>
      </w:pPr>
    </w:p>
    <w:p>
      <w:pPr>
        <w:pStyle w:val="4"/>
        <w:spacing w:before="0" w:after="0"/>
      </w:pPr>
      <w:bookmarkStart w:id="25" w:name="q6"/>
      <w:bookmarkEnd w:id="25"/>
      <w:bookmarkStart w:id="26" w:name="_Toc73610151"/>
      <w:r>
        <w:rPr>
          <w:rFonts w:hint="eastAsia"/>
        </w:rPr>
        <w:t>三、投标文件的编写</w:t>
      </w:r>
      <w:bookmarkEnd w:id="26"/>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就投标交换的文件和往来的信件，应以中文书写。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（2）评标指引表</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snapToGrid w:val="0"/>
          <w:kern w:val="0"/>
          <w:szCs w:val="21"/>
        </w:rPr>
        <w:t>法定代表人证明书及授权委托书</w:t>
      </w:r>
      <w:r>
        <w:rPr>
          <w:rFonts w:hint="eastAsia" w:asciiTheme="minorEastAsia" w:hAnsiTheme="minorEastAsia" w:eastAsiaTheme="minorEastAsia"/>
          <w:snapToGrid w:val="0"/>
          <w:kern w:val="0"/>
        </w:rPr>
        <w:t>（投标文件格式2）</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（5）投标函（投标文件格式3） </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（7）报价表（投标文件格式6）</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（8）技术规格（投标文件格式7）</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（9）交付进度（投标文件格式8）</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（10）售后服务和质量承诺（投标文件格式9）</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投标人资格</w:t>
      </w:r>
      <w:r>
        <w:rPr>
          <w:rFonts w:hint="eastAsia" w:asciiTheme="minorEastAsia" w:hAnsiTheme="minorEastAsia" w:eastAsiaTheme="minorEastAsia"/>
          <w:snapToGrid w:val="0"/>
          <w:kern w:val="0"/>
        </w:rPr>
        <w:t>声明 （投标文件格式10）</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（12）偏离表（投标文件格式11）</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（13）招标文件要求的其他资料或投标人认为需要补充的资料（投标文件格式12）</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（14）装有“法定代表人证明书、法定代表人授权书”和“开标一览表”单独密封的信封</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（15）装有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（内容为投标文件正本盖章扫描件）</w:t>
      </w:r>
      <w:r>
        <w:rPr>
          <w:rFonts w:hint="eastAsia" w:asciiTheme="minorEastAsia" w:hAnsiTheme="minorEastAsia" w:eastAsiaTheme="minorEastAsia"/>
          <w:snapToGrid w:val="0"/>
          <w:kern w:val="0"/>
        </w:rPr>
        <w:t>单独密封的信封</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（16）产品样品或产品样板（如有）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投标报价应为到指定地点价，以人民币为结算单位。</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4）和“报价表”（投标文件格式5）上写明投标货物的单价和投标总价。投标人对每种项目只允许有一个报价，招标代理机构不接受有任何选择的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投标人必须提交证明其有资格进行投标，和中标后有能力履行合同的证明文件（投标文件格式1与格式9），作为投标文件的一部分。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既不要求也不允许其修改投标文件。</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投标保证金（本项目不适用）</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投标保证金为投标文件的组成部份之一。</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提交一笔不少于前附表第9项所规定的投标保证金。</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pPr>
        <w:adjustRightInd w:val="0"/>
        <w:spacing w:line="360" w:lineRule="auto"/>
        <w:ind w:left="630" w:hanging="630" w:hangingChars="300"/>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未中标的投标人的投标保证金，招标代理机构将在中标通知书发出且收到投标人的《投标保证金退还申请表》后5个工作日内退还。</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中标人的投标保证金，招标代理机构将在中标人签订合同并支付中标服务费后5个工作日内退还。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已递交了投标保证金的投标人放弃投标，而没有在投标保证金递交截止时间前书面通知招标代理机构的；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如果中标人未能做到：</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按本须知第31条规定签订合同；或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按本须知第32条规定提供履约保证金；或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按本须知第33条规定缴纳中标服务费。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另行书面通知的时间和地点，派出代表出席</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主持的投标预备会。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将做出澄清和解答。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投标文件的份数和签署</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投标文件数量按前附表第11项所述，须在每一份投标文件上明确注明“正本”或“副本”字样。一旦正本和副本有差异，以正本为准。 </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为了便于投标文件保存，需提交一份投标文件备份光盘（或U盘）。</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17.6  投标文件不符合上述规定，为无效投标。</w:t>
      </w:r>
    </w:p>
    <w:p>
      <w:pPr>
        <w:adjustRightInd w:val="0"/>
        <w:spacing w:line="360" w:lineRule="auto"/>
        <w:rPr>
          <w:rFonts w:asciiTheme="minorEastAsia" w:hAnsiTheme="minorEastAsia" w:eastAsiaTheme="minorEastAsia"/>
          <w:snapToGrid w:val="0"/>
          <w:kern w:val="0"/>
        </w:rPr>
      </w:pPr>
    </w:p>
    <w:p>
      <w:pPr>
        <w:pStyle w:val="4"/>
        <w:spacing w:before="0" w:after="0"/>
      </w:pPr>
      <w:bookmarkStart w:id="27" w:name="q7"/>
      <w:bookmarkEnd w:id="27"/>
      <w:bookmarkStart w:id="28" w:name="_Toc73610152"/>
      <w:r>
        <w:rPr>
          <w:rFonts w:hint="eastAsia"/>
        </w:rPr>
        <w:t>四、投标文件的递交</w:t>
      </w:r>
      <w:bookmarkEnd w:id="28"/>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投标人应将投标文件备份文件光盘密封于一信封，在信封上注明“备份光盘（或U盘）”。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w:t>
      </w:r>
      <w:r>
        <w:rPr>
          <w:rFonts w:hint="eastAsia"/>
          <w:snapToGrid w:val="0"/>
          <w:kern w:val="0"/>
        </w:rPr>
        <w:t>“备份光盘（或U盘）”一起封装在同一个外层包封中，同时还应在封套上载明以下信息</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w:t>
      </w:r>
      <w:r>
        <w:rPr>
          <w:rFonts w:hint="eastAsia"/>
          <w:snapToGrid w:val="0"/>
          <w:kern w:val="0"/>
        </w:rPr>
        <w:t>备份光盘（或U盘）</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投标人应将“法定代表人证明书、法定代表人授权委托证明书”和“开标一览表”单独密封于一信封，在递交投标文件时单独交与</w:t>
      </w:r>
      <w:r>
        <w:rPr>
          <w:rFonts w:hint="eastAsia"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，在信封上应：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注明：“开标一览表”和“法定代表人证明书、法定代表人授权委托证明书”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招标代理机构将拒收或者告知投标人，招标代理机构将不承担投标文件错放或提前开封的责任。对由此造成的提前开封的投标文件将予以拒绝，并退还给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投标人应按18.1～18.7中的规定进行密封和标记后，将投标文件按照前附表第12项中注明的地址送至招标代理机构。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在前附表第</w:t>
      </w:r>
      <w:bookmarkStart w:id="29" w:name="_Hlt35050056"/>
      <w:bookmarkEnd w:id="29"/>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修改通知规定的时间递交。</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在投标截止时间前30分钟开始接收投标文件。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将拒绝接收在投标截止时间后递交的投标文件。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pPr>
        <w:tabs>
          <w:tab w:val="left" w:pos="0"/>
        </w:tabs>
        <w:adjustRightInd w:val="0"/>
        <w:spacing w:line="360" w:lineRule="auto"/>
        <w:rPr>
          <w:rFonts w:asciiTheme="minorEastAsia" w:hAnsiTheme="minorEastAsia" w:eastAsiaTheme="minorEastAsia"/>
          <w:snapToGrid w:val="0"/>
          <w:kern w:val="0"/>
        </w:rPr>
      </w:pPr>
    </w:p>
    <w:p>
      <w:pPr>
        <w:pStyle w:val="4"/>
        <w:spacing w:before="0" w:after="0"/>
      </w:pPr>
      <w:bookmarkStart w:id="30" w:name="q8"/>
      <w:bookmarkEnd w:id="30"/>
      <w:bookmarkStart w:id="31" w:name="_Toc73610153"/>
      <w:r>
        <w:rPr>
          <w:rFonts w:hint="eastAsia"/>
        </w:rPr>
        <w:t>五、开标和评标</w:t>
      </w:r>
      <w:bookmarkEnd w:id="31"/>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在前附表第12项规定的时间和地点公开开标。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认为合适的其他内容。</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专家组成。评标委员会对投标文件进行审查、质疑、评估和比较。</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招标机构就投标文件中的资格证明等内容对投标供应商进行资格审查，审查不合格的，认定其投标无效。</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zCs w:val="21"/>
        </w:rPr>
        <w:t xml:space="preserve">    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在对投标文件进行详细评估之前，评标委员会将依据投标人提供的“资格证明文件”审查投标人的财务、技术和生产能力。如果确定投标人无资格履行合同，其投标将被拒绝。</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评标委员会判断投标文件的响应性，仅基于招标文件和投标文件本身而不靠外部证据。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评标委员会将拒绝被确定为非实质性响应的投标人。投标人不能通过修正或撤销不符之处，而使其投标成为实质性响应的投标。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24.8  评标委员会允许修改投标中不构成重大偏离的、微小的、非正规、不一致或不规则的地方。</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24.9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24.10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r>
        <w:rPr>
          <w:rFonts w:hint="eastAsia" w:asciiTheme="minorEastAsia" w:hAnsiTheme="minorEastAsia" w:eastAsiaTheme="minorEastAsia"/>
          <w:szCs w:val="21"/>
        </w:rPr>
        <w:t>。</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评标方法和标准”所述进行详细评审，并推荐中标候选人。</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评标期间，评委会将对投标文件中有关问题分别向投标人进行询问。各投标人应予以认真答复。重要或复杂问题的答复需以书面形式，并经法定代表人或授权人签署。澄清文件将作为投标文件的组成部份。</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pPr>
        <w:adjustRightInd w:val="0"/>
        <w:spacing w:line="360" w:lineRule="auto"/>
        <w:ind w:left="357"/>
        <w:jc w:val="center"/>
        <w:rPr>
          <w:rFonts w:asciiTheme="minorEastAsia" w:hAnsiTheme="minorEastAsia" w:eastAsiaTheme="minorEastAsia"/>
          <w:b/>
          <w:snapToGrid w:val="0"/>
          <w:kern w:val="0"/>
        </w:rPr>
      </w:pPr>
      <w:bookmarkStart w:id="32" w:name="q9"/>
      <w:bookmarkEnd w:id="32"/>
    </w:p>
    <w:p>
      <w:pPr>
        <w:pStyle w:val="4"/>
        <w:spacing w:before="0" w:after="0"/>
      </w:pPr>
      <w:bookmarkStart w:id="33" w:name="_Toc73610154"/>
      <w:r>
        <w:rPr>
          <w:rFonts w:hint="eastAsia"/>
        </w:rPr>
        <w:t>六、授予合同</w:t>
      </w:r>
      <w:bookmarkEnd w:id="33"/>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中标人向招标代理机构支付中标服务费后，领取《中标通知书》。</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中标人应按《中标通知书》或按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招标文件、中标人的投标文件及其澄清文件等，均为签订合同的依据。</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中标人须按招标文件的规定或根据合同条款的规定向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31"/>
        <w:gridCol w:w="1897"/>
        <w:gridCol w:w="1898"/>
        <w:gridCol w:w="189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5" w:hRule="atLeast"/>
          <w:jc w:val="center"/>
        </w:trPr>
        <w:tc>
          <w:tcPr>
            <w:tcW w:w="2131" w:type="dxa"/>
          </w:tcPr>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pict>
                <v:shape id="__TH_B3733" o:spid="_x0000_s3091" o:spt="202" type="#_x0000_t202" style="position:absolute;left:0pt;margin-left:56.4pt;margin-top:43.5pt;height:9.4pt;width:4.3pt;z-index:251674624;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元</w:t>
                        </w:r>
                      </w:p>
                    </w:txbxContent>
                  </v:textbox>
                </v:shape>
              </w:pict>
            </w:r>
            <w:r>
              <w:rPr>
                <w:rFonts w:asciiTheme="minorEastAsia" w:hAnsiTheme="minorEastAsia" w:eastAsiaTheme="minorEastAsia"/>
              </w:rPr>
              <w:pict>
                <v:shape id="__TH_B3632" o:spid="_x0000_s3090" o:spt="202" type="#_x0000_t202" style="position:absolute;left:0pt;margin-left:44.55pt;margin-top:42.35pt;height:9.4pt;width:9.85pt;z-index:251673600;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万</w:t>
                        </w:r>
                      </w:p>
                    </w:txbxContent>
                  </v:textbox>
                </v:shape>
              </w:pict>
            </w:r>
            <w:r>
              <w:rPr>
                <w:rFonts w:asciiTheme="minorEastAsia" w:hAnsiTheme="minorEastAsia" w:eastAsiaTheme="minorEastAsia"/>
              </w:rPr>
              <w:pict>
                <v:shape id="__TH_B3531" o:spid="_x0000_s3089" o:spt="202" type="#_x0000_t202" style="position:absolute;left:0pt;margin-left:38.45pt;margin-top:41.2pt;height:9.4pt;width:3.9pt;z-index:251672576;mso-width-relative:page;mso-height-relative:page;" filled="f" stroked="f" coordsize="21600,21600">
                  <v:path/>
                  <v:fill on="f" focussize="0,0"/>
                  <v:stroke on="f" joinstyle="miter"/>
                  <v:imagedata o:title=""/>
                  <o:lock v:ext="edit"/>
                  <v:textbox inset="0mm,0mm,0mm,0mm">
                    <w:txbxContent>
                      <w:p>
                        <w:pPr>
                          <w:snapToGrid w:val="0"/>
                          <w:rPr>
                            <w:sz w:val="15"/>
                          </w:rPr>
                        </w:pPr>
                        <w:r>
                          <w:rPr>
                            <w:sz w:val="15"/>
                          </w:rPr>
                          <w:t>(</w:t>
                        </w:r>
                      </w:p>
                    </w:txbxContent>
                  </v:textbox>
                </v:shape>
              </w:pict>
            </w:r>
            <w:r>
              <w:rPr>
                <w:rFonts w:asciiTheme="minorEastAsia" w:hAnsiTheme="minorEastAsia" w:eastAsiaTheme="minorEastAsia"/>
              </w:rPr>
              <w:pict>
                <v:shape id="__TH_B3430" o:spid="_x0000_s3088" o:spt="202" type="#_x0000_t202" style="position:absolute;left:0pt;margin-left:26.35pt;margin-top:40.05pt;height:9.4pt;width:9.9pt;z-index:251671552;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额</w:t>
                        </w:r>
                      </w:p>
                    </w:txbxContent>
                  </v:textbox>
                </v:shape>
              </w:pict>
            </w:r>
            <w:r>
              <w:rPr>
                <w:rFonts w:asciiTheme="minorEastAsia" w:hAnsiTheme="minorEastAsia" w:eastAsiaTheme="minorEastAsia"/>
              </w:rPr>
              <w:pict>
                <v:shape id="__TH_B3329" o:spid="_x0000_s3087" o:spt="202" type="#_x0000_t202" style="position:absolute;left:0pt;margin-left:17.3pt;margin-top:38.9pt;height:9.4pt;width:9.85pt;z-index:251670528;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金</w:t>
                        </w:r>
                      </w:p>
                    </w:txbxContent>
                  </v:textbox>
                </v:shape>
              </w:pict>
            </w:r>
            <w:r>
              <w:rPr>
                <w:rFonts w:asciiTheme="minorEastAsia" w:hAnsiTheme="minorEastAsia" w:eastAsiaTheme="minorEastAsia"/>
              </w:rPr>
              <w:pict>
                <v:shape id="__TH_B3228" o:spid="_x0000_s3086" o:spt="202" type="#_x0000_t202" style="position:absolute;left:0pt;margin-left:8.2pt;margin-top:37.75pt;height:9.4pt;width:9.9pt;z-index:251669504;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标</w:t>
                        </w:r>
                      </w:p>
                    </w:txbxContent>
                  </v:textbox>
                </v:shape>
              </w:pict>
            </w:r>
            <w:r>
              <w:rPr>
                <w:rFonts w:asciiTheme="minorEastAsia" w:hAnsiTheme="minorEastAsia" w:eastAsiaTheme="minorEastAsia"/>
              </w:rPr>
              <w:pict>
                <v:shape id="__TH_B3127" o:spid="_x0000_s3085" o:spt="202" type="#_x0000_t202" style="position:absolute;left:0pt;margin-left:-0.85pt;margin-top:36.6pt;height:9.4pt;width:9.85pt;z-index:251668480;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中</w:t>
                        </w:r>
                      </w:p>
                    </w:txbxContent>
                  </v:textbox>
                </v:shape>
              </w:pict>
            </w:r>
            <w:r>
              <w:rPr>
                <w:rFonts w:asciiTheme="minorEastAsia" w:hAnsiTheme="minorEastAsia" w:eastAsiaTheme="minorEastAsia"/>
              </w:rPr>
              <w:pict>
                <v:shape id="__TH_B2226" o:spid="_x0000_s3084" o:spt="202" type="#_x0000_t202" style="position:absolute;left:0pt;margin-left:63.4pt;margin-top:32.05pt;height:9.35pt;width:9.85pt;z-index:251667456;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率</w:t>
                        </w:r>
                      </w:p>
                    </w:txbxContent>
                  </v:textbox>
                </v:shape>
              </w:pict>
            </w:r>
            <w:r>
              <w:rPr>
                <w:rFonts w:asciiTheme="minorEastAsia" w:hAnsiTheme="minorEastAsia" w:eastAsiaTheme="minorEastAsia"/>
              </w:rPr>
              <w:pict>
                <v:shape id="__TH_B2125" o:spid="_x0000_s3083" o:spt="202" type="#_x0000_t202" style="position:absolute;left:0pt;margin-left:19.95pt;margin-top:10.05pt;height:9.4pt;width:9.9pt;z-index:251666432;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费</w:t>
                        </w:r>
                      </w:p>
                    </w:txbxContent>
                  </v:textbox>
                </v:shape>
              </w:pict>
            </w:r>
            <w:r>
              <w:rPr>
                <w:rFonts w:asciiTheme="minorEastAsia" w:hAnsiTheme="minorEastAsia" w:eastAsiaTheme="minorEastAsia"/>
              </w:rPr>
              <w:pict>
                <v:shape id="__TH_B1424" o:spid="_x0000_s3082" o:spt="202" type="#_x0000_t202" style="position:absolute;left:0pt;margin-left:88.65pt;margin-top:32.35pt;height:9.35pt;width:9.85pt;z-index:251665408;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型</w:t>
                        </w:r>
                      </w:p>
                    </w:txbxContent>
                  </v:textbox>
                </v:shape>
              </w:pict>
            </w:r>
            <w:r>
              <w:rPr>
                <w:rFonts w:asciiTheme="minorEastAsia" w:hAnsiTheme="minorEastAsia" w:eastAsiaTheme="minorEastAsia"/>
              </w:rPr>
              <w:pict>
                <v:shape id="__TH_B1323" o:spid="_x0000_s3081" o:spt="202" type="#_x0000_t202" style="position:absolute;left:0pt;margin-left:83.95pt;margin-top:22.8pt;height:9.4pt;width:9.85pt;z-index:251664384;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类</w:t>
                        </w:r>
                      </w:p>
                    </w:txbxContent>
                  </v:textbox>
                </v:shape>
              </w:pict>
            </w:r>
            <w:r>
              <w:rPr>
                <w:rFonts w:asciiTheme="minorEastAsia" w:hAnsiTheme="minorEastAsia" w:eastAsiaTheme="minorEastAsia"/>
              </w:rPr>
              <w:pict>
                <v:shape id="__TH_B1222" o:spid="_x0000_s3080" o:spt="202" type="#_x0000_t202" style="position:absolute;left:0pt;margin-left:79.25pt;margin-top:13.3pt;height:9.4pt;width:9.85pt;z-index:251663360;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务</w:t>
                        </w:r>
                      </w:p>
                    </w:txbxContent>
                  </v:textbox>
                </v:shape>
              </w:pict>
            </w:r>
            <w:r>
              <w:rPr>
                <w:rFonts w:asciiTheme="minorEastAsia" w:hAnsiTheme="minorEastAsia" w:eastAsiaTheme="minorEastAsia"/>
              </w:rPr>
              <w:pict>
                <v:shape id="__TH_B1121" o:spid="_x0000_s3079" o:spt="202" type="#_x0000_t202" style="position:absolute;left:0pt;margin-left:74.55pt;margin-top:3.8pt;height:9.4pt;width:9.85pt;z-index:251662336;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服</w:t>
                        </w:r>
                      </w:p>
                    </w:txbxContent>
                  </v:textbox>
                </v:shape>
              </w:pict>
            </w:r>
            <w:r>
              <w:rPr>
                <w:rFonts w:asciiTheme="minorEastAsia" w:hAnsiTheme="minorEastAsia" w:eastAsiaTheme="minorEastAsia"/>
              </w:rPr>
              <w:pict>
                <v:line id="__TH_L20" o:spid="_x0000_s3078" o:spt="20" style="position:absolute;left:0pt;margin-left:-5.15pt;margin-top:26.85pt;height:26.8pt;width:106pt;z-index:251661312;mso-width-relative:page;mso-height-relative:page;" coordsize="21600,21600">
                  <v:path arrowok="t"/>
                  <v:fill focussize="0,0"/>
                  <v:stroke weight="0.5pt"/>
                  <v:imagedata o:title=""/>
                  <o:lock v:ext="edit"/>
                </v:line>
              </w:pict>
            </w:r>
            <w:r>
              <w:rPr>
                <w:rFonts w:asciiTheme="minorEastAsia" w:hAnsiTheme="minorEastAsia" w:eastAsiaTheme="minorEastAsia"/>
              </w:rPr>
              <w:pict>
                <v:line id="__TH_L19" o:spid="_x0000_s3077" o:spt="20" style="position:absolute;left:0pt;margin-left:47.85pt;margin-top:0pt;height:53.65pt;width:53pt;z-index:251660288;mso-width-relative:page;mso-height-relative:page;" coordsize="21600,21600">
                  <v:path arrowok="t"/>
                  <v:fill focussize="0,0"/>
                  <v:stroke weight="0.5pt"/>
                  <v:imagedata o:title=""/>
                  <o:lock v:ext="edit"/>
                </v:line>
              </w:pict>
            </w:r>
          </w:p>
        </w:tc>
        <w:tc>
          <w:tcPr>
            <w:tcW w:w="1897" w:type="dxa"/>
            <w:tcBorders>
              <w:right w:val="single" w:color="auto" w:sz="4" w:space="0"/>
            </w:tcBorders>
            <w:vAlign w:val="center"/>
          </w:tcPr>
          <w:p>
            <w:pPr>
              <w:widowControl/>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工程招标</w:t>
            </w:r>
          </w:p>
        </w:tc>
        <w:tc>
          <w:tcPr>
            <w:tcW w:w="1898" w:type="dxa"/>
            <w:tcBorders>
              <w:left w:val="single" w:color="auto" w:sz="4" w:space="0"/>
              <w:right w:val="single" w:color="auto" w:sz="4" w:space="0"/>
            </w:tcBorders>
            <w:vAlign w:val="center"/>
          </w:tcPr>
          <w:p>
            <w:pPr>
              <w:widowControl/>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货物招标</w:t>
            </w:r>
          </w:p>
        </w:tc>
        <w:tc>
          <w:tcPr>
            <w:tcW w:w="1898" w:type="dxa"/>
            <w:tcBorders>
              <w:left w:val="single" w:color="auto" w:sz="4" w:space="0"/>
            </w:tcBorders>
            <w:vAlign w:val="center"/>
          </w:tcPr>
          <w:p>
            <w:pPr>
              <w:widowControl/>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服务招标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100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1.00%</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1.50%</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1.50%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100-500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0.70%</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1.10%</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0.80%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500-1000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0.55%</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0.80%</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0.45%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1000-5000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0.35%</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0.50%</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0.25%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5000-10000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0.20%</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0.25%</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10000-100000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0.05%</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0.05%</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100000以上</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0.01%</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0.01%</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0.01%</w:t>
            </w:r>
          </w:p>
        </w:tc>
      </w:tr>
    </w:tbl>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注：1、中标服务费按差额定率累进法计算。例如：某货物类项目中标金额为1000万元，计算中标服务费如下：</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（500-100）万元×1.1%=4.4万元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（1000-500）×0.8%=4万元</w:t>
      </w:r>
    </w:p>
    <w:p>
      <w:pPr>
        <w:adjustRightInd w:val="0"/>
        <w:snapToGrid w:val="0"/>
        <w:spacing w:line="300" w:lineRule="auto"/>
        <w:ind w:left="424" w:leftChars="202"/>
        <w:rPr>
          <w:rFonts w:asciiTheme="minorEastAsia" w:hAnsiTheme="minorEastAsia" w:eastAsiaTheme="minorEastAsia"/>
          <w:snapToGrid w:val="0"/>
          <w:kern w:val="0"/>
          <w:sz w:val="24"/>
        </w:rPr>
      </w:pPr>
      <w:r>
        <w:rPr>
          <w:rFonts w:hint="eastAsia" w:asciiTheme="minorEastAsia" w:hAnsiTheme="minorEastAsia" w:eastAsiaTheme="minorEastAsia"/>
        </w:rPr>
        <w:t>合计收费=1.5+4.4+4＝9.9（万元）</w:t>
      </w:r>
    </w:p>
    <w:p>
      <w:pPr>
        <w:jc w:val="center"/>
        <w:rPr>
          <w:b/>
          <w:sz w:val="52"/>
          <w:szCs w:val="52"/>
        </w:rPr>
      </w:pPr>
    </w:p>
    <w:p/>
    <w:p/>
    <w:p/>
    <w:p/>
    <w:p/>
    <w:p/>
    <w:p/>
    <w:p>
      <w:pPr>
        <w:widowControl/>
        <w:jc w:val="left"/>
      </w:pPr>
      <w:r>
        <w:br w:type="page"/>
      </w:r>
    </w:p>
    <w:p/>
    <w:p>
      <w:pPr>
        <w:pStyle w:val="2"/>
      </w:pPr>
      <w:bookmarkStart w:id="34" w:name="_Toc73610155"/>
      <w:r>
        <w:rPr>
          <w:rFonts w:hint="eastAsia"/>
        </w:rPr>
        <w:t>第七章  投标文件格式</w:t>
      </w:r>
      <w:bookmarkEnd w:id="34"/>
    </w:p>
    <w:p>
      <w:pPr>
        <w:jc w:val="center"/>
        <w:rPr>
          <w:b/>
          <w:sz w:val="52"/>
          <w:szCs w:val="52"/>
        </w:rPr>
      </w:pPr>
    </w:p>
    <w:p>
      <w:pPr>
        <w:pStyle w:val="4"/>
        <w:spacing w:line="400" w:lineRule="exact"/>
        <w:rPr>
          <w:rFonts w:ascii="仿宋" w:hAnsi="仿宋" w:eastAsia="仿宋"/>
        </w:rPr>
      </w:pPr>
      <w:bookmarkStart w:id="35" w:name="_Toc73610156"/>
      <w:bookmarkStart w:id="36" w:name="_Toc44690704"/>
      <w:bookmarkStart w:id="37" w:name="_Toc44691395"/>
      <w:bookmarkStart w:id="38" w:name="_Toc14934"/>
      <w:bookmarkStart w:id="39" w:name="_Toc31468"/>
      <w:bookmarkStart w:id="40" w:name="_Toc25194"/>
      <w:bookmarkStart w:id="41" w:name="_Toc11772"/>
      <w:bookmarkStart w:id="42" w:name="_Toc44691163"/>
      <w:bookmarkStart w:id="43" w:name="_Toc44690431"/>
      <w:r>
        <w:rPr>
          <w:rFonts w:hint="eastAsia" w:ascii="仿宋" w:hAnsi="仿宋" w:eastAsia="仿宋"/>
        </w:rPr>
        <w:t>投标文件编制说明</w:t>
      </w:r>
      <w:bookmarkEnd w:id="35"/>
      <w:bookmarkEnd w:id="36"/>
      <w:bookmarkEnd w:id="37"/>
      <w:bookmarkEnd w:id="38"/>
      <w:bookmarkEnd w:id="39"/>
      <w:bookmarkEnd w:id="40"/>
      <w:bookmarkEnd w:id="41"/>
      <w:bookmarkEnd w:id="42"/>
      <w:bookmarkEnd w:id="43"/>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详见第六章“投标人须知”第18条</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法定代表人证明书、法定代表人授权委托证明书和开标一览表（封包2）。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投标文件中，复印件或扫描件应加盖公章。</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投标文件应加盖骑缝章。</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3.4 签字方式可以是手写方式、盖人名章方式或盖手签章方式。</w:t>
            </w:r>
          </w:p>
        </w:tc>
      </w:tr>
    </w:tbl>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jc w:val="center"/>
        <w:rPr>
          <w:b/>
          <w:sz w:val="52"/>
          <w:szCs w:val="52"/>
        </w:rPr>
      </w:pPr>
    </w:p>
    <w:p/>
    <w:p/>
    <w:p/>
    <w:p/>
    <w:p/>
    <w:p/>
    <w:p>
      <w:pPr>
        <w:jc w:val="center"/>
        <w:rPr>
          <w:b/>
          <w:bCs/>
          <w:sz w:val="52"/>
        </w:rPr>
      </w:pPr>
    </w:p>
    <w:p>
      <w:pPr>
        <w:jc w:val="center"/>
        <w:rPr>
          <w:b/>
          <w:bCs/>
          <w:sz w:val="52"/>
        </w:rPr>
      </w:pPr>
      <w:r>
        <w:rPr>
          <w:rFonts w:hint="eastAsia"/>
          <w:b/>
          <w:bCs/>
          <w:sz w:val="52"/>
        </w:rPr>
        <w:t>投 标 文 件</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rFonts w:ascii="宋体" w:hAnsi="宋体"/>
          <w:b/>
          <w:bCs/>
          <w:sz w:val="30"/>
          <w:szCs w:val="30"/>
        </w:rPr>
      </w:pPr>
      <w:r>
        <w:rPr>
          <w:rFonts w:hint="eastAsia" w:ascii="宋体" w:hAnsi="宋体"/>
          <w:b/>
          <w:bCs/>
          <w:sz w:val="30"/>
          <w:szCs w:val="30"/>
        </w:rPr>
        <w:t>（正本/副本）</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pPr>
        <w:spacing w:line="480" w:lineRule="auto"/>
        <w:ind w:firstLine="1275" w:firstLineChars="529"/>
        <w:rPr>
          <w:b/>
          <w:bCs/>
          <w:sz w:val="24"/>
        </w:rPr>
      </w:pPr>
      <w:r>
        <w:rPr>
          <w:rFonts w:hint="eastAsia"/>
          <w:b/>
          <w:bCs/>
          <w:sz w:val="24"/>
        </w:rPr>
        <w:t>法定代表人或</w:t>
      </w:r>
    </w:p>
    <w:p>
      <w:pPr>
        <w:spacing w:line="480" w:lineRule="auto"/>
        <w:ind w:firstLine="1275" w:firstLineChars="529"/>
        <w:rPr>
          <w:sz w:val="24"/>
          <w:u w:val="dotted"/>
        </w:rPr>
      </w:pPr>
      <w:r>
        <w:rPr>
          <w:rFonts w:hint="eastAsia"/>
          <w:b/>
          <w:bCs/>
          <w:sz w:val="24"/>
        </w:rPr>
        <w:t>委 托 代理人：</w:t>
      </w:r>
      <w:r>
        <w:rPr>
          <w:rFonts w:hint="eastAsia"/>
          <w:sz w:val="24"/>
          <w:u w:val="single"/>
        </w:rPr>
        <w:t xml:space="preserve">                                      </w:t>
      </w:r>
    </w:p>
    <w:p>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pPr>
        <w:rPr>
          <w:b/>
          <w:bCs/>
        </w:rPr>
      </w:pPr>
    </w:p>
    <w:p>
      <w:pPr>
        <w:rPr>
          <w:b/>
          <w:bCs/>
        </w:rPr>
      </w:pPr>
      <w:bookmarkStart w:id="44" w:name="_投标文件格式（第一册）"/>
      <w:bookmarkEnd w:id="44"/>
      <w:bookmarkStart w:id="45" w:name="q0"/>
      <w:r>
        <w:rPr>
          <w:rFonts w:ascii="仿宋" w:hAnsi="仿宋" w:eastAsia="仿宋"/>
        </w:rPr>
        <w:br w:type="page"/>
      </w:r>
    </w:p>
    <w:p>
      <w:pPr>
        <w:pStyle w:val="4"/>
        <w:spacing w:line="400" w:lineRule="exact"/>
        <w:rPr>
          <w:rFonts w:ascii="仿宋" w:hAnsi="仿宋" w:eastAsia="仿宋"/>
        </w:rPr>
      </w:pPr>
    </w:p>
    <w:p>
      <w:pPr>
        <w:pStyle w:val="4"/>
        <w:spacing w:line="400" w:lineRule="exact"/>
        <w:rPr>
          <w:rFonts w:ascii="仿宋" w:hAnsi="仿宋" w:eastAsia="仿宋"/>
        </w:rPr>
      </w:pPr>
      <w:bookmarkStart w:id="46" w:name="_Toc73610157"/>
      <w:r>
        <w:rPr>
          <w:rFonts w:hint="eastAsia" w:ascii="仿宋" w:hAnsi="仿宋" w:eastAsia="仿宋"/>
        </w:rPr>
        <w:t>投标文件格式</w:t>
      </w:r>
      <w:bookmarkEnd w:id="46"/>
    </w:p>
    <w:bookmarkEnd w:id="45"/>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目录（自拟）</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评标指引表</w:t>
      </w:r>
    </w:p>
    <w:p>
      <w:pPr>
        <w:numPr>
          <w:ilvl w:val="0"/>
          <w:numId w:val="4"/>
        </w:numPr>
        <w:adjustRightInd w:val="0"/>
        <w:spacing w:line="360" w:lineRule="auto"/>
        <w:rPr>
          <w:snapToGrid w:val="0"/>
          <w:kern w:val="0"/>
          <w:szCs w:val="21"/>
        </w:rPr>
      </w:pPr>
      <w:r>
        <w:rPr>
          <w:rFonts w:hint="eastAsia"/>
          <w:snapToGrid w:val="0"/>
          <w:kern w:val="0"/>
          <w:szCs w:val="21"/>
        </w:rPr>
        <w:t>投标人资格证明文件（格式1）</w:t>
      </w:r>
    </w:p>
    <w:p>
      <w:pPr>
        <w:numPr>
          <w:ilvl w:val="0"/>
          <w:numId w:val="4"/>
        </w:numPr>
        <w:adjustRightInd w:val="0"/>
        <w:spacing w:line="360" w:lineRule="auto"/>
        <w:rPr>
          <w:snapToGrid w:val="0"/>
          <w:kern w:val="0"/>
          <w:szCs w:val="21"/>
        </w:rPr>
      </w:pPr>
      <w:r>
        <w:rPr>
          <w:rFonts w:hint="eastAsia"/>
          <w:snapToGrid w:val="0"/>
          <w:kern w:val="0"/>
          <w:szCs w:val="21"/>
        </w:rPr>
        <w:t>法定代表人证明书及授权委托书</w:t>
      </w:r>
      <w:r>
        <w:rPr>
          <w:rFonts w:hint="eastAsia" w:ascii="宋体" w:hAnsi="宋体"/>
          <w:snapToGrid w:val="0"/>
          <w:kern w:val="0"/>
          <w:szCs w:val="21"/>
        </w:rPr>
        <w:t>（格式2）</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投标函（格式3）</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评分中涉及的承诺及声明函（格式4）</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开标一览表（格式5）</w:t>
      </w:r>
    </w:p>
    <w:p>
      <w:pPr>
        <w:adjustRightInd w:val="0"/>
        <w:spacing w:line="360" w:lineRule="auto"/>
        <w:ind w:firstLine="422" w:firstLineChars="200"/>
        <w:rPr>
          <w:rFonts w:ascii="宋体" w:hAnsi="宋体"/>
          <w:b/>
          <w:bCs/>
          <w:snapToGrid w:val="0"/>
          <w:kern w:val="0"/>
          <w:szCs w:val="21"/>
        </w:rPr>
      </w:pPr>
      <w:r>
        <w:rPr>
          <w:rFonts w:hint="eastAsia" w:ascii="宋体" w:hAnsi="宋体"/>
          <w:b/>
          <w:snapToGrid w:val="0"/>
          <w:kern w:val="0"/>
          <w:szCs w:val="21"/>
        </w:rPr>
        <w:t>注：此表应与“法定代表人证明书、法定代表人授权委托证明书”一起密封于一信封，在递交投标文件时单独交与</w:t>
      </w:r>
      <w:r>
        <w:rPr>
          <w:rFonts w:hint="eastAsia" w:ascii="宋体" w:hAnsi="宋体"/>
          <w:b/>
          <w:bCs/>
          <w:snapToGrid w:val="0"/>
          <w:kern w:val="0"/>
          <w:szCs w:val="21"/>
        </w:rPr>
        <w:t>招标代理机构。</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报价表（格式6）</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技术规格（格式7）</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交付进度（格式8）</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售后服务和质量承诺（格式9）</w:t>
      </w:r>
    </w:p>
    <w:p>
      <w:pPr>
        <w:numPr>
          <w:ilvl w:val="0"/>
          <w:numId w:val="4"/>
        </w:numPr>
        <w:adjustRightInd w:val="0"/>
        <w:spacing w:line="360" w:lineRule="auto"/>
        <w:rPr>
          <w:rFonts w:ascii="宋体" w:hAnsi="宋体"/>
          <w:snapToGrid w:val="0"/>
          <w:kern w:val="0"/>
          <w:szCs w:val="21"/>
        </w:rPr>
      </w:pPr>
      <w:r>
        <w:rPr>
          <w:rFonts w:ascii="宋体" w:hAnsi="宋体"/>
          <w:snapToGrid w:val="0"/>
          <w:kern w:val="0"/>
        </w:rPr>
        <w:t>投标人资格</w:t>
      </w:r>
      <w:r>
        <w:rPr>
          <w:rFonts w:hint="eastAsia" w:ascii="宋体" w:hAnsi="宋体"/>
          <w:snapToGrid w:val="0"/>
          <w:kern w:val="0"/>
        </w:rPr>
        <w:t>声</w:t>
      </w:r>
      <w:r>
        <w:rPr>
          <w:rFonts w:ascii="宋体" w:hAnsi="宋体"/>
          <w:snapToGrid w:val="0"/>
          <w:kern w:val="0"/>
        </w:rPr>
        <w:t>明</w:t>
      </w:r>
      <w:r>
        <w:rPr>
          <w:rFonts w:hint="eastAsia" w:ascii="宋体" w:hAnsi="宋体"/>
          <w:snapToGrid w:val="0"/>
          <w:kern w:val="0"/>
        </w:rPr>
        <w:t>（</w:t>
      </w:r>
      <w:r>
        <w:rPr>
          <w:rFonts w:ascii="宋体" w:hAnsi="宋体"/>
          <w:snapToGrid w:val="0"/>
          <w:kern w:val="0"/>
        </w:rPr>
        <w:t>格式</w:t>
      </w:r>
      <w:r>
        <w:rPr>
          <w:rFonts w:hint="eastAsia" w:ascii="宋体" w:hAnsi="宋体"/>
          <w:snapToGrid w:val="0"/>
          <w:kern w:val="0"/>
        </w:rPr>
        <w:t>10</w:t>
      </w:r>
      <w:r>
        <w:rPr>
          <w:rFonts w:ascii="宋体" w:hAnsi="宋体"/>
          <w:snapToGrid w:val="0"/>
          <w:kern w:val="0"/>
        </w:rPr>
        <w:t>）</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偏离</w:t>
      </w:r>
      <w:r>
        <w:rPr>
          <w:rFonts w:ascii="宋体" w:hAnsi="宋体"/>
          <w:snapToGrid w:val="0"/>
          <w:kern w:val="0"/>
          <w:szCs w:val="21"/>
        </w:rPr>
        <w:t>表（格式</w:t>
      </w:r>
      <w:r>
        <w:rPr>
          <w:rFonts w:hint="eastAsia" w:ascii="宋体" w:hAnsi="宋体"/>
          <w:snapToGrid w:val="0"/>
          <w:kern w:val="0"/>
          <w:szCs w:val="21"/>
        </w:rPr>
        <w:t>11</w:t>
      </w:r>
      <w:r>
        <w:rPr>
          <w:rFonts w:ascii="宋体" w:hAnsi="宋体"/>
          <w:snapToGrid w:val="0"/>
          <w:kern w:val="0"/>
          <w:szCs w:val="21"/>
        </w:rPr>
        <w:t>）</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rPr>
        <w:t>招标文件要求的其他资料或投标人认为需要补充的资料</w:t>
      </w:r>
      <w:r>
        <w:rPr>
          <w:rFonts w:hint="eastAsia" w:ascii="宋体" w:hAnsi="宋体"/>
          <w:snapToGrid w:val="0"/>
          <w:kern w:val="0"/>
          <w:szCs w:val="21"/>
        </w:rPr>
        <w:t>（格式12）</w:t>
      </w: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ind w:hanging="2"/>
        <w:rPr>
          <w:b/>
          <w:bCs/>
          <w:sz w:val="28"/>
        </w:rPr>
      </w:pPr>
    </w:p>
    <w:p>
      <w:pPr>
        <w:adjustRightInd w:val="0"/>
        <w:snapToGrid w:val="0"/>
        <w:spacing w:line="300" w:lineRule="auto"/>
        <w:jc w:val="center"/>
      </w:pPr>
      <w:bookmarkStart w:id="47" w:name="_格式1__投标人资格证明文件"/>
      <w:bookmarkEnd w:id="47"/>
      <w:r>
        <w:br w:type="page"/>
      </w:r>
    </w:p>
    <w:p>
      <w:pPr>
        <w:adjustRightInd w:val="0"/>
        <w:snapToGrid w:val="0"/>
        <w:spacing w:line="300" w:lineRule="auto"/>
        <w:jc w:val="center"/>
      </w:pPr>
    </w:p>
    <w:p>
      <w:pPr>
        <w:pStyle w:val="4"/>
        <w:spacing w:line="400" w:lineRule="exact"/>
        <w:rPr>
          <w:rFonts w:ascii="仿宋" w:hAnsi="仿宋" w:eastAsia="仿宋"/>
        </w:rPr>
      </w:pPr>
      <w:bookmarkStart w:id="48" w:name="_Toc73610158"/>
      <w:r>
        <w:rPr>
          <w:rFonts w:hint="eastAsia" w:ascii="仿宋" w:hAnsi="仿宋" w:eastAsia="仿宋"/>
        </w:rPr>
        <w:t>评标指引表</w:t>
      </w:r>
      <w:bookmarkEnd w:id="48"/>
    </w:p>
    <w:p>
      <w:pPr>
        <w:jc w:val="center"/>
        <w:rPr>
          <w:b/>
          <w:szCs w:val="21"/>
        </w:rPr>
      </w:pPr>
    </w:p>
    <w:p>
      <w:pPr>
        <w:spacing w:line="360" w:lineRule="auto"/>
        <w:ind w:firstLine="420" w:firstLineChars="200"/>
        <w:rPr>
          <w:rFonts w:ascii="宋体" w:hAnsi="宋体"/>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pPr>
        <w:spacing w:line="360" w:lineRule="auto"/>
        <w:ind w:firstLine="420" w:firstLineChars="200"/>
        <w:rPr>
          <w:rFonts w:ascii="宋体" w:hAnsi="宋体"/>
          <w:szCs w:val="21"/>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综合评分指引（参见第四章  评标方法和标准）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85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评分项目</w:t>
            </w:r>
          </w:p>
        </w:tc>
        <w:tc>
          <w:tcPr>
            <w:tcW w:w="2169"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价格部分</w:t>
            </w:r>
          </w:p>
        </w:tc>
        <w:tc>
          <w:tcPr>
            <w:tcW w:w="4854" w:type="dxa"/>
            <w:vAlign w:val="center"/>
          </w:tcPr>
          <w:p>
            <w:pPr>
              <w:rPr>
                <w:rFonts w:asciiTheme="minorEastAsia" w:hAnsiTheme="minorEastAsia" w:eastAsiaTheme="minorEastAsia"/>
              </w:rPr>
            </w:pPr>
            <w:r>
              <w:rPr>
                <w:rFonts w:hint="eastAsia" w:asciiTheme="minorEastAsia" w:hAnsiTheme="minorEastAsia" w:eastAsiaTheme="minorEastAsia"/>
                <w:szCs w:val="21"/>
              </w:rPr>
              <w:t>《节能产品政府采购品目清单》或《环境标志产品政府采购品目清单》中列示的产品，或</w:t>
            </w: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w:t>
            </w:r>
            <w:r>
              <w:rPr>
                <w:rFonts w:hint="eastAsia" w:asciiTheme="minorEastAsia" w:hAnsiTheme="minorEastAsia" w:eastAsiaTheme="minorEastAsia"/>
                <w:bCs/>
                <w:szCs w:val="21"/>
              </w:rPr>
              <w:t>优惠政策。</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854" w:type="dxa"/>
          </w:tcPr>
          <w:p>
            <w:pPr>
              <w:spacing w:line="360" w:lineRule="exact"/>
              <w:jc w:val="center"/>
              <w:rPr>
                <w:rFonts w:ascii="宋体" w:hAnsi="宋体"/>
                <w:szCs w:val="21"/>
              </w:rPr>
            </w:pPr>
            <w:r>
              <w:rPr>
                <w:rFonts w:hint="eastAsia" w:ascii="宋体" w:hAnsi="宋体"/>
                <w:szCs w:val="21"/>
              </w:rPr>
              <w:t>1.……</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2.……</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854" w:type="dxa"/>
          </w:tcPr>
          <w:p>
            <w:pPr>
              <w:spacing w:line="360" w:lineRule="exact"/>
              <w:jc w:val="center"/>
              <w:rPr>
                <w:rFonts w:ascii="宋体" w:hAnsi="宋体"/>
                <w:szCs w:val="21"/>
              </w:rPr>
            </w:pPr>
            <w:r>
              <w:rPr>
                <w:rFonts w:hint="eastAsia" w:ascii="宋体" w:hAnsi="宋体"/>
                <w:szCs w:val="21"/>
              </w:rPr>
              <w:t>1.……</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2.……</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bl>
    <w:p>
      <w:pPr>
        <w:pStyle w:val="26"/>
        <w:spacing w:line="360" w:lineRule="auto"/>
        <w:ind w:firstLine="424" w:firstLineChars="201"/>
        <w:rPr>
          <w:rFonts w:hAnsi="宋体"/>
          <w:b/>
          <w:szCs w:val="21"/>
        </w:rPr>
      </w:pPr>
    </w:p>
    <w:p>
      <w:pPr>
        <w:pStyle w:val="26"/>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pPr>
        <w:pStyle w:val="3"/>
        <w:jc w:val="center"/>
      </w:pPr>
    </w:p>
    <w:p/>
    <w:p/>
    <w:p/>
    <w:p/>
    <w:p/>
    <w:p/>
    <w:p/>
    <w:p/>
    <w:p/>
    <w:p/>
    <w:p>
      <w:pPr>
        <w:widowControl/>
        <w:jc w:val="left"/>
      </w:pPr>
      <w:r>
        <w:br w:type="page"/>
      </w:r>
    </w:p>
    <w:p/>
    <w:p>
      <w:pPr>
        <w:pStyle w:val="6"/>
        <w:numPr>
          <w:ilvl w:val="0"/>
          <w:numId w:val="0"/>
        </w:numPr>
        <w:tabs>
          <w:tab w:val="clear" w:pos="2111"/>
        </w:tabs>
        <w:spacing w:before="120" w:after="120"/>
        <w:ind w:left="-1" w:leftChars="-1" w:hanging="1"/>
        <w:jc w:val="center"/>
        <w:rPr>
          <w:rFonts w:asciiTheme="minorEastAsia" w:hAnsiTheme="minorEastAsia" w:eastAsiaTheme="minorEastAsia"/>
          <w:snapToGrid w:val="0"/>
          <w:kern w:val="0"/>
          <w:sz w:val="24"/>
        </w:rPr>
      </w:pPr>
      <w:bookmarkStart w:id="49" w:name="_Toc44690432"/>
      <w:bookmarkStart w:id="50" w:name="_Toc44690705"/>
      <w:bookmarkStart w:id="51" w:name="_Toc44691164"/>
      <w:bookmarkStart w:id="52" w:name="_Toc44691396"/>
      <w:r>
        <w:rPr>
          <w:rFonts w:hint="eastAsia" w:asciiTheme="minorEastAsia" w:hAnsiTheme="minorEastAsia" w:eastAsiaTheme="minorEastAsia"/>
          <w:sz w:val="24"/>
        </w:rPr>
        <w:t>格式1  投标人资格证明文件</w:t>
      </w:r>
      <w:bookmarkEnd w:id="49"/>
      <w:bookmarkEnd w:id="50"/>
      <w:bookmarkEnd w:id="51"/>
      <w:bookmarkEnd w:id="52"/>
    </w:p>
    <w:p>
      <w:pPr>
        <w:adjustRightInd w:val="0"/>
        <w:snapToGrid w:val="0"/>
        <w:spacing w:line="360" w:lineRule="auto"/>
        <w:rPr>
          <w:rFonts w:ascii="宋体" w:hAnsi="宋体"/>
          <w:bCs/>
          <w:snapToGrid w:val="0"/>
          <w:kern w:val="0"/>
          <w:szCs w:val="21"/>
        </w:rPr>
      </w:pPr>
    </w:p>
    <w:p>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pPr>
        <w:adjustRightInd w:val="0"/>
        <w:snapToGrid w:val="0"/>
        <w:spacing w:line="360" w:lineRule="auto"/>
        <w:ind w:firstLine="424" w:firstLineChars="202"/>
        <w:rPr>
          <w:rFonts w:ascii="宋体" w:hAnsi="宋体"/>
        </w:rPr>
      </w:pPr>
      <w:r>
        <w:rPr>
          <w:rFonts w:hint="eastAsia" w:ascii="宋体" w:hAnsi="宋体"/>
        </w:rPr>
        <w:t>3、股东构成审查表</w:t>
      </w:r>
    </w:p>
    <w:p>
      <w:pPr>
        <w:adjustRightInd w:val="0"/>
        <w:snapToGrid w:val="0"/>
        <w:spacing w:line="360" w:lineRule="auto"/>
        <w:ind w:firstLine="424" w:firstLineChars="202"/>
        <w:rPr>
          <w:rFonts w:ascii="宋体" w:hAnsi="宋体"/>
        </w:rPr>
      </w:pPr>
      <w:r>
        <w:rPr>
          <w:rFonts w:hint="eastAsia" w:ascii="宋体" w:hAnsi="宋体"/>
        </w:rPr>
        <w:t>4、其它资格证明材料（按第一章投标邀请“申请人的资格要求”提供）</w:t>
      </w:r>
    </w:p>
    <w:p>
      <w:pPr>
        <w:adjustRightInd w:val="0"/>
        <w:snapToGrid w:val="0"/>
        <w:spacing w:line="360" w:lineRule="auto"/>
        <w:rPr>
          <w:rFonts w:ascii="宋体" w:hAnsi="宋体"/>
          <w:bCs/>
          <w:snapToGrid w:val="0"/>
          <w:kern w:val="0"/>
        </w:rPr>
      </w:pPr>
    </w:p>
    <w:p>
      <w:pPr>
        <w:adjustRightInd w:val="0"/>
        <w:snapToGrid w:val="0"/>
        <w:spacing w:line="360" w:lineRule="auto"/>
        <w:ind w:firstLine="424" w:firstLineChars="201"/>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pPr>
        <w:adjustRightInd w:val="0"/>
        <w:snapToGrid w:val="0"/>
        <w:spacing w:line="300" w:lineRule="auto"/>
        <w:jc w:val="right"/>
        <w:rPr>
          <w:snapToGrid w:val="0"/>
          <w:kern w:val="0"/>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widowControl/>
        <w:jc w:val="left"/>
        <w:rPr>
          <w:b/>
          <w:snapToGrid w:val="0"/>
          <w:sz w:val="32"/>
          <w:szCs w:val="32"/>
        </w:rPr>
      </w:pPr>
      <w:r>
        <w:rPr>
          <w:b/>
          <w:snapToGrid w:val="0"/>
          <w:sz w:val="32"/>
          <w:szCs w:val="32"/>
        </w:rPr>
        <w:br w:type="page"/>
      </w:r>
    </w:p>
    <w:p>
      <w:pPr>
        <w:adjustRightInd w:val="0"/>
        <w:snapToGrid w:val="0"/>
        <w:spacing w:line="300" w:lineRule="auto"/>
        <w:jc w:val="center"/>
        <w:rPr>
          <w:b/>
          <w:snapToGrid w:val="0"/>
          <w:sz w:val="32"/>
          <w:szCs w:val="32"/>
        </w:rPr>
      </w:pPr>
    </w:p>
    <w:p>
      <w:pPr>
        <w:adjustRightInd w:val="0"/>
        <w:spacing w:line="300" w:lineRule="auto"/>
        <w:ind w:hanging="2"/>
        <w:jc w:val="center"/>
      </w:pPr>
      <w:r>
        <w:rPr>
          <w:rFonts w:hint="eastAsia"/>
          <w:b/>
          <w:snapToGrid w:val="0"/>
          <w:kern w:val="0"/>
          <w:sz w:val="28"/>
        </w:rPr>
        <w:t>政府采购投标及履约承诺函</w:t>
      </w:r>
    </w:p>
    <w:p>
      <w:pPr>
        <w:spacing w:line="360" w:lineRule="auto"/>
        <w:rPr>
          <w:rFonts w:ascii="宋体" w:hAnsi="宋体" w:cs="Courier New"/>
          <w:snapToGrid w:val="0"/>
          <w:szCs w:val="18"/>
        </w:rPr>
      </w:pPr>
    </w:p>
    <w:p>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1.我单位满足《中华人民共和国政府采购法》第二十二条规定的条件。</w:t>
      </w:r>
    </w:p>
    <w:p>
      <w:pPr>
        <w:spacing w:line="4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rPr>
        <w:t>。</w:t>
      </w:r>
    </w:p>
    <w:p>
      <w:pPr>
        <w:spacing w:line="400" w:lineRule="exact"/>
        <w:ind w:firstLine="420" w:firstLineChars="200"/>
        <w:rPr>
          <w:rFonts w:ascii="宋体" w:hAnsi="宋体"/>
          <w:szCs w:val="21"/>
        </w:rPr>
      </w:pPr>
      <w:r>
        <w:rPr>
          <w:rFonts w:hint="eastAsia" w:ascii="宋体" w:hAnsi="宋体"/>
          <w:szCs w:val="21"/>
        </w:rPr>
        <w:t>4.我单位承诺不非法转包或分包。</w:t>
      </w:r>
    </w:p>
    <w:p>
      <w:pPr>
        <w:spacing w:line="400" w:lineRule="exact"/>
        <w:ind w:firstLine="420" w:firstLineChars="200"/>
        <w:rPr>
          <w:rFonts w:ascii="宋体" w:hAnsi="宋体"/>
          <w:szCs w:val="21"/>
        </w:rPr>
      </w:pPr>
      <w:r>
        <w:rPr>
          <w:rFonts w:hint="eastAsia" w:ascii="宋体" w:hAnsi="宋体"/>
          <w:szCs w:val="21"/>
        </w:rPr>
        <w:t>5.我单位本招标项目所提供的货物或服务未侵犯知识产权。</w:t>
      </w:r>
    </w:p>
    <w:p>
      <w:pPr>
        <w:spacing w:line="400" w:lineRule="exact"/>
        <w:ind w:firstLine="420" w:firstLineChars="200"/>
        <w:rPr>
          <w:rFonts w:ascii="宋体" w:hAnsi="宋体"/>
          <w:szCs w:val="21"/>
        </w:rPr>
      </w:pPr>
      <w:r>
        <w:rPr>
          <w:rFonts w:hint="eastAsia" w:ascii="宋体" w:hAnsi="宋体"/>
          <w:szCs w:val="21"/>
        </w:rPr>
        <w:t>6.我单位参与该项目投标，严格遵循公平竞争的原则，不恶意串通，不妨碍其他投标人的竞争行为，不损害采购人或者其他投标人的合法权益。我单位已清楚，如违反上述要求，将作投标无效处理。</w:t>
      </w:r>
    </w:p>
    <w:p>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pPr>
        <w:spacing w:line="360" w:lineRule="auto"/>
        <w:ind w:firstLine="600"/>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ind w:right="420"/>
        <w:rPr>
          <w:snapToGrid w:val="0"/>
          <w:kern w:val="0"/>
        </w:rPr>
      </w:pPr>
    </w:p>
    <w:p>
      <w:pPr>
        <w:adjustRightInd w:val="0"/>
        <w:snapToGrid w:val="0"/>
        <w:spacing w:line="360" w:lineRule="auto"/>
        <w:ind w:firstLine="600"/>
        <w:jc w:val="right"/>
      </w:pPr>
      <w:r>
        <w:rPr>
          <w:rFonts w:hint="eastAsia"/>
        </w:rPr>
        <w:t>年     月    日</w:t>
      </w:r>
    </w:p>
    <w:p>
      <w:pPr>
        <w:widowControl/>
        <w:jc w:val="left"/>
      </w:pPr>
      <w:r>
        <w:br w:type="page"/>
      </w:r>
    </w:p>
    <w:p>
      <w:pPr>
        <w:adjustRightInd w:val="0"/>
        <w:snapToGrid w:val="0"/>
        <w:spacing w:line="360" w:lineRule="auto"/>
        <w:ind w:firstLine="600"/>
        <w:jc w:val="right"/>
      </w:pPr>
    </w:p>
    <w:p>
      <w:pPr>
        <w:pStyle w:val="3"/>
        <w:spacing w:before="0" w:after="0" w:line="360" w:lineRule="auto"/>
        <w:jc w:val="center"/>
        <w:rPr>
          <w:rFonts w:asciiTheme="minorEastAsia" w:hAnsiTheme="minorEastAsia" w:eastAsiaTheme="minorEastAsia"/>
          <w:kern w:val="0"/>
          <w:sz w:val="28"/>
          <w:szCs w:val="28"/>
        </w:rPr>
      </w:pPr>
      <w:bookmarkStart w:id="53" w:name="_Toc73610159"/>
      <w:r>
        <w:rPr>
          <w:rFonts w:hint="eastAsia" w:asciiTheme="minorEastAsia" w:hAnsiTheme="minorEastAsia" w:eastAsiaTheme="minorEastAsia"/>
          <w:kern w:val="0"/>
          <w:sz w:val="28"/>
          <w:szCs w:val="28"/>
        </w:rPr>
        <w:t>股东构成审查表</w:t>
      </w:r>
      <w:bookmarkEnd w:id="53"/>
    </w:p>
    <w:p/>
    <w:p>
      <w:pPr>
        <w:spacing w:line="360" w:lineRule="auto"/>
        <w:rPr>
          <w:rFonts w:asciiTheme="minorEastAsia" w:hAnsiTheme="minorEastAsia" w:eastAsiaTheme="minorEastAsia"/>
          <w:szCs w:val="21"/>
          <w:u w:val="single"/>
        </w:rPr>
      </w:pPr>
      <w:r>
        <w:rPr>
          <w:rFonts w:hint="eastAsia" w:asciiTheme="minorEastAsia" w:hAnsiTheme="minorEastAsia" w:eastAsiaTheme="minorEastAsia"/>
          <w:snapToGrid w:val="0"/>
          <w:szCs w:val="21"/>
        </w:rPr>
        <w:t>项目</w:t>
      </w:r>
      <w:r>
        <w:rPr>
          <w:rFonts w:hint="eastAsia" w:asciiTheme="minorEastAsia" w:hAnsiTheme="minorEastAsia" w:eastAsiaTheme="minorEastAsia"/>
          <w:szCs w:val="21"/>
        </w:rPr>
        <w:t>名称：</w:t>
      </w:r>
      <w:r>
        <w:rPr>
          <w:rFonts w:hint="eastAsia" w:asciiTheme="minorEastAsia" w:hAnsiTheme="minorEastAsia" w:eastAsiaTheme="minorEastAsia"/>
          <w:szCs w:val="21"/>
          <w:u w:val="single"/>
        </w:rPr>
        <w:t xml:space="preserve">                </w:t>
      </w:r>
    </w:p>
    <w:p>
      <w:pPr>
        <w:spacing w:line="360" w:lineRule="auto"/>
        <w:rPr>
          <w:rFonts w:asciiTheme="minorEastAsia" w:hAnsiTheme="minorEastAsia" w:eastAsiaTheme="minorEastAsia"/>
          <w:szCs w:val="21"/>
          <w:u w:val="single"/>
        </w:rPr>
      </w:pPr>
      <w:r>
        <w:rPr>
          <w:rFonts w:hint="eastAsia" w:asciiTheme="minorEastAsia" w:hAnsiTheme="minorEastAsia" w:eastAsiaTheme="minorEastAsia"/>
          <w:szCs w:val="21"/>
        </w:rPr>
        <w:t>项目编号：</w:t>
      </w:r>
      <w:r>
        <w:rPr>
          <w:rFonts w:hint="eastAsia" w:asciiTheme="minorEastAsia" w:hAnsiTheme="minorEastAsia" w:eastAsiaTheme="minorEastAsia"/>
          <w:szCs w:val="21"/>
          <w:u w:val="single"/>
        </w:rPr>
        <w:t xml:space="preserve">                </w:t>
      </w:r>
    </w:p>
    <w:tbl>
      <w:tblPr>
        <w:tblStyle w:val="50"/>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5244"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投标人股东构成审查内容</w:t>
            </w:r>
          </w:p>
        </w:tc>
        <w:tc>
          <w:tcPr>
            <w:tcW w:w="1748"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投标人响应情况</w:t>
            </w:r>
          </w:p>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（是或否）</w:t>
            </w:r>
          </w:p>
        </w:tc>
        <w:tc>
          <w:tcPr>
            <w:tcW w:w="2222"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5244"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是否存在“与投标供应商单位负责人（法定代表人）为同一人的不同单位”</w:t>
            </w:r>
          </w:p>
        </w:tc>
        <w:tc>
          <w:tcPr>
            <w:tcW w:w="1748" w:type="dxa"/>
            <w:vAlign w:val="center"/>
          </w:tcPr>
          <w:p>
            <w:pPr>
              <w:spacing w:line="360" w:lineRule="auto"/>
              <w:jc w:val="center"/>
              <w:rPr>
                <w:rFonts w:asciiTheme="minorEastAsia" w:hAnsiTheme="minorEastAsia" w:eastAsiaTheme="minorEastAsia"/>
                <w:szCs w:val="21"/>
              </w:rPr>
            </w:pPr>
          </w:p>
        </w:tc>
        <w:tc>
          <w:tcPr>
            <w:tcW w:w="2222" w:type="dxa"/>
            <w:vAlign w:val="center"/>
          </w:tcPr>
          <w:p>
            <w:pPr>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5244"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是否存在“与投标供应商存在管理关系的不同单位”</w:t>
            </w:r>
          </w:p>
        </w:tc>
        <w:tc>
          <w:tcPr>
            <w:tcW w:w="1748" w:type="dxa"/>
            <w:vAlign w:val="center"/>
          </w:tcPr>
          <w:p>
            <w:pPr>
              <w:spacing w:line="360" w:lineRule="auto"/>
              <w:jc w:val="center"/>
              <w:rPr>
                <w:rFonts w:asciiTheme="minorEastAsia" w:hAnsiTheme="minorEastAsia" w:eastAsiaTheme="minorEastAsia"/>
                <w:szCs w:val="21"/>
              </w:rPr>
            </w:pPr>
          </w:p>
        </w:tc>
        <w:tc>
          <w:tcPr>
            <w:tcW w:w="2222" w:type="dxa"/>
            <w:vAlign w:val="center"/>
          </w:tcPr>
          <w:p>
            <w:pPr>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5244"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投标供应商是否有控股的子公司</w:t>
            </w:r>
          </w:p>
        </w:tc>
        <w:tc>
          <w:tcPr>
            <w:tcW w:w="1748" w:type="dxa"/>
            <w:vAlign w:val="center"/>
          </w:tcPr>
          <w:p>
            <w:pPr>
              <w:spacing w:line="360" w:lineRule="auto"/>
              <w:jc w:val="center"/>
              <w:rPr>
                <w:rFonts w:asciiTheme="minorEastAsia" w:hAnsiTheme="minorEastAsia" w:eastAsiaTheme="minorEastAsia"/>
                <w:szCs w:val="21"/>
              </w:rPr>
            </w:pPr>
          </w:p>
        </w:tc>
        <w:tc>
          <w:tcPr>
            <w:tcW w:w="2222" w:type="dxa"/>
            <w:vAlign w:val="center"/>
          </w:tcPr>
          <w:p>
            <w:pPr>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5244"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股东情况：控股投标供应商的股东名单</w:t>
            </w:r>
          </w:p>
        </w:tc>
        <w:tc>
          <w:tcPr>
            <w:tcW w:w="1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w:t>
            </w:r>
          </w:p>
        </w:tc>
        <w:tc>
          <w:tcPr>
            <w:tcW w:w="2222" w:type="dxa"/>
            <w:vAlign w:val="center"/>
          </w:tcPr>
          <w:p>
            <w:pPr>
              <w:spacing w:line="360" w:lineRule="auto"/>
              <w:jc w:val="center"/>
              <w:rPr>
                <w:rFonts w:asciiTheme="minorEastAsia" w:hAnsiTheme="minorEastAsia" w:eastAsiaTheme="minorEastAsia"/>
                <w:szCs w:val="21"/>
              </w:rPr>
            </w:pPr>
          </w:p>
        </w:tc>
      </w:tr>
    </w:tbl>
    <w:p>
      <w:pPr>
        <w:spacing w:line="360" w:lineRule="auto"/>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注：</w:t>
      </w:r>
    </w:p>
    <w:p>
      <w:pPr>
        <w:spacing w:line="360" w:lineRule="auto"/>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1、响应情况为“是”，需在“名单”栏中提供相应的单位、子公司和股东的名单；响应情况为“否”，在“名单”栏填写“无”；股东情况仅需列明股东名单即可。</w:t>
      </w:r>
    </w:p>
    <w:p>
      <w:pPr>
        <w:spacing w:line="360" w:lineRule="auto"/>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2、管理关系是指：投标供应商与特定企业之间因通过间接控股、投资关系、协议或者其他安排，存在实际管理关系。</w:t>
      </w:r>
    </w:p>
    <w:p>
      <w:pPr>
        <w:spacing w:line="360" w:lineRule="auto"/>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仿宋_GB2312" w:eastAsia="仿宋_GB2312" w:hAnsiTheme="minorEastAsia"/>
          <w:b/>
          <w:i/>
          <w:color w:val="FF0000"/>
          <w:sz w:val="24"/>
        </w:rPr>
      </w:pPr>
      <w:r>
        <w:rPr>
          <w:rFonts w:hint="eastAsia" w:ascii="仿宋_GB2312" w:eastAsia="仿宋_GB2312" w:hAnsiTheme="minorEastAsia"/>
          <w:b/>
          <w:i/>
          <w:color w:val="FF0000"/>
          <w:sz w:val="24"/>
        </w:rPr>
        <w:t>根据《中华人民共和国政府采购法实施条例》第十八条规定：“单位负责人为同一人或者存在直接控股、管理关系的不同供应商，不得参加同一合同项下的政府采购活动。”</w:t>
      </w:r>
    </w:p>
    <w:p>
      <w:pPr>
        <w:spacing w:line="300" w:lineRule="auto"/>
        <w:rPr>
          <w:rFonts w:asciiTheme="minorEastAsia" w:hAnsiTheme="minorEastAsia" w:eastAsiaTheme="minorEastAsia"/>
          <w:szCs w:val="21"/>
        </w:rPr>
      </w:pPr>
    </w:p>
    <w:p>
      <w:pPr>
        <w:spacing w:line="300" w:lineRule="auto"/>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投标单位：（盖章）</w:t>
      </w:r>
    </w:p>
    <w:p>
      <w:pPr>
        <w:spacing w:line="300" w:lineRule="auto"/>
        <w:rPr>
          <w:rFonts w:asciiTheme="minorEastAsia" w:hAnsiTheme="minorEastAsia" w:eastAsiaTheme="minorEastAsia"/>
          <w:snapToGrid w:val="0"/>
          <w:szCs w:val="21"/>
        </w:rPr>
      </w:pPr>
    </w:p>
    <w:p>
      <w:pPr>
        <w:spacing w:line="300" w:lineRule="auto"/>
        <w:rPr>
          <w:rFonts w:asciiTheme="minorEastAsia" w:hAnsiTheme="minorEastAsia" w:eastAsiaTheme="minorEastAsia"/>
          <w:snapToGrid w:val="0"/>
          <w:szCs w:val="21"/>
        </w:rPr>
      </w:pPr>
    </w:p>
    <w:p>
      <w:pPr>
        <w:spacing w:line="300" w:lineRule="auto"/>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授权代表或法定代表人：（签字）</w:t>
      </w:r>
    </w:p>
    <w:p>
      <w:pPr>
        <w:spacing w:line="360" w:lineRule="auto"/>
        <w:ind w:firstLine="600"/>
        <w:jc w:val="right"/>
        <w:rPr>
          <w:b/>
          <w:snapToGrid w:val="0"/>
          <w:sz w:val="32"/>
          <w:szCs w:val="32"/>
        </w:rPr>
      </w:pPr>
      <w:r>
        <w:rPr>
          <w:rFonts w:hint="eastAsia" w:asciiTheme="minorEastAsia" w:hAnsiTheme="minorEastAsia" w:eastAsiaTheme="minorEastAsia"/>
          <w:szCs w:val="21"/>
        </w:rPr>
        <w:t>年     月    日</w:t>
      </w:r>
      <w:r>
        <w:rPr>
          <w:b/>
          <w:snapToGrid w:val="0"/>
          <w:sz w:val="32"/>
          <w:szCs w:val="32"/>
        </w:rPr>
        <w:br w:type="page"/>
      </w:r>
    </w:p>
    <w:p>
      <w:pPr>
        <w:adjustRightInd w:val="0"/>
        <w:snapToGrid w:val="0"/>
        <w:spacing w:line="300" w:lineRule="auto"/>
        <w:jc w:val="center"/>
        <w:rPr>
          <w:b/>
          <w:snapToGrid w:val="0"/>
          <w:sz w:val="32"/>
          <w:szCs w:val="32"/>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napToGrid w:val="0"/>
          <w:kern w:val="0"/>
          <w:sz w:val="24"/>
        </w:rPr>
      </w:pPr>
      <w:r>
        <w:rPr>
          <w:rFonts w:hint="eastAsia" w:asciiTheme="minorEastAsia" w:hAnsiTheme="minorEastAsia" w:eastAsiaTheme="minorEastAsia"/>
          <w:sz w:val="24"/>
        </w:rPr>
        <w:t>格式2  法定代表人证明书及授权委托书</w:t>
      </w:r>
    </w:p>
    <w:p>
      <w:pPr>
        <w:adjustRightInd w:val="0"/>
        <w:snapToGrid w:val="0"/>
        <w:spacing w:line="300" w:lineRule="auto"/>
        <w:jc w:val="center"/>
        <w:rPr>
          <w:b/>
          <w:snapToGrid w:val="0"/>
          <w:sz w:val="32"/>
          <w:szCs w:val="32"/>
        </w:rPr>
      </w:pPr>
    </w:p>
    <w:p>
      <w:pPr>
        <w:tabs>
          <w:tab w:val="left" w:pos="450"/>
        </w:tabs>
        <w:jc w:val="center"/>
        <w:rPr>
          <w:rFonts w:ascii="宋体" w:hAnsi="宋体"/>
          <w:b/>
          <w:sz w:val="28"/>
          <w:szCs w:val="28"/>
        </w:rPr>
      </w:pPr>
      <w:r>
        <w:rPr>
          <w:rFonts w:hint="eastAsia" w:ascii="宋体" w:hAnsi="宋体"/>
          <w:b/>
          <w:sz w:val="28"/>
          <w:szCs w:val="28"/>
        </w:rPr>
        <w:t>法定代表人证明书（参考）</w:t>
      </w:r>
    </w:p>
    <w:p>
      <w:pPr>
        <w:spacing w:line="400" w:lineRule="exact"/>
        <w:rPr>
          <w:rFonts w:ascii="宋体" w:hAnsi="宋体"/>
          <w:bCs/>
          <w:sz w:val="28"/>
        </w:rPr>
      </w:pPr>
    </w:p>
    <w:p>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职务，为法定代表人，特此证明。</w:t>
      </w:r>
    </w:p>
    <w:p>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 xml:space="preserve">营业执照（注册号）：                       </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p>
    <w:p>
      <w:pPr>
        <w:spacing w:line="480" w:lineRule="auto"/>
        <w:ind w:firstLine="840" w:firstLineChars="400"/>
        <w:rPr>
          <w:rFonts w:ascii="宋体" w:hAnsi="宋体"/>
        </w:rPr>
      </w:pPr>
      <w:r>
        <w:rPr>
          <w:rFonts w:hint="eastAsia" w:ascii="宋体" w:hAnsi="宋体"/>
        </w:rPr>
        <w:t>兼营（产）：</w:t>
      </w:r>
    </w:p>
    <w:p>
      <w:pPr>
        <w:spacing w:line="480" w:lineRule="auto"/>
        <w:ind w:firstLine="960" w:firstLineChars="400"/>
        <w:rPr>
          <w:rFonts w:ascii="宋体" w:hAnsi="宋体"/>
          <w:sz w:val="24"/>
        </w:rPr>
      </w:pPr>
    </w:p>
    <w:p>
      <w:pPr>
        <w:spacing w:line="500" w:lineRule="exact"/>
        <w:rPr>
          <w:rFonts w:ascii="宋体"/>
          <w:b/>
          <w:bCs/>
        </w:rPr>
      </w:pPr>
      <w:r>
        <w:rPr>
          <w:rFonts w:ascii="宋体"/>
          <w:b/>
          <w:bCs/>
        </w:rPr>
        <w:pict>
          <v:rect id="Rectangle 5" o:spid="_x0000_s3096" o:spt="1" style="position:absolute;left:0pt;margin-left:250.65pt;margin-top:10.75pt;height:156pt;width:243pt;z-index:251678720;mso-width-relative:page;mso-height-relative:page;" coordsize="21600,21600">
            <v:path/>
            <v:fill focussize="0,0"/>
            <v:stroke/>
            <v:imagedata o:title=""/>
            <o:lock v:ext="edit"/>
            <v:textbox>
              <w:txbxContent>
                <w:p>
                  <w:pPr>
                    <w:ind w:firstLine="1260" w:firstLineChars="600"/>
                  </w:pPr>
                  <w:r>
                    <w:rPr>
                      <w:rFonts w:hint="eastAsia"/>
                    </w:rPr>
                    <w:t xml:space="preserve">     法定代表人</w:t>
                  </w:r>
                </w:p>
                <w:p>
                  <w:pPr>
                    <w:ind w:firstLine="1050" w:firstLineChars="500"/>
                  </w:pPr>
                  <w:r>
                    <w:rPr>
                      <w:rFonts w:hint="eastAsia"/>
                    </w:rPr>
                    <w:t xml:space="preserve"> 居民身份证复印件粘贴处</w:t>
                  </w:r>
                </w:p>
                <w:p>
                  <w:pPr>
                    <w:ind w:firstLine="1050" w:firstLineChars="500"/>
                  </w:pPr>
                </w:p>
                <w:p>
                  <w:pPr>
                    <w:ind w:firstLine="1785" w:firstLineChars="850"/>
                  </w:pPr>
                  <w:r>
                    <w:rPr>
                      <w:rFonts w:hint="eastAsia"/>
                    </w:rPr>
                    <w:t>（反面）</w:t>
                  </w:r>
                </w:p>
                <w:p>
                  <w:pPr>
                    <w:ind w:firstLine="1050" w:firstLineChars="500"/>
                  </w:pPr>
                </w:p>
                <w:p/>
              </w:txbxContent>
            </v:textbox>
          </v:rect>
        </w:pict>
      </w:r>
      <w:r>
        <w:rPr>
          <w:rFonts w:ascii="宋体"/>
          <w:b/>
          <w:bCs/>
        </w:rPr>
        <w:pict>
          <v:rect id="Rectangle 4" o:spid="_x0000_s3095" o:spt="1" style="position:absolute;left:0pt;margin-left:-11.85pt;margin-top:10.75pt;height:156pt;width:243pt;z-index:251677696;mso-width-relative:page;mso-height-relative:page;" coordsize="21600,21600">
            <v:path/>
            <v:fill focussize="0,0"/>
            <v:stroke/>
            <v:imagedata o:title=""/>
            <o:lock v:ext="edit"/>
            <v:textbox>
              <w:txbxContent>
                <w:p>
                  <w:pPr>
                    <w:ind w:firstLine="1260" w:firstLineChars="600"/>
                    <w:jc w:val="left"/>
                  </w:pPr>
                  <w:r>
                    <w:rPr>
                      <w:rFonts w:hint="eastAsia"/>
                    </w:rPr>
                    <w:t xml:space="preserve">     法定代表人</w:t>
                  </w:r>
                </w:p>
                <w:p>
                  <w:pPr>
                    <w:ind w:firstLine="1050" w:firstLineChars="500"/>
                    <w:jc w:val="left"/>
                  </w:pPr>
                  <w:r>
                    <w:rPr>
                      <w:rFonts w:hint="eastAsia"/>
                    </w:rPr>
                    <w:t xml:space="preserve"> 居民身份证复印件粘贴处</w:t>
                  </w:r>
                </w:p>
                <w:p>
                  <w:pPr>
                    <w:ind w:firstLine="1050" w:firstLineChars="500"/>
                    <w:jc w:val="left"/>
                  </w:pPr>
                </w:p>
                <w:p>
                  <w:pPr>
                    <w:ind w:firstLine="1785" w:firstLineChars="850"/>
                    <w:jc w:val="left"/>
                  </w:pPr>
                  <w:r>
                    <w:rPr>
                      <w:rFonts w:hint="eastAsia"/>
                    </w:rPr>
                    <w:t>（正面）</w:t>
                  </w:r>
                </w:p>
                <w:p>
                  <w:pPr>
                    <w:ind w:firstLine="1050" w:firstLineChars="500"/>
                    <w:jc w:val="left"/>
                  </w:pPr>
                </w:p>
                <w:p>
                  <w:pPr>
                    <w:jc w:val="left"/>
                  </w:pPr>
                </w:p>
              </w:txbxContent>
            </v:textbox>
          </v:rect>
        </w:pict>
      </w: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r>
        <w:rPr>
          <w:rFonts w:hint="eastAsia" w:ascii="宋体"/>
          <w:b/>
          <w:bCs/>
        </w:rPr>
        <w:t xml:space="preserve">                         </w:t>
      </w:r>
    </w:p>
    <w:p>
      <w:pPr>
        <w:spacing w:line="360" w:lineRule="auto"/>
        <w:ind w:firstLine="539" w:firstLineChars="257"/>
      </w:pPr>
    </w:p>
    <w:p>
      <w:pPr>
        <w:spacing w:line="360" w:lineRule="auto"/>
        <w:ind w:firstLine="539" w:firstLineChars="257"/>
      </w:pPr>
      <w:r>
        <w:rPr>
          <w:rFonts w:hint="eastAsia"/>
        </w:rPr>
        <w:t>单位名称：（公章）：</w:t>
      </w:r>
      <w:r>
        <w:rPr>
          <w:rFonts w:hint="eastAsia"/>
          <w:u w:val="single"/>
        </w:rPr>
        <w:t xml:space="preserve">                                         </w:t>
      </w:r>
    </w:p>
    <w:p>
      <w:pPr>
        <w:spacing w:line="360" w:lineRule="auto"/>
        <w:ind w:firstLine="539" w:firstLineChars="257"/>
      </w:pPr>
    </w:p>
    <w:p>
      <w:pPr>
        <w:spacing w:line="360" w:lineRule="auto"/>
        <w:ind w:firstLine="539" w:firstLineChars="257"/>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widowControl/>
        <w:jc w:val="left"/>
        <w:rPr>
          <w:b/>
          <w:bCs/>
          <w:sz w:val="28"/>
        </w:rPr>
      </w:pPr>
      <w:r>
        <w:rPr>
          <w:b/>
          <w:bCs/>
          <w:sz w:val="28"/>
        </w:rPr>
        <w:br w:type="page"/>
      </w:r>
    </w:p>
    <w:p>
      <w:pPr>
        <w:ind w:firstLine="2249" w:firstLineChars="800"/>
        <w:rPr>
          <w:b/>
          <w:bCs/>
          <w:sz w:val="28"/>
        </w:rPr>
      </w:pPr>
    </w:p>
    <w:p>
      <w:pPr>
        <w:jc w:val="center"/>
        <w:rPr>
          <w:b/>
          <w:bCs/>
          <w:sz w:val="28"/>
        </w:rPr>
      </w:pPr>
      <w:r>
        <w:rPr>
          <w:rFonts w:hint="eastAsia"/>
          <w:b/>
          <w:bCs/>
          <w:sz w:val="28"/>
        </w:rPr>
        <w:t>法定代表人授权委托证明书（参考）</w:t>
      </w:r>
    </w:p>
    <w:p/>
    <w:p>
      <w:pPr>
        <w:rPr>
          <w:b/>
          <w:bCs/>
        </w:rPr>
      </w:pPr>
      <w:r>
        <w:rPr>
          <w:rFonts w:hint="eastAsia"/>
        </w:rPr>
        <w:t>深圳市中正招标有限公司</w:t>
      </w:r>
      <w:r>
        <w:rPr>
          <w:rFonts w:hint="eastAsia"/>
          <w:b/>
          <w:bCs/>
        </w:rPr>
        <w:t>：</w:t>
      </w:r>
    </w:p>
    <w:p>
      <w:pPr>
        <w:ind w:firstLine="630"/>
      </w:pPr>
    </w:p>
    <w:p>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pPr>
        <w:adjustRightInd w:val="0"/>
        <w:snapToGrid w:val="0"/>
        <w:spacing w:line="360" w:lineRule="auto"/>
        <w:ind w:firstLine="629"/>
      </w:pPr>
    </w:p>
    <w:p>
      <w:pPr>
        <w:ind w:firstLine="630"/>
      </w:pPr>
    </w:p>
    <w:p>
      <w:pPr>
        <w:adjustRightInd w:val="0"/>
        <w:snapToGrid w:val="0"/>
        <w:spacing w:line="360" w:lineRule="auto"/>
        <w:ind w:firstLine="629"/>
        <w:rPr>
          <w:b/>
          <w:bCs/>
        </w:rPr>
      </w:pPr>
      <w:r>
        <w:rPr>
          <w:rFonts w:hint="eastAsia"/>
          <w:b/>
          <w:bCs/>
        </w:rPr>
        <w:t>附授权代表情况：</w:t>
      </w:r>
    </w:p>
    <w:p>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pPr>
        <w:adjustRightInd w:val="0"/>
        <w:snapToGrid w:val="0"/>
        <w:spacing w:line="360" w:lineRule="auto"/>
        <w:ind w:firstLine="629"/>
      </w:pPr>
      <w:r>
        <w:rPr>
          <w:rFonts w:hint="eastAsia"/>
        </w:rPr>
        <w:t>职务：</w:t>
      </w:r>
    </w:p>
    <w:p>
      <w:pPr>
        <w:adjustRightInd w:val="0"/>
        <w:snapToGrid w:val="0"/>
        <w:spacing w:line="360" w:lineRule="auto"/>
        <w:ind w:firstLine="629"/>
      </w:pPr>
      <w:r>
        <w:rPr>
          <w:rFonts w:hint="eastAsia"/>
        </w:rPr>
        <w:t>身份证号码：</w:t>
      </w:r>
    </w:p>
    <w:p>
      <w:pPr>
        <w:adjustRightInd w:val="0"/>
        <w:snapToGrid w:val="0"/>
        <w:spacing w:line="360" w:lineRule="auto"/>
        <w:ind w:firstLine="629"/>
        <w:rPr>
          <w:b/>
          <w:bCs/>
        </w:rPr>
      </w:pPr>
      <w:r>
        <w:rPr>
          <w:rFonts w:hint="eastAsia"/>
        </w:rPr>
        <w:t>邮编：</w:t>
      </w:r>
      <w:r>
        <w:rPr>
          <w:rFonts w:hint="eastAsia"/>
          <w:b/>
          <w:bCs/>
        </w:rPr>
        <w:t xml:space="preserve"> </w:t>
      </w:r>
    </w:p>
    <w:p>
      <w:pPr>
        <w:adjustRightInd w:val="0"/>
        <w:snapToGrid w:val="0"/>
        <w:spacing w:line="360" w:lineRule="auto"/>
        <w:ind w:firstLine="629"/>
      </w:pPr>
      <w:r>
        <w:rPr>
          <w:rFonts w:hint="eastAsia"/>
        </w:rPr>
        <w:t>通讯地址：</w:t>
      </w:r>
      <w:r>
        <w:rPr>
          <w:rFonts w:hint="eastAsia"/>
          <w:b/>
          <w:bCs/>
        </w:rPr>
        <w:t xml:space="preserve"> </w:t>
      </w:r>
    </w:p>
    <w:p>
      <w:pPr>
        <w:adjustRightInd w:val="0"/>
        <w:snapToGrid w:val="0"/>
        <w:spacing w:line="360" w:lineRule="auto"/>
        <w:ind w:firstLine="629"/>
      </w:pPr>
      <w:r>
        <w:rPr>
          <w:rFonts w:hint="eastAsia"/>
        </w:rPr>
        <w:t>电话：</w:t>
      </w:r>
    </w:p>
    <w:p>
      <w:pPr>
        <w:adjustRightInd w:val="0"/>
        <w:snapToGrid w:val="0"/>
        <w:spacing w:line="360" w:lineRule="auto"/>
        <w:ind w:firstLine="629"/>
      </w:pPr>
      <w:r>
        <w:rPr>
          <w:rFonts w:hint="eastAsia"/>
        </w:rPr>
        <w:t xml:space="preserve"> </w:t>
      </w:r>
    </w:p>
    <w:p>
      <w:pPr>
        <w:ind w:firstLine="630"/>
      </w:pPr>
      <w:r>
        <w:rPr>
          <w:rFonts w:hint="eastAsia"/>
        </w:rPr>
        <w:t>单位名称：（公章）</w:t>
      </w:r>
    </w:p>
    <w:p>
      <w:pPr>
        <w:ind w:firstLine="630"/>
      </w:pPr>
    </w:p>
    <w:p>
      <w:pPr>
        <w:ind w:firstLine="630"/>
      </w:pPr>
      <w:r>
        <w:rPr>
          <w:rFonts w:hint="eastAsia"/>
        </w:rPr>
        <w:t>法定代表人：（签字）</w:t>
      </w:r>
    </w:p>
    <w:p>
      <w:pPr>
        <w:ind w:firstLine="630"/>
      </w:pPr>
    </w:p>
    <w:p>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pPr>
        <w:spacing w:line="440" w:lineRule="exact"/>
        <w:rPr>
          <w:rFonts w:ascii="黑体" w:eastAsia="黑体"/>
        </w:rPr>
      </w:pPr>
      <w:bookmarkStart w:id="54" w:name="_Toc226217114"/>
      <w:r>
        <w:rPr>
          <w:rFonts w:ascii="宋体"/>
        </w:rPr>
        <w:pict>
          <v:rect id="Rectangle 2" o:spid="_x0000_s3093" o:spt="1" style="position:absolute;left:0pt;margin-left:-10.35pt;margin-top:5.6pt;height:156pt;width:243pt;z-index:251675648;mso-width-relative:page;mso-height-relative:page;" coordsize="21600,21600">
            <v:path/>
            <v:fill focussize="0,0"/>
            <v:stroke/>
            <v:imagedata o:title=""/>
            <o:lock v:ext="edit"/>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jc w:val="center"/>
                  </w:pPr>
                  <w:r>
                    <w:rPr>
                      <w:rFonts w:hint="eastAsia"/>
                    </w:rPr>
                    <w:t>（正面）</w:t>
                  </w:r>
                </w:p>
              </w:txbxContent>
            </v:textbox>
          </v:rect>
        </w:pict>
      </w:r>
      <w:r>
        <w:rPr>
          <w:rFonts w:ascii="黑体" w:eastAsia="黑体"/>
        </w:rPr>
        <w:pict>
          <v:rect id="Rectangle 3" o:spid="_x0000_s3094" o:spt="1" style="position:absolute;left:0pt;margin-left:249.9pt;margin-top:5.6pt;height:156pt;width:243pt;z-index:251676672;mso-width-relative:page;mso-height-relative:page;" coordsize="21600,21600">
            <v:path/>
            <v:fill focussize="0,0"/>
            <v:stroke/>
            <v:imagedata o:title=""/>
            <o:lock v:ext="edit"/>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txbxContent>
            </v:textbox>
          </v:rect>
        </w:pict>
      </w:r>
      <w:bookmarkEnd w:id="54"/>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tabs>
          <w:tab w:val="left" w:pos="5115"/>
        </w:tabs>
        <w:spacing w:line="440" w:lineRule="exact"/>
        <w:rPr>
          <w:rFonts w:ascii="黑体" w:eastAsia="黑体"/>
        </w:rPr>
      </w:pPr>
      <w:r>
        <w:rPr>
          <w:rFonts w:ascii="黑体" w:eastAsia="黑体"/>
        </w:rPr>
        <w:tab/>
      </w:r>
    </w:p>
    <w:p>
      <w:pPr>
        <w:spacing w:line="440" w:lineRule="exact"/>
        <w:rPr>
          <w:rFonts w:ascii="黑体" w:eastAsia="黑体"/>
        </w:rPr>
      </w:pPr>
    </w:p>
    <w:p>
      <w:pPr>
        <w:adjustRightInd w:val="0"/>
        <w:snapToGrid w:val="0"/>
        <w:spacing w:line="300" w:lineRule="auto"/>
        <w:ind w:firstLine="5008" w:firstLineChars="2385"/>
      </w:pPr>
    </w:p>
    <w:p>
      <w:pPr>
        <w:adjustRightInd w:val="0"/>
        <w:snapToGrid w:val="0"/>
        <w:spacing w:line="300" w:lineRule="auto"/>
      </w:pPr>
    </w:p>
    <w:p>
      <w:pPr>
        <w:adjustRightInd w:val="0"/>
        <w:snapToGrid w:val="0"/>
        <w:spacing w:line="300" w:lineRule="auto"/>
      </w:pPr>
    </w:p>
    <w:p>
      <w:pPr>
        <w:adjustRightInd w:val="0"/>
        <w:snapToGrid w:val="0"/>
        <w:spacing w:line="300" w:lineRule="auto"/>
      </w:pPr>
      <w:r>
        <w:rPr>
          <w:rFonts w:hint="eastAsia" w:asciiTheme="majorEastAsia" w:hAnsiTheme="majorEastAsia" w:eastAsiaTheme="majorEastAsia"/>
          <w:b/>
          <w:sz w:val="24"/>
        </w:rPr>
        <w:t>注：法定代表人证明书和法定代表人授权委托证明书除装订于投标文件中外，还须另置一份按“投标人须知”18.4项要求单独密封。</w:t>
      </w:r>
    </w:p>
    <w:p>
      <w:pPr>
        <w:widowControl/>
        <w:jc w:val="left"/>
      </w:pPr>
      <w:r>
        <w:br w:type="page"/>
      </w:r>
    </w:p>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格式3  投</w:t>
      </w:r>
      <w:r>
        <w:rPr>
          <w:rFonts w:asciiTheme="minorEastAsia" w:hAnsiTheme="minorEastAsia" w:eastAsiaTheme="minorEastAsia"/>
          <w:sz w:val="24"/>
        </w:rPr>
        <w:t xml:space="preserve"> </w:t>
      </w:r>
      <w:r>
        <w:rPr>
          <w:rFonts w:hint="eastAsia" w:asciiTheme="minorEastAsia" w:hAnsiTheme="minorEastAsia" w:eastAsiaTheme="minorEastAsia"/>
          <w:sz w:val="24"/>
        </w:rPr>
        <w:t>标</w:t>
      </w:r>
      <w:r>
        <w:rPr>
          <w:rFonts w:asciiTheme="minorEastAsia" w:hAnsiTheme="minorEastAsia" w:eastAsiaTheme="minorEastAsia"/>
          <w:sz w:val="24"/>
        </w:rPr>
        <w:t xml:space="preserve"> </w:t>
      </w:r>
      <w:r>
        <w:rPr>
          <w:rFonts w:hint="eastAsia" w:asciiTheme="minorEastAsia" w:hAnsiTheme="minorEastAsia" w:eastAsiaTheme="minorEastAsia"/>
          <w:sz w:val="24"/>
        </w:rPr>
        <w:t>函</w:t>
      </w:r>
    </w:p>
    <w:p>
      <w:pPr>
        <w:adjustRightInd w:val="0"/>
        <w:snapToGrid w:val="0"/>
        <w:spacing w:line="312" w:lineRule="auto"/>
      </w:pPr>
    </w:p>
    <w:p>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2．我单位提交的投标文件为：投标书正本一份，副本四份，电子备份光盘（或U盘）一份（内容为投标文件正本盖章扫描件）。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4．我单位愿意提供招标代理机构在招标文件中要求的所有资料，且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6．我单位愿按《中华人民共和国民法典》履行自己的全部责任。</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同意中标后向招标代理机构支付招标文件要求数额的中标服务费。</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pPr>
        <w:adjustRightInd w:val="0"/>
        <w:snapToGrid w:val="0"/>
        <w:spacing w:line="360" w:lineRule="auto"/>
        <w:ind w:firstLine="600"/>
      </w:pPr>
    </w:p>
    <w:p>
      <w:pPr>
        <w:adjustRightInd w:val="0"/>
        <w:snapToGrid w:val="0"/>
        <w:spacing w:line="360" w:lineRule="auto"/>
        <w:ind w:firstLine="426"/>
      </w:pPr>
      <w:r>
        <w:t>单    位： （盖章）</w:t>
      </w:r>
    </w:p>
    <w:p>
      <w:pPr>
        <w:adjustRightInd w:val="0"/>
        <w:snapToGrid w:val="0"/>
        <w:spacing w:line="360" w:lineRule="auto"/>
        <w:ind w:firstLine="426"/>
      </w:pPr>
      <w:r>
        <w:rPr>
          <w:rFonts w:hint="eastAsia"/>
        </w:rPr>
        <w:t>授权代表： （签字）</w:t>
      </w:r>
    </w:p>
    <w:p>
      <w:pPr>
        <w:adjustRightInd w:val="0"/>
        <w:snapToGrid w:val="0"/>
        <w:spacing w:line="360" w:lineRule="auto"/>
        <w:ind w:firstLine="426"/>
      </w:pPr>
      <w:r>
        <w:t xml:space="preserve">地    址： </w:t>
      </w:r>
    </w:p>
    <w:p>
      <w:pPr>
        <w:adjustRightInd w:val="0"/>
        <w:snapToGrid w:val="0"/>
        <w:spacing w:line="360" w:lineRule="auto"/>
        <w:ind w:firstLine="426"/>
      </w:pPr>
      <w:r>
        <w:t xml:space="preserve">电    话：     </w:t>
      </w:r>
    </w:p>
    <w:p>
      <w:pPr>
        <w:adjustRightInd w:val="0"/>
        <w:snapToGrid w:val="0"/>
        <w:spacing w:line="360" w:lineRule="auto"/>
        <w:ind w:firstLine="426"/>
      </w:pPr>
      <w:r>
        <w:t>传    真：</w:t>
      </w:r>
    </w:p>
    <w:p>
      <w:pPr>
        <w:adjustRightInd w:val="0"/>
        <w:snapToGrid w:val="0"/>
        <w:spacing w:line="360" w:lineRule="auto"/>
        <w:ind w:firstLine="426"/>
      </w:pPr>
      <w:r>
        <w:t>邮    编：</w:t>
      </w:r>
    </w:p>
    <w:p>
      <w:pPr>
        <w:adjustRightInd w:val="0"/>
        <w:snapToGrid w:val="0"/>
        <w:spacing w:line="360" w:lineRule="auto"/>
        <w:ind w:firstLine="426"/>
      </w:pPr>
      <w:r>
        <w:t xml:space="preserve">联 系 人： </w:t>
      </w:r>
    </w:p>
    <w:p>
      <w:pPr>
        <w:adjustRightInd w:val="0"/>
        <w:snapToGrid w:val="0"/>
        <w:spacing w:line="360" w:lineRule="auto"/>
        <w:ind w:firstLine="600"/>
      </w:pPr>
    </w:p>
    <w:p>
      <w:pPr>
        <w:adjustRightInd w:val="0"/>
        <w:snapToGrid w:val="0"/>
        <w:spacing w:line="360" w:lineRule="auto"/>
        <w:ind w:firstLine="600"/>
        <w:jc w:val="right"/>
      </w:pPr>
      <w:r>
        <w:rPr>
          <w:rFonts w:hint="eastAsia"/>
        </w:rPr>
        <w:t>年     月    日</w:t>
      </w:r>
    </w:p>
    <w:p>
      <w:pPr>
        <w:adjustRightInd w:val="0"/>
        <w:snapToGrid w:val="0"/>
        <w:spacing w:line="360" w:lineRule="auto"/>
        <w:ind w:firstLine="600"/>
        <w:jc w:val="right"/>
      </w:pPr>
    </w:p>
    <w:p>
      <w:pPr>
        <w:adjustRightInd w:val="0"/>
        <w:spacing w:line="300" w:lineRule="auto"/>
        <w:ind w:hanging="2"/>
        <w:jc w:val="center"/>
        <w:rPr>
          <w:b/>
          <w:snapToGrid w:val="0"/>
          <w:kern w:val="0"/>
          <w:sz w:val="28"/>
        </w:rPr>
      </w:pPr>
    </w:p>
    <w:p>
      <w:pPr>
        <w:tabs>
          <w:tab w:val="left" w:pos="450"/>
        </w:tabs>
        <w:adjustRightInd w:val="0"/>
        <w:spacing w:line="300" w:lineRule="auto"/>
        <w:ind w:hanging="2"/>
        <w:rPr>
          <w:b/>
          <w:snapToGrid w:val="0"/>
          <w:kern w:val="0"/>
          <w:sz w:val="28"/>
        </w:rPr>
      </w:pPr>
      <w:r>
        <w:rPr>
          <w:b/>
          <w:snapToGrid w:val="0"/>
          <w:kern w:val="0"/>
          <w:sz w:val="28"/>
        </w:rPr>
        <w:tab/>
      </w:r>
      <w:r>
        <w:rPr>
          <w:rFonts w:asciiTheme="minorEastAsia" w:hAnsiTheme="minorEastAsia" w:eastAsiaTheme="minorEastAsia"/>
          <w:sz w:val="24"/>
        </w:rPr>
        <w:br w:type="page"/>
      </w: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格式4  评分中涉及的承诺及声明函</w:t>
      </w:r>
    </w:p>
    <w:p>
      <w:pPr>
        <w:adjustRightInd w:val="0"/>
        <w:spacing w:line="300" w:lineRule="auto"/>
        <w:ind w:hanging="2"/>
        <w:jc w:val="center"/>
        <w:rPr>
          <w:b/>
          <w:snapToGrid w:val="0"/>
          <w:kern w:val="0"/>
          <w:sz w:val="28"/>
        </w:rPr>
      </w:pPr>
      <w:r>
        <w:rPr>
          <w:rFonts w:hint="eastAsia"/>
          <w:b/>
          <w:snapToGrid w:val="0"/>
          <w:kern w:val="0"/>
          <w:sz w:val="28"/>
        </w:rPr>
        <w:t>诚信承诺函</w:t>
      </w:r>
    </w:p>
    <w:p>
      <w:pPr>
        <w:pStyle w:val="413"/>
        <w:keepNext w:val="0"/>
        <w:adjustRightInd/>
        <w:spacing w:before="0" w:after="0" w:line="240" w:lineRule="auto"/>
        <w:outlineLvl w:val="2"/>
        <w:rPr>
          <w:rFonts w:hAnsi="宋体"/>
          <w:szCs w:val="24"/>
        </w:rPr>
      </w:pPr>
    </w:p>
    <w:p>
      <w:pPr>
        <w:spacing w:line="360" w:lineRule="auto"/>
        <w:rPr>
          <w:rFonts w:cs="Courier New"/>
          <w:snapToGrid w:val="0"/>
          <w:szCs w:val="18"/>
        </w:rPr>
      </w:pPr>
      <w:r>
        <w:rPr>
          <w:rFonts w:hint="eastAsia" w:cs="Courier New"/>
          <w:snapToGrid w:val="0"/>
          <w:szCs w:val="18"/>
        </w:rPr>
        <w:t>深圳市中正招标有限公司：</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pPr>
      <w:r>
        <w:rPr>
          <w:rFonts w:hint="eastAsia"/>
        </w:rPr>
        <w:t>年     月    日</w:t>
      </w:r>
    </w:p>
    <w:p/>
    <w:p/>
    <w:p>
      <w:pPr>
        <w:adjustRightInd w:val="0"/>
        <w:spacing w:line="300" w:lineRule="auto"/>
        <w:ind w:hanging="2"/>
        <w:jc w:val="center"/>
        <w:rPr>
          <w:b/>
          <w:snapToGrid w:val="0"/>
          <w:kern w:val="0"/>
          <w:sz w:val="28"/>
        </w:rPr>
      </w:pPr>
    </w:p>
    <w:p>
      <w:pPr>
        <w:widowControl/>
        <w:jc w:val="left"/>
        <w:rPr>
          <w:b/>
          <w:snapToGrid w:val="0"/>
          <w:kern w:val="0"/>
          <w:sz w:val="28"/>
        </w:rPr>
      </w:pPr>
      <w:r>
        <w:rPr>
          <w:b/>
          <w:snapToGrid w:val="0"/>
          <w:kern w:val="0"/>
          <w:sz w:val="28"/>
        </w:rPr>
        <w:br w:type="page"/>
      </w:r>
    </w:p>
    <w:p>
      <w:pPr>
        <w:adjustRightInd w:val="0"/>
        <w:spacing w:line="300" w:lineRule="auto"/>
        <w:ind w:hanging="2"/>
        <w:jc w:val="center"/>
        <w:rPr>
          <w:b/>
          <w:snapToGrid w:val="0"/>
          <w:kern w:val="0"/>
          <w:sz w:val="28"/>
        </w:rPr>
      </w:pPr>
    </w:p>
    <w:p>
      <w:pPr>
        <w:pStyle w:val="5"/>
        <w:tabs>
          <w:tab w:val="left" w:pos="0"/>
        </w:tabs>
        <w:jc w:val="center"/>
        <w:rPr>
          <w:rFonts w:ascii="宋体" w:hAnsi="宋体" w:eastAsia="宋体"/>
        </w:rPr>
      </w:pPr>
      <w:r>
        <w:rPr>
          <w:rFonts w:hint="eastAsia" w:ascii="宋体" w:hAnsi="宋体" w:eastAsia="宋体"/>
        </w:rPr>
        <w:t>中小企业声明函</w:t>
      </w:r>
    </w:p>
    <w:p>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提供的货物全部由符合政策要求的中小企业制造</w:t>
      </w:r>
      <w:r>
        <w:rPr>
          <w:rFonts w:asciiTheme="minorEastAsia" w:hAnsiTheme="minorEastAsia" w:eastAsiaTheme="minorEastAsia"/>
          <w:szCs w:val="21"/>
        </w:rPr>
        <w:t>。相关企业（含联合体中的中小企业、签订分包意向协议的中小企业）的具体情况如下：</w:t>
      </w:r>
    </w:p>
    <w:p>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pPr>
        <w:pStyle w:val="20"/>
        <w:spacing w:before="108" w:line="304" w:lineRule="auto"/>
        <w:ind w:right="-1" w:firstLine="408"/>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spacing w:line="360" w:lineRule="auto"/>
        <w:ind w:firstLine="420" w:firstLineChars="200"/>
        <w:jc w:val="right"/>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rPr>
          <w:rFonts w:ascii="宋体" w:hAnsi="宋体"/>
          <w:szCs w:val="21"/>
        </w:rPr>
      </w:pPr>
      <w:r>
        <w:rPr>
          <w:rFonts w:hint="eastAsia" w:ascii="宋体" w:hAnsi="宋体"/>
          <w:szCs w:val="21"/>
        </w:rPr>
        <w:t>备注：</w:t>
      </w:r>
    </w:p>
    <w:p>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相关规定。如不符合前述相关规定所确定的</w:t>
      </w:r>
      <w:r>
        <w:rPr>
          <w:rFonts w:hint="eastAsia" w:ascii="宋体" w:hAnsi="宋体"/>
          <w:b/>
          <w:szCs w:val="21"/>
        </w:rPr>
        <w:t>小型和微型企业</w:t>
      </w:r>
      <w:r>
        <w:rPr>
          <w:rFonts w:hint="eastAsia" w:ascii="宋体" w:hAnsi="宋体"/>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pPr>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pPr>
        <w:spacing w:line="360" w:lineRule="auto"/>
        <w:ind w:firstLine="420" w:firstLineChars="200"/>
        <w:rPr>
          <w:rFonts w:ascii="宋体" w:hAnsi="宋体"/>
          <w:szCs w:val="21"/>
        </w:rPr>
      </w:pPr>
      <w:r>
        <w:rPr>
          <w:rFonts w:hint="eastAsia" w:ascii="宋体" w:hAnsi="宋体"/>
          <w:szCs w:val="21"/>
        </w:rPr>
        <w:t>3、供应商提供的货物既有中小企业制造货物，也有大型企业制造货物的，不享受中小企业扶持政策。</w:t>
      </w:r>
    </w:p>
    <w:p>
      <w:pPr>
        <w:pStyle w:val="5"/>
        <w:tabs>
          <w:tab w:val="left" w:pos="0"/>
        </w:tabs>
        <w:jc w:val="center"/>
        <w:rPr>
          <w:rFonts w:ascii="宋体" w:hAnsi="宋体" w:eastAsia="宋体"/>
        </w:rPr>
      </w:pPr>
      <w:r>
        <w:rPr>
          <w:rFonts w:hint="eastAsia" w:ascii="宋体" w:hAnsi="宋体" w:eastAsia="宋体"/>
        </w:rPr>
        <w:t>监狱企业声明函</w:t>
      </w:r>
    </w:p>
    <w:p>
      <w:pPr>
        <w:spacing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jc w:val="right"/>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jc w:val="right"/>
        <w:rPr>
          <w:rFonts w:ascii="宋体" w:hAnsi="宋体"/>
          <w:szCs w:val="21"/>
        </w:rPr>
      </w:pPr>
    </w:p>
    <w:p>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pPr>
        <w:spacing w:line="360" w:lineRule="auto"/>
        <w:ind w:left="723" w:hanging="723" w:hangingChars="300"/>
        <w:rPr>
          <w:b/>
          <w:sz w:val="24"/>
        </w:rPr>
      </w:pPr>
    </w:p>
    <w:p>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pPr>
        <w:pStyle w:val="5"/>
        <w:tabs>
          <w:tab w:val="left" w:pos="0"/>
        </w:tabs>
        <w:jc w:val="center"/>
        <w:rPr>
          <w:rFonts w:ascii="宋体" w:hAnsi="宋体" w:eastAsia="宋体"/>
        </w:rPr>
      </w:pPr>
      <w:r>
        <w:rPr>
          <w:rFonts w:hint="eastAsia" w:ascii="宋体" w:hAnsi="宋体" w:eastAsia="宋体"/>
        </w:rPr>
        <w:t>残疾人福利性单位声明函</w:t>
      </w: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pPr>
        <w:spacing w:line="360" w:lineRule="auto"/>
        <w:ind w:firstLine="420" w:firstLineChars="200"/>
        <w:jc w:val="right"/>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jc w:val="left"/>
        <w:rPr>
          <w:rFonts w:ascii="宋体" w:hAnsi="宋体"/>
          <w:szCs w:val="21"/>
        </w:rPr>
      </w:pPr>
      <w:r>
        <w:rPr>
          <w:rFonts w:hint="eastAsia" w:ascii="宋体" w:hAnsi="宋体"/>
          <w:szCs w:val="21"/>
        </w:rPr>
        <w:t xml:space="preserve">    备注：填写前请认真阅读《财政部、民政部、中国残疾人联合会关于促进残疾人就业政府采购政策的通知》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pPr>
        <w:pStyle w:val="5"/>
        <w:tabs>
          <w:tab w:val="left" w:pos="0"/>
        </w:tabs>
        <w:jc w:val="center"/>
        <w:rPr>
          <w:rFonts w:ascii="宋体" w:hAnsi="宋体" w:eastAsia="宋体"/>
        </w:rPr>
      </w:pPr>
      <w:r>
        <w:rPr>
          <w:rFonts w:hint="eastAsia" w:ascii="宋体" w:hAnsi="宋体" w:eastAsia="宋体"/>
        </w:rPr>
        <w:t>列入政府优先采购清单的投标产品一览表</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989"/>
        <w:gridCol w:w="1080"/>
        <w:gridCol w:w="1464"/>
        <w:gridCol w:w="1503"/>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restart"/>
            <w:vAlign w:val="center"/>
          </w:tcPr>
          <w:p>
            <w:pPr>
              <w:rPr>
                <w:b/>
                <w:szCs w:val="21"/>
              </w:rPr>
            </w:pPr>
            <w:r>
              <w:rPr>
                <w:rFonts w:hint="eastAsia"/>
                <w:b/>
                <w:szCs w:val="21"/>
              </w:rPr>
              <w:t>序号</w:t>
            </w:r>
          </w:p>
        </w:tc>
        <w:tc>
          <w:tcPr>
            <w:tcW w:w="1213" w:type="dxa"/>
            <w:vMerge w:val="restart"/>
            <w:vAlign w:val="center"/>
          </w:tcPr>
          <w:p>
            <w:pPr>
              <w:jc w:val="center"/>
              <w:rPr>
                <w:b/>
                <w:szCs w:val="21"/>
              </w:rPr>
            </w:pPr>
            <w:r>
              <w:rPr>
                <w:rFonts w:hint="eastAsia"/>
                <w:b/>
                <w:szCs w:val="21"/>
              </w:rPr>
              <w:t>投标产品名称</w:t>
            </w:r>
          </w:p>
        </w:tc>
        <w:tc>
          <w:tcPr>
            <w:tcW w:w="1840" w:type="dxa"/>
            <w:vMerge w:val="restart"/>
            <w:vAlign w:val="center"/>
          </w:tcPr>
          <w:p>
            <w:pPr>
              <w:jc w:val="center"/>
              <w:rPr>
                <w:b/>
                <w:szCs w:val="21"/>
              </w:rPr>
            </w:pPr>
            <w:r>
              <w:rPr>
                <w:rFonts w:hint="eastAsia"/>
                <w:b/>
                <w:szCs w:val="21"/>
              </w:rPr>
              <w:t>规格及型号</w:t>
            </w:r>
          </w:p>
        </w:tc>
        <w:tc>
          <w:tcPr>
            <w:tcW w:w="4351" w:type="dxa"/>
            <w:gridSpan w:val="4"/>
          </w:tcPr>
          <w:p>
            <w:pPr>
              <w:jc w:val="center"/>
              <w:rPr>
                <w:b/>
                <w:szCs w:val="21"/>
              </w:rPr>
            </w:pPr>
            <w:r>
              <w:rPr>
                <w:rFonts w:hint="eastAsia"/>
                <w:b/>
                <w:szCs w:val="21"/>
              </w:rPr>
              <w:t>该投标产品报价及占投标总价的比例</w:t>
            </w:r>
          </w:p>
        </w:tc>
        <w:tc>
          <w:tcPr>
            <w:tcW w:w="1503" w:type="dxa"/>
            <w:vMerge w:val="restart"/>
            <w:vAlign w:val="center"/>
          </w:tcPr>
          <w:p>
            <w:pPr>
              <w:rPr>
                <w:b/>
                <w:szCs w:val="21"/>
              </w:rPr>
            </w:pPr>
            <w:r>
              <w:rPr>
                <w:rFonts w:hint="eastAsia"/>
                <w:b/>
                <w:szCs w:val="21"/>
              </w:rPr>
              <w:t>属于优先采购清单的类别</w:t>
            </w:r>
          </w:p>
        </w:tc>
        <w:tc>
          <w:tcPr>
            <w:tcW w:w="720" w:type="dxa"/>
            <w:vMerge w:val="restart"/>
            <w:vAlign w:val="center"/>
          </w:tcPr>
          <w:p>
            <w:pP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pPr>
              <w:rPr>
                <w:szCs w:val="21"/>
              </w:rPr>
            </w:pPr>
          </w:p>
        </w:tc>
        <w:tc>
          <w:tcPr>
            <w:tcW w:w="1213" w:type="dxa"/>
            <w:vMerge w:val="continue"/>
            <w:vAlign w:val="center"/>
          </w:tcPr>
          <w:p>
            <w:pPr>
              <w:rPr>
                <w:szCs w:val="21"/>
              </w:rPr>
            </w:pPr>
          </w:p>
        </w:tc>
        <w:tc>
          <w:tcPr>
            <w:tcW w:w="1840" w:type="dxa"/>
            <w:vMerge w:val="continue"/>
            <w:vAlign w:val="center"/>
          </w:tcPr>
          <w:p>
            <w:pPr>
              <w:rPr>
                <w:szCs w:val="21"/>
              </w:rPr>
            </w:pPr>
          </w:p>
        </w:tc>
        <w:tc>
          <w:tcPr>
            <w:tcW w:w="818" w:type="dxa"/>
            <w:vAlign w:val="center"/>
          </w:tcPr>
          <w:p>
            <w:pPr>
              <w:rPr>
                <w:szCs w:val="21"/>
              </w:rPr>
            </w:pPr>
            <w:r>
              <w:rPr>
                <w:rFonts w:hint="eastAsia"/>
                <w:szCs w:val="21"/>
              </w:rPr>
              <w:t>数量</w:t>
            </w:r>
          </w:p>
        </w:tc>
        <w:tc>
          <w:tcPr>
            <w:tcW w:w="989" w:type="dxa"/>
            <w:vAlign w:val="center"/>
          </w:tcPr>
          <w:p>
            <w:pPr>
              <w:rPr>
                <w:szCs w:val="21"/>
              </w:rPr>
            </w:pPr>
            <w:r>
              <w:rPr>
                <w:rFonts w:hint="eastAsia"/>
                <w:szCs w:val="21"/>
              </w:rPr>
              <w:t>投标单价（元）</w:t>
            </w:r>
          </w:p>
        </w:tc>
        <w:tc>
          <w:tcPr>
            <w:tcW w:w="1080" w:type="dxa"/>
            <w:vAlign w:val="center"/>
          </w:tcPr>
          <w:p>
            <w:pPr>
              <w:rPr>
                <w:szCs w:val="21"/>
              </w:rPr>
            </w:pPr>
            <w:r>
              <w:rPr>
                <w:rFonts w:hint="eastAsia"/>
                <w:szCs w:val="21"/>
              </w:rPr>
              <w:t>投标合计报价（元）</w:t>
            </w:r>
          </w:p>
        </w:tc>
        <w:tc>
          <w:tcPr>
            <w:tcW w:w="1464" w:type="dxa"/>
            <w:vAlign w:val="center"/>
          </w:tcPr>
          <w:p>
            <w:pPr>
              <w:rPr>
                <w:szCs w:val="21"/>
              </w:rPr>
            </w:pPr>
            <w:r>
              <w:rPr>
                <w:rFonts w:hint="eastAsia"/>
                <w:szCs w:val="21"/>
              </w:rPr>
              <w:t>占投标总价的比例（%）</w:t>
            </w:r>
          </w:p>
        </w:tc>
        <w:tc>
          <w:tcPr>
            <w:tcW w:w="1503" w:type="dxa"/>
            <w:vMerge w:val="continue"/>
            <w:vAlign w:val="center"/>
          </w:tcPr>
          <w:p>
            <w:pPr>
              <w:rPr>
                <w:szCs w:val="21"/>
              </w:rPr>
            </w:pPr>
          </w:p>
        </w:tc>
        <w:tc>
          <w:tcPr>
            <w:tcW w:w="720"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rPr>
                <w:rFonts w:ascii="宋体" w:hAnsi="宋体"/>
                <w:szCs w:val="21"/>
              </w:rPr>
            </w:pPr>
            <w:r>
              <w:rPr>
                <w:rFonts w:hint="eastAsia" w:ascii="宋体" w:hAnsi="宋体"/>
                <w:szCs w:val="21"/>
              </w:rPr>
              <w:t>1</w:t>
            </w:r>
          </w:p>
        </w:tc>
        <w:tc>
          <w:tcPr>
            <w:tcW w:w="1213" w:type="dxa"/>
          </w:tcPr>
          <w:p>
            <w:pPr>
              <w:rPr>
                <w:szCs w:val="21"/>
              </w:rPr>
            </w:pPr>
          </w:p>
        </w:tc>
        <w:tc>
          <w:tcPr>
            <w:tcW w:w="1840" w:type="dxa"/>
          </w:tcPr>
          <w:p>
            <w:pPr>
              <w:rPr>
                <w:szCs w:val="21"/>
              </w:rPr>
            </w:pPr>
          </w:p>
        </w:tc>
        <w:tc>
          <w:tcPr>
            <w:tcW w:w="818" w:type="dxa"/>
          </w:tcPr>
          <w:p>
            <w:pPr>
              <w:rPr>
                <w:szCs w:val="21"/>
              </w:rPr>
            </w:pPr>
          </w:p>
        </w:tc>
        <w:tc>
          <w:tcPr>
            <w:tcW w:w="989" w:type="dxa"/>
          </w:tcPr>
          <w:p>
            <w:pPr>
              <w:rPr>
                <w:szCs w:val="21"/>
              </w:rPr>
            </w:pPr>
          </w:p>
        </w:tc>
        <w:tc>
          <w:tcPr>
            <w:tcW w:w="1080" w:type="dxa"/>
          </w:tcPr>
          <w:p>
            <w:pPr>
              <w:rPr>
                <w:szCs w:val="21"/>
              </w:rPr>
            </w:pPr>
          </w:p>
        </w:tc>
        <w:tc>
          <w:tcPr>
            <w:tcW w:w="1464" w:type="dxa"/>
          </w:tcPr>
          <w:p>
            <w:pPr>
              <w:rPr>
                <w:szCs w:val="21"/>
              </w:rPr>
            </w:pPr>
          </w:p>
        </w:tc>
        <w:tc>
          <w:tcPr>
            <w:tcW w:w="1503" w:type="dxa"/>
          </w:tcPr>
          <w:p>
            <w:pPr>
              <w:rPr>
                <w:szCs w:val="21"/>
              </w:rPr>
            </w:pPr>
          </w:p>
        </w:tc>
        <w:tc>
          <w:tcPr>
            <w:tcW w:w="720"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rPr>
                <w:rFonts w:ascii="宋体" w:hAnsi="宋体"/>
                <w:szCs w:val="21"/>
              </w:rPr>
            </w:pPr>
            <w:r>
              <w:rPr>
                <w:rFonts w:hint="eastAsia" w:ascii="宋体" w:hAnsi="宋体"/>
                <w:szCs w:val="21"/>
              </w:rPr>
              <w:t>2</w:t>
            </w:r>
          </w:p>
        </w:tc>
        <w:tc>
          <w:tcPr>
            <w:tcW w:w="1213" w:type="dxa"/>
          </w:tcPr>
          <w:p>
            <w:pPr>
              <w:rPr>
                <w:szCs w:val="21"/>
              </w:rPr>
            </w:pPr>
          </w:p>
        </w:tc>
        <w:tc>
          <w:tcPr>
            <w:tcW w:w="1840" w:type="dxa"/>
          </w:tcPr>
          <w:p>
            <w:pPr>
              <w:rPr>
                <w:szCs w:val="21"/>
              </w:rPr>
            </w:pPr>
          </w:p>
        </w:tc>
        <w:tc>
          <w:tcPr>
            <w:tcW w:w="818" w:type="dxa"/>
          </w:tcPr>
          <w:p>
            <w:pPr>
              <w:rPr>
                <w:szCs w:val="21"/>
              </w:rPr>
            </w:pPr>
          </w:p>
        </w:tc>
        <w:tc>
          <w:tcPr>
            <w:tcW w:w="989" w:type="dxa"/>
          </w:tcPr>
          <w:p>
            <w:pPr>
              <w:rPr>
                <w:szCs w:val="21"/>
              </w:rPr>
            </w:pPr>
          </w:p>
        </w:tc>
        <w:tc>
          <w:tcPr>
            <w:tcW w:w="1080" w:type="dxa"/>
          </w:tcPr>
          <w:p>
            <w:pPr>
              <w:rPr>
                <w:szCs w:val="21"/>
              </w:rPr>
            </w:pPr>
          </w:p>
        </w:tc>
        <w:tc>
          <w:tcPr>
            <w:tcW w:w="1464" w:type="dxa"/>
          </w:tcPr>
          <w:p>
            <w:pPr>
              <w:rPr>
                <w:szCs w:val="21"/>
              </w:rPr>
            </w:pPr>
          </w:p>
        </w:tc>
        <w:tc>
          <w:tcPr>
            <w:tcW w:w="1503" w:type="dxa"/>
          </w:tcPr>
          <w:p>
            <w:pPr>
              <w:rPr>
                <w:szCs w:val="21"/>
              </w:rPr>
            </w:pPr>
          </w:p>
        </w:tc>
        <w:tc>
          <w:tcPr>
            <w:tcW w:w="720" w:type="dxa"/>
          </w:tcPr>
          <w:p>
            <w:pPr>
              <w:rPr>
                <w:szCs w:val="21"/>
              </w:rPr>
            </w:pPr>
          </w:p>
        </w:tc>
      </w:tr>
    </w:tbl>
    <w:p>
      <w:pPr>
        <w:spacing w:line="360" w:lineRule="auto"/>
        <w:rPr>
          <w:szCs w:val="21"/>
        </w:rPr>
      </w:pPr>
      <w:r>
        <w:rPr>
          <w:rFonts w:hint="eastAsia"/>
          <w:szCs w:val="21"/>
        </w:rPr>
        <w:t>注</w:t>
      </w:r>
      <w:r>
        <w:rPr>
          <w:rFonts w:hint="eastAsia" w:ascii="宋体" w:hAnsi="宋体"/>
          <w:szCs w:val="21"/>
        </w:rPr>
        <w:t xml:space="preserve">：1. </w:t>
      </w:r>
      <w:r>
        <w:rPr>
          <w:rFonts w:hint="eastAsia"/>
          <w:szCs w:val="21"/>
        </w:rPr>
        <w:t>投标人的投标产品若不属于招标文件第四章“政府采购</w:t>
      </w:r>
      <w:r>
        <w:rPr>
          <w:rFonts w:hint="eastAsia"/>
          <w:bCs/>
          <w:szCs w:val="21"/>
        </w:rPr>
        <w:t>优惠政策”</w:t>
      </w:r>
      <w:r>
        <w:rPr>
          <w:rFonts w:hint="eastAsia"/>
          <w:szCs w:val="21"/>
        </w:rPr>
        <w:t>中所述清单或目录范围内，则无需填写该表。</w:t>
      </w:r>
    </w:p>
    <w:p>
      <w:pPr>
        <w:spacing w:line="360" w:lineRule="auto"/>
        <w:rPr>
          <w:rFonts w:ascii="宋体" w:hAnsi="宋体"/>
          <w:szCs w:val="21"/>
        </w:rPr>
      </w:pPr>
      <w:r>
        <w:rPr>
          <w:rFonts w:hint="eastAsia" w:ascii="宋体" w:hAnsi="宋体"/>
          <w:szCs w:val="21"/>
        </w:rPr>
        <w:t>2. “该投标产品报价及占投标总价的比例”栏中须准确填报该投标产品的投标单价、数量、投标合计报价及占</w:t>
      </w:r>
      <w:r>
        <w:rPr>
          <w:rFonts w:hint="eastAsia"/>
          <w:szCs w:val="21"/>
        </w:rPr>
        <w:t>投标总</w:t>
      </w:r>
      <w:r>
        <w:rPr>
          <w:rFonts w:hint="eastAsia" w:ascii="宋体" w:hAnsi="宋体"/>
          <w:szCs w:val="21"/>
        </w:rPr>
        <w:t>价的比例。</w:t>
      </w:r>
    </w:p>
    <w:p>
      <w:pPr>
        <w:spacing w:line="360" w:lineRule="auto"/>
        <w:rPr>
          <w:rFonts w:ascii="宋体" w:hAnsi="宋体"/>
          <w:szCs w:val="21"/>
        </w:rPr>
      </w:pPr>
      <w:r>
        <w:rPr>
          <w:rFonts w:hint="eastAsia" w:ascii="宋体" w:hAnsi="宋体"/>
          <w:szCs w:val="21"/>
        </w:rPr>
        <w:t>3. “属于优先采购清单的类别”栏中填写“《节能产品政府采购品目清单》”、“《环境标志产品政府采购品目清单》”（以</w:t>
      </w:r>
      <w:r>
        <w:rPr>
          <w:rFonts w:hint="eastAsia" w:ascii="宋体" w:hAnsi="宋体"/>
          <w:bCs/>
          <w:szCs w:val="21"/>
        </w:rPr>
        <w:t>中国政府采购网（http://www.ccgp.gov.cn/）最新一期查询结果为准</w:t>
      </w:r>
      <w:r>
        <w:rPr>
          <w:rFonts w:hint="eastAsia" w:ascii="宋体" w:hAnsi="宋体"/>
          <w:szCs w:val="21"/>
        </w:rPr>
        <w:t>）。</w:t>
      </w:r>
    </w:p>
    <w:p>
      <w:pPr>
        <w:spacing w:line="360" w:lineRule="auto"/>
        <w:jc w:val="left"/>
      </w:pPr>
      <w:r>
        <w:rPr>
          <w:rFonts w:hint="eastAsia" w:ascii="宋体" w:hAnsi="宋体"/>
          <w:b/>
          <w:szCs w:val="21"/>
        </w:rPr>
        <w:t>4. 对上表所列</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t xml:space="preserve">                                       </w:t>
      </w:r>
      <w:r>
        <w:rPr>
          <w:b/>
          <w:bCs/>
        </w:rPr>
        <w:t xml:space="preserve">  </w:t>
      </w: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left"/>
      </w:pPr>
    </w:p>
    <w:p>
      <w:pPr>
        <w:adjustRightInd w:val="0"/>
        <w:snapToGrid w:val="0"/>
        <w:spacing w:line="360" w:lineRule="auto"/>
        <w:ind w:firstLine="600"/>
        <w:jc w:val="left"/>
      </w:pPr>
    </w:p>
    <w:p>
      <w:pPr>
        <w:widowControl/>
        <w:jc w:val="left"/>
      </w:pPr>
      <w:r>
        <w:br w:type="page"/>
      </w:r>
    </w:p>
    <w:p>
      <w:pPr>
        <w:adjustRightInd w:val="0"/>
        <w:snapToGrid w:val="0"/>
        <w:spacing w:line="360" w:lineRule="auto"/>
        <w:ind w:firstLine="600"/>
        <w:jc w:val="left"/>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55" w:name="_Toc44691397"/>
      <w:bookmarkStart w:id="56" w:name="_Toc44690706"/>
      <w:bookmarkStart w:id="57" w:name="_Toc44691165"/>
      <w:bookmarkStart w:id="58" w:name="_Toc44690433"/>
      <w:r>
        <w:rPr>
          <w:rFonts w:hint="eastAsia" w:asciiTheme="minorEastAsia" w:hAnsiTheme="minorEastAsia" w:eastAsiaTheme="minorEastAsia"/>
          <w:sz w:val="24"/>
        </w:rPr>
        <w:t>格式5  开标一览表</w:t>
      </w:r>
      <w:bookmarkEnd w:id="55"/>
      <w:bookmarkEnd w:id="56"/>
      <w:bookmarkEnd w:id="57"/>
      <w:bookmarkEnd w:id="58"/>
    </w:p>
    <w:p>
      <w:pPr>
        <w:adjustRightInd w:val="0"/>
        <w:snapToGrid w:val="0"/>
        <w:spacing w:line="360" w:lineRule="auto"/>
        <w:rPr>
          <w:bCs/>
          <w:snapToGrid w:val="0"/>
          <w:kern w:val="0"/>
        </w:rPr>
      </w:pPr>
    </w:p>
    <w:p>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6"/>
        <w:gridCol w:w="4396"/>
        <w:gridCol w:w="226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976"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项目名称</w:t>
            </w:r>
          </w:p>
        </w:tc>
        <w:tc>
          <w:tcPr>
            <w:tcW w:w="4396"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pPr>
              <w:adjustRightInd w:val="0"/>
              <w:snapToGrid w:val="0"/>
              <w:spacing w:line="360" w:lineRule="auto"/>
              <w:jc w:val="center"/>
              <w:rPr>
                <w:snapToGrid w:val="0"/>
                <w:kern w:val="0"/>
              </w:rPr>
            </w:pPr>
            <w:r>
              <w:rPr>
                <w:snapToGrid w:val="0"/>
                <w:kern w:val="0"/>
              </w:rPr>
              <w:t>（人民币元）</w:t>
            </w:r>
          </w:p>
        </w:tc>
        <w:tc>
          <w:tcPr>
            <w:tcW w:w="2261"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rFonts w:hint="eastAsia"/>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2976" w:type="dxa"/>
            <w:tcBorders>
              <w:top w:val="single" w:color="auto" w:sz="4" w:space="0"/>
            </w:tcBorders>
            <w:vAlign w:val="center"/>
          </w:tcPr>
          <w:p>
            <w:pPr>
              <w:adjustRightInd w:val="0"/>
              <w:snapToGrid w:val="0"/>
              <w:spacing w:line="360" w:lineRule="auto"/>
              <w:jc w:val="center"/>
              <w:rPr>
                <w:rFonts w:hint="eastAsia" w:eastAsia="宋体"/>
                <w:lang w:eastAsia="zh-CN"/>
              </w:rPr>
            </w:pPr>
            <w:r>
              <w:rPr>
                <w:rFonts w:hint="eastAsia"/>
                <w:lang w:val="en-US" w:eastAsia="zh-CN"/>
              </w:rPr>
              <w:t xml:space="preserve"> </w:t>
            </w:r>
          </w:p>
        </w:tc>
        <w:tc>
          <w:tcPr>
            <w:tcW w:w="4396" w:type="dxa"/>
            <w:tcBorders>
              <w:top w:val="single" w:color="auto" w:sz="4" w:space="0"/>
            </w:tcBorders>
            <w:vAlign w:val="center"/>
          </w:tcPr>
          <w:p>
            <w:pPr>
              <w:adjustRightInd w:val="0"/>
              <w:snapToGrid w:val="0"/>
              <w:spacing w:line="360" w:lineRule="auto"/>
              <w:rPr>
                <w:snapToGrid w:val="0"/>
                <w:kern w:val="0"/>
                <w:u w:val="single"/>
              </w:rPr>
            </w:pPr>
            <w:r>
              <w:rPr>
                <w:snapToGrid w:val="0"/>
                <w:kern w:val="0"/>
              </w:rPr>
              <w:t>大写：</w:t>
            </w:r>
            <w:r>
              <w:rPr>
                <w:snapToGrid w:val="0"/>
                <w:kern w:val="0"/>
                <w:u w:val="single"/>
              </w:rPr>
              <w:t xml:space="preserve">                   </w:t>
            </w:r>
            <w:r>
              <w:rPr>
                <w:rFonts w:hint="eastAsia"/>
                <w:snapToGrid w:val="0"/>
                <w:kern w:val="0"/>
                <w:u w:val="single"/>
              </w:rPr>
              <w:t xml:space="preserve">             </w:t>
            </w:r>
          </w:p>
          <w:p>
            <w:pPr>
              <w:adjustRightInd w:val="0"/>
              <w:snapToGrid w:val="0"/>
              <w:spacing w:line="360" w:lineRule="auto"/>
              <w:rPr>
                <w:snapToGrid w:val="0"/>
                <w:kern w:val="0"/>
                <w:u w:val="single"/>
              </w:rPr>
            </w:pPr>
            <w:r>
              <w:rPr>
                <w:snapToGrid w:val="0"/>
                <w:kern w:val="0"/>
              </w:rPr>
              <w:t>小写：</w:t>
            </w:r>
            <w:r>
              <w:rPr>
                <w:snapToGrid w:val="0"/>
                <w:kern w:val="0"/>
                <w:u w:val="single"/>
              </w:rPr>
              <w:t xml:space="preserve">                   </w:t>
            </w:r>
            <w:r>
              <w:rPr>
                <w:rFonts w:hint="eastAsia"/>
                <w:snapToGrid w:val="0"/>
                <w:kern w:val="0"/>
                <w:u w:val="single"/>
              </w:rPr>
              <w:t xml:space="preserve">             </w:t>
            </w:r>
          </w:p>
        </w:tc>
        <w:tc>
          <w:tcPr>
            <w:tcW w:w="2261" w:type="dxa"/>
            <w:tcBorders>
              <w:top w:val="single" w:color="auto" w:sz="4" w:space="0"/>
            </w:tcBorders>
            <w:vAlign w:val="center"/>
          </w:tcPr>
          <w:p>
            <w:pPr>
              <w:adjustRightInd w:val="0"/>
              <w:snapToGrid w:val="0"/>
              <w:spacing w:line="360" w:lineRule="auto"/>
              <w:jc w:val="center"/>
              <w:rPr>
                <w:snapToGrid w:val="0"/>
                <w:kern w:val="0"/>
              </w:rPr>
            </w:pPr>
          </w:p>
        </w:tc>
      </w:tr>
    </w:tbl>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投标单位：（盖章）</w:t>
      </w:r>
    </w:p>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法定代表人或授权代表：（签字）</w:t>
      </w:r>
    </w:p>
    <w:p>
      <w:pPr>
        <w:adjustRightInd w:val="0"/>
        <w:snapToGrid w:val="0"/>
        <w:spacing w:line="360" w:lineRule="auto"/>
        <w:ind w:firstLine="6825" w:firstLineChars="3250"/>
        <w:rPr>
          <w:snapToGrid w:val="0"/>
          <w:kern w:val="0"/>
        </w:rPr>
      </w:pPr>
      <w:r>
        <w:rPr>
          <w:snapToGrid w:val="0"/>
          <w:kern w:val="0"/>
        </w:rPr>
        <w:t>年    月    日</w:t>
      </w:r>
    </w:p>
    <w:p>
      <w:pPr>
        <w:adjustRightInd w:val="0"/>
        <w:snapToGrid w:val="0"/>
        <w:spacing w:line="360" w:lineRule="auto"/>
        <w:ind w:firstLine="1050" w:firstLineChars="500"/>
        <w:rPr>
          <w:snapToGrid w:val="0"/>
          <w:kern w:val="0"/>
        </w:rPr>
      </w:pPr>
    </w:p>
    <w:p>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p>
    <w:p>
      <w:pPr>
        <w:adjustRightInd w:val="0"/>
        <w:spacing w:line="312" w:lineRule="auto"/>
        <w:ind w:left="2" w:firstLine="424" w:firstLineChars="202"/>
        <w:rPr>
          <w:rFonts w:ascii="宋体" w:hAnsi="宋体"/>
          <w:bCs/>
        </w:rPr>
      </w:pPr>
      <w:r>
        <w:rPr>
          <w:rFonts w:ascii="宋体" w:hAnsi="宋体"/>
          <w:bCs/>
        </w:rPr>
        <w:t>2、</w:t>
      </w:r>
      <w:r>
        <w:rPr>
          <w:rFonts w:hint="eastAsia" w:ascii="宋体" w:hAnsi="宋体"/>
          <w:bCs/>
        </w:rPr>
        <w:t>投标</w:t>
      </w:r>
      <w:r>
        <w:rPr>
          <w:rFonts w:hint="eastAsia"/>
          <w:snapToGrid w:val="0"/>
          <w:kern w:val="0"/>
        </w:rPr>
        <w:t>总</w:t>
      </w:r>
      <w:r>
        <w:rPr>
          <w:rFonts w:hint="eastAsia" w:ascii="宋体" w:hAnsi="宋体"/>
          <w:bCs/>
        </w:rPr>
        <w:t>价必须是完成该项目的一切费用总和，包括设备费、运输费、装卸费、安装费、调试费、保险费、技术培训费、售后服务费、国家规定的各项税费等全部费用。</w:t>
      </w:r>
    </w:p>
    <w:p>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pPr>
        <w:adjustRightInd w:val="0"/>
        <w:spacing w:line="312" w:lineRule="auto"/>
        <w:ind w:firstLine="437"/>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pPr>
        <w:pStyle w:val="28"/>
        <w:adjustRightInd w:val="0"/>
        <w:snapToGrid w:val="0"/>
        <w:spacing w:line="312" w:lineRule="auto"/>
        <w:jc w:val="center"/>
        <w:rPr>
          <w:rFonts w:ascii="Times New Roman" w:hAnsi="Times New Roman"/>
          <w:b/>
          <w:sz w:val="28"/>
        </w:rPr>
      </w:pPr>
    </w:p>
    <w:p/>
    <w:p/>
    <w:p/>
    <w:p/>
    <w:p>
      <w:pPr>
        <w:widowControl/>
        <w:jc w:val="left"/>
      </w:pPr>
      <w:r>
        <w:br w:type="page"/>
      </w:r>
    </w:p>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59" w:name="_Toc44690434"/>
      <w:bookmarkStart w:id="60" w:name="_Toc44691398"/>
      <w:bookmarkStart w:id="61" w:name="_Toc44690707"/>
      <w:bookmarkStart w:id="62" w:name="_Toc44691166"/>
      <w:r>
        <w:rPr>
          <w:rFonts w:hint="eastAsia" w:asciiTheme="minorEastAsia" w:hAnsiTheme="minorEastAsia" w:eastAsiaTheme="minorEastAsia"/>
          <w:sz w:val="24"/>
        </w:rPr>
        <w:t>格式6  报价表</w:t>
      </w:r>
      <w:bookmarkEnd w:id="59"/>
      <w:bookmarkEnd w:id="60"/>
      <w:bookmarkEnd w:id="61"/>
      <w:bookmarkEnd w:id="62"/>
    </w:p>
    <w:p>
      <w:pPr>
        <w:spacing w:line="300" w:lineRule="auto"/>
        <w:rPr>
          <w:rFonts w:ascii="楷体_GB2312" w:eastAsia="楷体_GB2312"/>
          <w:b/>
          <w:sz w:val="24"/>
        </w:rPr>
      </w:pPr>
      <w:r>
        <w:rPr>
          <w:rFonts w:hint="eastAsia" w:ascii="楷体_GB2312" w:eastAsia="楷体_GB2312"/>
          <w:b/>
          <w:sz w:val="24"/>
        </w:rPr>
        <w:t>1   报价要求</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报价包括</w:t>
      </w:r>
      <w:r>
        <w:rPr>
          <w:rFonts w:hint="eastAsia" w:asciiTheme="minorEastAsia" w:hAnsiTheme="minorEastAsia" w:eastAsiaTheme="minorEastAsia"/>
          <w:bCs/>
        </w:rPr>
        <w:t>设备费、运输费、装卸费、安装费、调试费、保险费、技术培训费、售后服务费、国家规定的各项税费等全部费用</w:t>
      </w:r>
      <w:r>
        <w:rPr>
          <w:rFonts w:hint="eastAsia" w:asciiTheme="minorEastAsia" w:hAnsiTheme="minorEastAsia" w:eastAsiaTheme="minorEastAsia"/>
          <w:snapToGrid w:val="0"/>
          <w:kern w:val="0"/>
        </w:rPr>
        <w:t>。</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“分项价格表”应将所有设备报价，并分别列出“品牌、型号、产地及制造厂商”。</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1.4  此表应经法定代表人或授权委托人签名，并加盖公章。</w:t>
      </w:r>
    </w:p>
    <w:p>
      <w:pPr>
        <w:adjustRightInd w:val="0"/>
        <w:snapToGrid w:val="0"/>
        <w:spacing w:line="300" w:lineRule="auto"/>
        <w:rPr>
          <w:snapToGrid w:val="0"/>
          <w:kern w:val="0"/>
        </w:rPr>
      </w:pPr>
    </w:p>
    <w:p>
      <w:pPr>
        <w:spacing w:line="300" w:lineRule="auto"/>
        <w:rPr>
          <w:rFonts w:eastAsia="楷体_GB2312"/>
          <w:b/>
          <w:sz w:val="24"/>
        </w:rPr>
      </w:pPr>
      <w:r>
        <w:rPr>
          <w:rFonts w:hint="eastAsia" w:eastAsia="楷体_GB2312"/>
          <w:b/>
          <w:sz w:val="24"/>
        </w:rPr>
        <w:t>2   报价表</w:t>
      </w:r>
    </w:p>
    <w:p>
      <w:pPr>
        <w:adjustRightInd w:val="0"/>
        <w:snapToGrid w:val="0"/>
        <w:spacing w:line="300" w:lineRule="auto"/>
        <w:rPr>
          <w:snapToGrid w:val="0"/>
          <w:kern w:val="0"/>
        </w:rPr>
      </w:pPr>
    </w:p>
    <w:p>
      <w:pPr>
        <w:adjustRightInd w:val="0"/>
        <w:snapToGrid w:val="0"/>
        <w:spacing w:line="300" w:lineRule="auto"/>
        <w:jc w:val="center"/>
        <w:rPr>
          <w:rFonts w:asciiTheme="minorEastAsia" w:hAnsiTheme="minorEastAsia" w:eastAsiaTheme="minorEastAsia"/>
          <w:bCs/>
          <w:snapToGrid w:val="0"/>
          <w:kern w:val="0"/>
          <w:sz w:val="24"/>
          <w:u w:val="single"/>
        </w:rPr>
      </w:pPr>
      <w:r>
        <w:rPr>
          <w:rFonts w:hint="eastAsia" w:asciiTheme="minorEastAsia" w:hAnsiTheme="minorEastAsia" w:eastAsiaTheme="minorEastAsia"/>
          <w:snapToGrid w:val="0"/>
          <w:kern w:val="0"/>
          <w:sz w:val="24"/>
        </w:rPr>
        <w:t>（一）</w:t>
      </w:r>
      <w:r>
        <w:rPr>
          <w:rFonts w:hint="eastAsia" w:asciiTheme="minorEastAsia" w:hAnsiTheme="minorEastAsia" w:eastAsiaTheme="minorEastAsia"/>
          <w:bCs/>
          <w:snapToGrid w:val="0"/>
          <w:kern w:val="0"/>
          <w:sz w:val="24"/>
        </w:rPr>
        <w:t>报价总表</w:t>
      </w:r>
    </w:p>
    <w:p>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r>
        <w:rPr>
          <w:rFonts w:hint="eastAsia" w:asciiTheme="minorEastAsia" w:hAnsiTheme="minorEastAsia" w:eastAsiaTheme="minorEastAsia"/>
          <w:bCs/>
          <w:snapToGrid w:val="0"/>
          <w:kern w:val="0"/>
          <w:u w:val="single"/>
        </w:rPr>
        <w:t xml:space="preserve">               </w:t>
      </w:r>
    </w:p>
    <w:p>
      <w:pPr>
        <w:adjustRightInd w:val="0"/>
        <w:snapToGrid w:val="0"/>
        <w:spacing w:line="300" w:lineRule="auto"/>
        <w:rPr>
          <w:rFonts w:asciiTheme="minorEastAsia" w:hAnsiTheme="minorEastAsia" w:eastAsiaTheme="minorEastAsia"/>
          <w:bCs/>
          <w:snapToGrid w:val="0"/>
          <w:kern w:val="0"/>
        </w:rPr>
      </w:pPr>
      <w:r>
        <w:rPr>
          <w:rFonts w:hint="eastAsia" w:asciiTheme="minorEastAsia" w:hAnsiTheme="minorEastAsia" w:eastAsiaTheme="minorEastAsia"/>
          <w:bCs/>
          <w:snapToGrid w:val="0"/>
          <w:kern w:val="0"/>
        </w:rPr>
        <w:t>项目编号：</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p>
    <w:tbl>
      <w:tblPr>
        <w:tblStyle w:val="50"/>
        <w:tblW w:w="1051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4939"/>
        <w:gridCol w:w="483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序号</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名称</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总价（单位：元）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设备费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运输费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3</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装卸费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安装费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调试费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6</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保险费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技术培训费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售后服务费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国家规定的各项税费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其它</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5" w:type="dxa"/>
            <w:gridSpan w:val="2"/>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   计</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bl>
    <w:p>
      <w:pPr>
        <w:rPr>
          <w:rFonts w:asciiTheme="minorEastAsia" w:hAnsiTheme="minorEastAsia" w:eastAsiaTheme="minorEastAsia"/>
          <w:szCs w:val="21"/>
        </w:rPr>
      </w:pPr>
      <w:r>
        <w:rPr>
          <w:rFonts w:hint="eastAsia" w:asciiTheme="minorEastAsia" w:hAnsiTheme="minorEastAsia" w:eastAsiaTheme="minorEastAsia"/>
          <w:szCs w:val="21"/>
        </w:rPr>
        <w:t>备注：1、</w:t>
      </w:r>
      <w:r>
        <w:rPr>
          <w:rFonts w:hint="eastAsia" w:asciiTheme="minorEastAsia" w:hAnsiTheme="minorEastAsia" w:eastAsiaTheme="minorEastAsia"/>
          <w:bCs/>
          <w:szCs w:val="21"/>
        </w:rPr>
        <w:t>本表格仅为指导性范本，供应商可根据项目具体情况对各分项内容进行调整。</w:t>
      </w:r>
    </w:p>
    <w:p>
      <w:pPr>
        <w:adjustRightInd w:val="0"/>
        <w:jc w:val="left"/>
        <w:rPr>
          <w:rFonts w:asciiTheme="minorEastAsia" w:hAnsiTheme="minorEastAsia" w:eastAsiaTheme="minorEastAsia"/>
          <w:snapToGrid w:val="0"/>
          <w:kern w:val="0"/>
          <w:szCs w:val="21"/>
        </w:rPr>
      </w:pPr>
      <w:r>
        <w:rPr>
          <w:rFonts w:hint="eastAsia" w:asciiTheme="minorEastAsia" w:hAnsiTheme="minorEastAsia" w:eastAsiaTheme="minorEastAsia"/>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Theme="minorEastAsia" w:hAnsiTheme="minorEastAsia" w:eastAsiaTheme="minorEastAsia"/>
          <w:szCs w:val="21"/>
        </w:rPr>
        <w:t>。</w:t>
      </w:r>
    </w:p>
    <w:p>
      <w:pPr>
        <w:adjustRightInd w:val="0"/>
        <w:snapToGrid w:val="0"/>
        <w:spacing w:line="300" w:lineRule="auto"/>
        <w:rPr>
          <w:rFonts w:asciiTheme="minorEastAsia" w:hAnsiTheme="minorEastAsia" w:eastAsiaTheme="minorEastAsia"/>
          <w:snapToGrid w:val="0"/>
          <w:kern w:val="0"/>
        </w:rPr>
      </w:pPr>
    </w:p>
    <w:p>
      <w:pPr>
        <w:adjustRightInd w:val="0"/>
        <w:snapToGrid w:val="0"/>
        <w:spacing w:line="300" w:lineRule="auto"/>
        <w:jc w:val="center"/>
        <w:rPr>
          <w:rFonts w:asciiTheme="minorEastAsia" w:hAnsiTheme="minorEastAsia" w:eastAsiaTheme="minorEastAsia"/>
          <w:bCs/>
        </w:rPr>
      </w:pPr>
      <w:r>
        <w:rPr>
          <w:rFonts w:hint="eastAsia" w:asciiTheme="minorEastAsia" w:hAnsiTheme="minorEastAsia" w:eastAsiaTheme="minorEastAsia"/>
          <w:snapToGrid w:val="0"/>
          <w:kern w:val="0"/>
          <w:sz w:val="24"/>
        </w:rPr>
        <w:t>（二）</w:t>
      </w:r>
      <w:r>
        <w:rPr>
          <w:rFonts w:asciiTheme="minorEastAsia" w:hAnsiTheme="minorEastAsia" w:eastAsiaTheme="minorEastAsia"/>
          <w:snapToGrid w:val="0"/>
          <w:kern w:val="0"/>
          <w:sz w:val="24"/>
        </w:rPr>
        <w:t>分项价格表</w:t>
      </w:r>
    </w:p>
    <w:p>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r>
        <w:rPr>
          <w:rFonts w:hint="eastAsia" w:asciiTheme="minorEastAsia" w:hAnsiTheme="minorEastAsia" w:eastAsiaTheme="minorEastAsia"/>
          <w:bCs/>
          <w:snapToGrid w:val="0"/>
          <w:kern w:val="0"/>
          <w:u w:val="single"/>
        </w:rPr>
        <w:t xml:space="preserve">               </w:t>
      </w:r>
    </w:p>
    <w:p>
      <w:pPr>
        <w:adjustRightInd w:val="0"/>
        <w:snapToGrid w:val="0"/>
        <w:spacing w:line="300" w:lineRule="auto"/>
        <w:rPr>
          <w:rFonts w:asciiTheme="minorEastAsia" w:hAnsiTheme="minorEastAsia" w:eastAsiaTheme="minorEastAsia"/>
          <w:snapToGrid w:val="0"/>
          <w:kern w:val="0"/>
          <w:sz w:val="24"/>
        </w:rPr>
      </w:pPr>
      <w:r>
        <w:rPr>
          <w:rFonts w:hint="eastAsia" w:asciiTheme="minorEastAsia" w:hAnsiTheme="minorEastAsia" w:eastAsiaTheme="minorEastAsia"/>
          <w:bCs/>
          <w:snapToGrid w:val="0"/>
          <w:kern w:val="0"/>
        </w:rPr>
        <w:t>项目编号：</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r>
        <w:rPr>
          <w:rFonts w:asciiTheme="minorEastAsia" w:hAnsiTheme="minorEastAsia" w:eastAsiaTheme="minorEastAsia"/>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821"/>
        <w:gridCol w:w="709"/>
        <w:gridCol w:w="851"/>
        <w:gridCol w:w="1417"/>
        <w:gridCol w:w="992"/>
        <w:gridCol w:w="709"/>
        <w:gridCol w:w="873"/>
        <w:gridCol w:w="1276"/>
        <w:gridCol w:w="124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序号</w:t>
            </w:r>
          </w:p>
        </w:tc>
        <w:tc>
          <w:tcPr>
            <w:tcW w:w="1821"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货物</w:t>
            </w:r>
            <w:r>
              <w:rPr>
                <w:rFonts w:asciiTheme="minorEastAsia" w:hAnsiTheme="minorEastAsia" w:eastAsiaTheme="minorEastAsia"/>
                <w:snapToGrid w:val="0"/>
                <w:kern w:val="0"/>
              </w:rPr>
              <w:t>名称</w:t>
            </w: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品牌</w:t>
            </w: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zCs w:val="21"/>
              </w:rPr>
              <w:t>规格/型号</w:t>
            </w: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制造厂商</w:t>
            </w: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原产地</w:t>
            </w: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数量</w:t>
            </w:r>
          </w:p>
        </w:tc>
        <w:tc>
          <w:tcPr>
            <w:tcW w:w="873"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单价</w:t>
            </w:r>
          </w:p>
        </w:tc>
        <w:tc>
          <w:tcPr>
            <w:tcW w:w="127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w:t>
            </w:r>
            <w:r>
              <w:rPr>
                <w:rFonts w:asciiTheme="minorEastAsia" w:hAnsiTheme="minorEastAsia" w:eastAsiaTheme="minorEastAsia"/>
                <w:snapToGrid w:val="0"/>
                <w:kern w:val="0"/>
              </w:rPr>
              <w:t>价</w:t>
            </w:r>
          </w:p>
        </w:tc>
        <w:tc>
          <w:tcPr>
            <w:tcW w:w="1248" w:type="dxa"/>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是否为进口产品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276"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2</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276"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276"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4</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276"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276"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6</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276"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7</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276"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8</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276"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9</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276"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w:t>
            </w:r>
          </w:p>
        </w:tc>
        <w:tc>
          <w:tcPr>
            <w:tcW w:w="1821" w:type="dxa"/>
            <w:vAlign w:val="center"/>
          </w:tcPr>
          <w:p>
            <w:pPr>
              <w:widowControl/>
              <w:spacing w:line="360" w:lineRule="auto"/>
              <w:jc w:val="center"/>
              <w:rPr>
                <w:rFonts w:cs="Arial"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73"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276"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65" w:type="dxa"/>
            <w:gridSpan w:val="10"/>
            <w:vAlign w:val="center"/>
          </w:tcPr>
          <w:p>
            <w:pPr>
              <w:adjustRightInd w:val="0"/>
              <w:snapToGrid w:val="0"/>
              <w:spacing w:line="300" w:lineRule="auto"/>
              <w:jc w:val="left"/>
              <w:rPr>
                <w:rFonts w:asciiTheme="minorEastAsia" w:hAnsiTheme="minorEastAsia" w:eastAsiaTheme="minorEastAsia"/>
                <w:snapToGrid w:val="0"/>
                <w:kern w:val="0"/>
              </w:rPr>
            </w:pPr>
            <w:r>
              <w:rPr>
                <w:rFonts w:hint="eastAsia" w:asciiTheme="minorEastAsia" w:hAnsiTheme="minorEastAsia" w:eastAsiaTheme="minorEastAsia"/>
                <w:sz w:val="24"/>
              </w:rPr>
              <w:t>总计（即投标总价；币种：人民币；单位：元）：</w:t>
            </w:r>
          </w:p>
        </w:tc>
      </w:tr>
    </w:tbl>
    <w:p>
      <w:pPr>
        <w:rPr>
          <w:rFonts w:asciiTheme="minorEastAsia" w:hAnsiTheme="minorEastAsia" w:eastAsiaTheme="minorEastAsia"/>
        </w:rPr>
      </w:pPr>
      <w:r>
        <w:rPr>
          <w:rFonts w:hint="eastAsia" w:asciiTheme="minorEastAsia" w:hAnsiTheme="minorEastAsia" w:eastAsiaTheme="minorEastAsia"/>
          <w:snapToGrid w:val="0"/>
          <w:kern w:val="0"/>
        </w:rPr>
        <w:t>注：</w:t>
      </w:r>
      <w:r>
        <w:rPr>
          <w:rFonts w:hint="eastAsia" w:asciiTheme="minorEastAsia" w:hAnsiTheme="minorEastAsia" w:eastAsiaTheme="minorEastAsia"/>
        </w:rPr>
        <w:t>1. 本表</w:t>
      </w:r>
      <w:r>
        <w:rPr>
          <w:rFonts w:asciiTheme="minorEastAsia" w:hAnsiTheme="minorEastAsia" w:eastAsiaTheme="minorEastAsia"/>
        </w:rPr>
        <w:t>应</w:t>
      </w:r>
      <w:r>
        <w:rPr>
          <w:rFonts w:hint="eastAsia" w:asciiTheme="minorEastAsia" w:hAnsiTheme="minorEastAsia" w:eastAsiaTheme="minorEastAsia"/>
        </w:rPr>
        <w:t>根据</w:t>
      </w:r>
      <w:r>
        <w:rPr>
          <w:rFonts w:hint="eastAsia" w:ascii="宋体" w:hAnsi="宋体" w:cs="Arial"/>
          <w:bCs/>
          <w:szCs w:val="21"/>
        </w:rPr>
        <w:t>招标文件第二章《项目需求》中</w:t>
      </w:r>
      <w:r>
        <w:rPr>
          <w:rFonts w:hint="eastAsia" w:asciiTheme="minorEastAsia" w:hAnsiTheme="minorEastAsia" w:eastAsiaTheme="minorEastAsia"/>
        </w:rPr>
        <w:t>“一、采购范围”的</w:t>
      </w:r>
      <w:r>
        <w:rPr>
          <w:rFonts w:hint="eastAsia" w:asciiTheme="minorEastAsia" w:hAnsiTheme="minorEastAsia" w:eastAsiaTheme="minorEastAsia"/>
          <w:b/>
          <w:szCs w:val="21"/>
        </w:rPr>
        <w:t>“（二）货物清单明细”</w:t>
      </w:r>
      <w:r>
        <w:rPr>
          <w:rFonts w:hint="eastAsia" w:asciiTheme="minorEastAsia" w:hAnsiTheme="minorEastAsia" w:eastAsiaTheme="minorEastAsia"/>
        </w:rPr>
        <w:t>填写</w:t>
      </w:r>
      <w:r>
        <w:rPr>
          <w:rFonts w:asciiTheme="minorEastAsia" w:hAnsiTheme="minorEastAsia" w:eastAsiaTheme="minorEastAsia"/>
        </w:rPr>
        <w:t>，</w:t>
      </w:r>
      <w:r>
        <w:rPr>
          <w:rFonts w:hint="eastAsia" w:asciiTheme="minorEastAsia" w:hAnsiTheme="minorEastAsia" w:eastAsiaTheme="minorEastAsia"/>
          <w:b/>
        </w:rPr>
        <w:t>本表格式不得修改</w:t>
      </w:r>
      <w:r>
        <w:rPr>
          <w:rFonts w:hint="eastAsia" w:asciiTheme="minorEastAsia" w:hAnsiTheme="minorEastAsia" w:eastAsiaTheme="minorEastAsia"/>
        </w:rPr>
        <w:t>（续行除外）。</w:t>
      </w:r>
      <w:r>
        <w:rPr>
          <w:rFonts w:hint="eastAsia" w:asciiTheme="minorEastAsia" w:hAnsiTheme="minorEastAsia" w:eastAsiaTheme="minorEastAsia"/>
          <w:b/>
        </w:rPr>
        <w:t>对于定制类产品，可以不填写品牌、型号等信息，但必须注明“定制”，否则该产品技术参数按负偏离处理</w:t>
      </w:r>
      <w:r>
        <w:rPr>
          <w:rFonts w:asciiTheme="minorEastAsia" w:hAnsiTheme="minorEastAsia" w:eastAsiaTheme="minorEastAsia"/>
          <w:b/>
        </w:rPr>
        <w:t>。</w:t>
      </w:r>
    </w:p>
    <w:p>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2、投标人必须对照进口产品的规定明确其投标产品是否为进口产品。</w:t>
      </w:r>
    </w:p>
    <w:p>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3、投标总价应为以上各分项价格之和；投标总价和表中单个采购条目报价均不得超过对应的财政预算限额，否则将导致无效投标。</w:t>
      </w:r>
    </w:p>
    <w:p>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4、开标一览表中的投标</w:t>
      </w:r>
      <w:r>
        <w:rPr>
          <w:rFonts w:hint="eastAsia"/>
          <w:snapToGrid w:val="0"/>
          <w:kern w:val="0"/>
        </w:rPr>
        <w:t>总</w:t>
      </w:r>
      <w:r>
        <w:rPr>
          <w:rFonts w:hint="eastAsia" w:asciiTheme="minorEastAsia" w:hAnsiTheme="minorEastAsia" w:eastAsiaTheme="minorEastAsia"/>
        </w:rPr>
        <w:t>价应与本表中的投标总价金额一致。</w:t>
      </w:r>
    </w:p>
    <w:p>
      <w:pPr>
        <w:adjustRightInd w:val="0"/>
        <w:snapToGrid w:val="0"/>
        <w:spacing w:line="300" w:lineRule="auto"/>
        <w:rPr>
          <w:rFonts w:asciiTheme="minorEastAsia" w:hAnsiTheme="minorEastAsia" w:eastAsiaTheme="minorEastAsia"/>
          <w:snapToGrid w:val="0"/>
          <w:kern w:val="0"/>
        </w:rPr>
      </w:pPr>
      <w:r>
        <w:rPr>
          <w:rFonts w:hint="eastAsia" w:asciiTheme="minorEastAsia" w:hAnsiTheme="minorEastAsia" w:eastAsiaTheme="minorEastAsia"/>
        </w:rPr>
        <w:t>5、“原产地”是指该产品的实际生产加工地，而非品牌总公司所在地。</w:t>
      </w:r>
    </w:p>
    <w:p>
      <w:pPr>
        <w:adjustRightInd w:val="0"/>
        <w:snapToGrid w:val="0"/>
        <w:spacing w:line="300" w:lineRule="auto"/>
        <w:jc w:val="center"/>
        <w:rPr>
          <w:rFonts w:asciiTheme="minorEastAsia" w:hAnsiTheme="minorEastAsia" w:eastAsiaTheme="minorEastAsia"/>
          <w:snapToGrid w:val="0"/>
          <w:kern w:val="0"/>
        </w:rPr>
      </w:pPr>
    </w:p>
    <w:p>
      <w:pPr>
        <w:adjustRightInd w:val="0"/>
        <w:snapToGrid w:val="0"/>
        <w:spacing w:line="300" w:lineRule="auto"/>
        <w:jc w:val="center"/>
        <w:rPr>
          <w:rFonts w:asciiTheme="minorEastAsia" w:hAnsiTheme="minorEastAsia" w:eastAsiaTheme="minorEastAsia"/>
          <w:snapToGrid w:val="0"/>
          <w:kern w:val="0"/>
        </w:rPr>
      </w:pPr>
    </w:p>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（三）</w:t>
      </w:r>
      <w:r>
        <w:rPr>
          <w:rFonts w:hint="eastAsia" w:asciiTheme="minorEastAsia" w:hAnsiTheme="minorEastAsia" w:eastAsiaTheme="minorEastAsia"/>
          <w:bCs/>
          <w:sz w:val="24"/>
        </w:rPr>
        <w:t>供应商认为需要涉及的其他内容报价清单</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
    <w:p/>
    <w:p>
      <w:pPr>
        <w:widowControl/>
        <w:jc w:val="left"/>
      </w:pPr>
      <w:r>
        <w:br w:type="page"/>
      </w:r>
    </w:p>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63" w:name="_Toc44691399"/>
      <w:bookmarkStart w:id="64" w:name="_Toc44691167"/>
      <w:bookmarkStart w:id="65" w:name="_Toc44690435"/>
      <w:bookmarkStart w:id="66" w:name="_Toc44690708"/>
      <w:r>
        <w:rPr>
          <w:rFonts w:hint="eastAsia" w:asciiTheme="minorEastAsia" w:hAnsiTheme="minorEastAsia" w:eastAsiaTheme="minorEastAsia"/>
          <w:sz w:val="24"/>
        </w:rPr>
        <w:t>格式7  技术规格</w:t>
      </w:r>
      <w:bookmarkEnd w:id="63"/>
      <w:bookmarkEnd w:id="64"/>
      <w:bookmarkEnd w:id="65"/>
      <w:bookmarkEnd w:id="66"/>
    </w:p>
    <w:p>
      <w:pPr>
        <w:pStyle w:val="7"/>
      </w:pPr>
    </w:p>
    <w:p>
      <w:pPr>
        <w:spacing w:line="360" w:lineRule="auto"/>
        <w:ind w:left="420"/>
        <w:rPr>
          <w:rFonts w:ascii="宋体" w:hAnsi="宋体"/>
        </w:rPr>
      </w:pPr>
      <w:r>
        <w:rPr>
          <w:rFonts w:hint="eastAsia" w:ascii="宋体" w:hAnsi="宋体"/>
        </w:rPr>
        <w:t>1、对投标产品的整体描述（包括采用文字、表格等形式）</w:t>
      </w:r>
    </w:p>
    <w:p>
      <w:pPr>
        <w:spacing w:line="360" w:lineRule="auto"/>
        <w:ind w:left="420"/>
        <w:rPr>
          <w:rFonts w:ascii="宋体" w:hAnsi="宋体"/>
        </w:rPr>
      </w:pPr>
      <w:r>
        <w:rPr>
          <w:rFonts w:hint="eastAsia" w:ascii="宋体" w:hAnsi="宋体"/>
        </w:rPr>
        <w:t>2、投标产品采用的技术标准</w:t>
      </w:r>
    </w:p>
    <w:p>
      <w:pPr>
        <w:spacing w:line="360" w:lineRule="auto"/>
        <w:ind w:left="420"/>
        <w:rPr>
          <w:rFonts w:ascii="宋体" w:hAnsi="宋体"/>
        </w:rPr>
      </w:pPr>
      <w:r>
        <w:rPr>
          <w:rFonts w:hint="eastAsia" w:ascii="宋体" w:hAnsi="宋体"/>
        </w:rPr>
        <w:t>3、投标产品的性能特点（包括新技术、新工艺、新材料的应用等）</w:t>
      </w:r>
    </w:p>
    <w:p>
      <w:pPr>
        <w:spacing w:line="360" w:lineRule="auto"/>
        <w:ind w:left="420"/>
        <w:rPr>
          <w:rFonts w:ascii="宋体" w:hAnsi="宋体"/>
        </w:rPr>
      </w:pPr>
      <w:r>
        <w:rPr>
          <w:rFonts w:hint="eastAsia" w:ascii="宋体" w:hAnsi="宋体"/>
        </w:rPr>
        <w:t>4、投标产品的外形尺寸图、成品的彩色图样等</w:t>
      </w:r>
    </w:p>
    <w:p>
      <w:pPr>
        <w:spacing w:line="360" w:lineRule="auto"/>
        <w:ind w:left="420"/>
        <w:rPr>
          <w:rFonts w:ascii="宋体" w:hAnsi="宋体"/>
        </w:rPr>
      </w:pPr>
      <w:r>
        <w:rPr>
          <w:rFonts w:hint="eastAsia" w:ascii="宋体" w:hAnsi="宋体"/>
        </w:rPr>
        <w:t>5、投标产品的说明书等</w:t>
      </w:r>
    </w:p>
    <w:p>
      <w:pPr>
        <w:spacing w:line="360" w:lineRule="auto"/>
        <w:ind w:left="420"/>
        <w:rPr>
          <w:rFonts w:ascii="宋体" w:hAnsi="宋体"/>
        </w:rPr>
      </w:pPr>
      <w:r>
        <w:rPr>
          <w:rFonts w:hint="eastAsia" w:ascii="宋体" w:hAnsi="宋体"/>
        </w:rPr>
        <w:t>6、其它</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widowControl/>
        <w:jc w:val="left"/>
        <w:rPr>
          <w:b/>
          <w:szCs w:val="21"/>
        </w:rPr>
      </w:pPr>
      <w:r>
        <w:rPr>
          <w:b/>
          <w:szCs w:val="21"/>
        </w:rPr>
        <w:br w:type="page"/>
      </w:r>
    </w:p>
    <w:p>
      <w:pPr>
        <w:pStyle w:val="28"/>
        <w:adjustRightInd w:val="0"/>
        <w:snapToGrid w:val="0"/>
        <w:spacing w:line="312" w:lineRule="auto"/>
        <w:jc w:val="left"/>
        <w:rPr>
          <w:rFonts w:ascii="Times New Roman" w:hAnsi="Times New Roman"/>
          <w:b/>
          <w:sz w:val="21"/>
          <w:szCs w:val="21"/>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asciiTheme="minorEastAsia" w:hAnsiTheme="minorEastAsia" w:eastAsiaTheme="minorEastAsia"/>
          <w:sz w:val="24"/>
        </w:rPr>
        <w:t>格式</w:t>
      </w:r>
      <w:r>
        <w:rPr>
          <w:rFonts w:hint="eastAsia" w:asciiTheme="minorEastAsia" w:hAnsiTheme="minorEastAsia" w:eastAsiaTheme="minorEastAsia"/>
          <w:sz w:val="24"/>
        </w:rPr>
        <w:t>8</w:t>
      </w:r>
      <w:r>
        <w:rPr>
          <w:rFonts w:asciiTheme="minorEastAsia" w:hAnsiTheme="minorEastAsia" w:eastAsiaTheme="minorEastAsia"/>
          <w:sz w:val="24"/>
        </w:rPr>
        <w:t xml:space="preserve">  交付进度</w:t>
      </w:r>
    </w:p>
    <w:p/>
    <w:p>
      <w:pPr>
        <w:jc w:val="center"/>
      </w:pPr>
      <w:r>
        <w:t>货物交付进度表</w:t>
      </w:r>
    </w:p>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530"/>
        <w:gridCol w:w="153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53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交付地点</w:t>
            </w:r>
          </w:p>
        </w:tc>
        <w:tc>
          <w:tcPr>
            <w:tcW w:w="153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r>
    </w:tbl>
    <w:p/>
    <w:p/>
    <w:p>
      <w:pPr>
        <w:jc w:val="center"/>
      </w:pPr>
      <w:r>
        <w:t>安装调试进度表</w:t>
      </w:r>
    </w:p>
    <w:p>
      <w:pPr>
        <w:jc w:val="center"/>
      </w:pP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851"/>
        <w:gridCol w:w="120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851"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安装调试地点</w:t>
            </w:r>
          </w:p>
        </w:tc>
        <w:tc>
          <w:tcPr>
            <w:tcW w:w="1209"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851" w:type="dxa"/>
          </w:tcPr>
          <w:p>
            <w:pPr>
              <w:autoSpaceDE w:val="0"/>
              <w:autoSpaceDN w:val="0"/>
              <w:adjustRightInd w:val="0"/>
              <w:spacing w:before="120" w:after="120" w:line="240" w:lineRule="atLeast"/>
              <w:ind w:left="15" w:right="28"/>
              <w:jc w:val="center"/>
              <w:rPr>
                <w:kern w:val="0"/>
                <w:sz w:val="18"/>
                <w:szCs w:val="22"/>
              </w:rPr>
            </w:pPr>
          </w:p>
        </w:tc>
        <w:tc>
          <w:tcPr>
            <w:tcW w:w="1209" w:type="dxa"/>
          </w:tcPr>
          <w:p>
            <w:pPr>
              <w:autoSpaceDE w:val="0"/>
              <w:autoSpaceDN w:val="0"/>
              <w:adjustRightInd w:val="0"/>
              <w:spacing w:before="120" w:after="120" w:line="240" w:lineRule="atLeast"/>
              <w:ind w:left="15" w:right="28"/>
              <w:jc w:val="center"/>
              <w:rPr>
                <w:kern w:val="0"/>
                <w:sz w:val="18"/>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851" w:type="dxa"/>
          </w:tcPr>
          <w:p>
            <w:pPr>
              <w:autoSpaceDE w:val="0"/>
              <w:autoSpaceDN w:val="0"/>
              <w:adjustRightInd w:val="0"/>
              <w:spacing w:before="120" w:after="120" w:line="240" w:lineRule="atLeast"/>
              <w:ind w:left="15" w:right="28"/>
              <w:jc w:val="center"/>
              <w:rPr>
                <w:kern w:val="0"/>
                <w:sz w:val="18"/>
                <w:szCs w:val="22"/>
              </w:rPr>
            </w:pPr>
          </w:p>
        </w:tc>
        <w:tc>
          <w:tcPr>
            <w:tcW w:w="1209" w:type="dxa"/>
          </w:tcPr>
          <w:p>
            <w:pPr>
              <w:autoSpaceDE w:val="0"/>
              <w:autoSpaceDN w:val="0"/>
              <w:adjustRightInd w:val="0"/>
              <w:spacing w:before="120" w:after="120" w:line="240" w:lineRule="atLeast"/>
              <w:ind w:left="15" w:right="28"/>
              <w:jc w:val="center"/>
              <w:rPr>
                <w:kern w:val="0"/>
                <w:sz w:val="18"/>
                <w:szCs w:val="22"/>
              </w:rPr>
            </w:pPr>
          </w:p>
        </w:tc>
      </w:tr>
    </w:tbl>
    <w:p>
      <w:pPr>
        <w:jc w:val="cente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firstLine="6195" w:firstLineChars="2950"/>
        <w:rPr>
          <w:snapToGrid w:val="0"/>
          <w:kern w:val="0"/>
        </w:rPr>
      </w:pPr>
      <w:r>
        <w:rPr>
          <w:rFonts w:hint="eastAsia"/>
          <w:snapToGrid w:val="0"/>
          <w:kern w:val="0"/>
        </w:rPr>
        <w:t>年       月      日</w:t>
      </w:r>
    </w:p>
    <w:p>
      <w:pPr>
        <w:pStyle w:val="3"/>
        <w:spacing w:before="0"/>
        <w:rPr>
          <w:rFonts w:ascii="宋体" w:hAnsi="宋体"/>
          <w:sz w:val="28"/>
        </w:rPr>
      </w:pPr>
    </w:p>
    <w:p/>
    <w:p/>
    <w:p/>
    <w:p/>
    <w:p/>
    <w:p/>
    <w:p/>
    <w:p/>
    <w:p>
      <w:pPr>
        <w:widowControl/>
        <w:jc w:val="left"/>
        <w:rPr>
          <w:rFonts w:asciiTheme="minorEastAsia" w:hAnsiTheme="minorEastAsia" w:eastAsiaTheme="minorEastAsia"/>
          <w:b/>
          <w:sz w:val="24"/>
        </w:rPr>
      </w:pPr>
      <w:bookmarkStart w:id="67" w:name="_Toc44691168"/>
      <w:bookmarkStart w:id="68" w:name="_Toc44691400"/>
      <w:bookmarkStart w:id="69" w:name="_Toc44690436"/>
      <w:bookmarkStart w:id="70" w:name="_Toc44690709"/>
      <w:r>
        <w:rPr>
          <w:rFonts w:asciiTheme="minorEastAsia" w:hAnsiTheme="minorEastAsia" w:eastAsiaTheme="minorEastAsia"/>
          <w:sz w:val="24"/>
        </w:rPr>
        <w:br w:type="page"/>
      </w: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格式9  售后服务和质量承诺</w:t>
      </w:r>
      <w:bookmarkEnd w:id="67"/>
      <w:bookmarkEnd w:id="68"/>
      <w:bookmarkEnd w:id="69"/>
      <w:bookmarkEnd w:id="70"/>
    </w:p>
    <w:p>
      <w:pPr>
        <w:adjustRightInd w:val="0"/>
        <w:snapToGrid w:val="0"/>
        <w:spacing w:line="360" w:lineRule="auto"/>
        <w:rPr>
          <w:rFonts w:ascii="宋体" w:hAnsi="宋体"/>
        </w:rPr>
      </w:pPr>
    </w:p>
    <w:p>
      <w:pPr>
        <w:adjustRightInd w:val="0"/>
        <w:snapToGrid w:val="0"/>
        <w:spacing w:line="360" w:lineRule="auto"/>
        <w:rPr>
          <w:rFonts w:ascii="宋体" w:hAnsi="宋体"/>
        </w:rPr>
      </w:pPr>
      <w:r>
        <w:rPr>
          <w:rFonts w:hint="eastAsia" w:ascii="宋体" w:hAnsi="宋体"/>
        </w:rPr>
        <w:t>1、</w:t>
      </w:r>
      <w:r>
        <w:rPr>
          <w:rFonts w:hint="eastAsia"/>
        </w:rPr>
        <w:t>质保期和保修期服务承诺</w:t>
      </w:r>
    </w:p>
    <w:p>
      <w:pPr>
        <w:adjustRightInd w:val="0"/>
        <w:snapToGrid w:val="0"/>
        <w:spacing w:line="360" w:lineRule="auto"/>
        <w:rPr>
          <w:rFonts w:ascii="宋体" w:hAnsi="宋体"/>
        </w:rPr>
      </w:pPr>
      <w:r>
        <w:rPr>
          <w:rFonts w:hint="eastAsia" w:ascii="宋体" w:hAnsi="宋体"/>
        </w:rPr>
        <w:t>2、</w:t>
      </w:r>
      <w:r>
        <w:rPr>
          <w:rFonts w:hint="eastAsia"/>
        </w:rPr>
        <w:t>售后服务机构及维护人员配置</w:t>
      </w:r>
    </w:p>
    <w:p>
      <w:pPr>
        <w:adjustRightInd w:val="0"/>
        <w:snapToGrid w:val="0"/>
        <w:spacing w:line="360" w:lineRule="auto"/>
        <w:rPr>
          <w:rFonts w:ascii="宋体" w:hAnsi="宋体"/>
        </w:rPr>
      </w:pPr>
      <w:r>
        <w:rPr>
          <w:rFonts w:hint="eastAsia" w:ascii="宋体" w:hAnsi="宋体"/>
        </w:rPr>
        <w:t>3、</w:t>
      </w:r>
      <w:r>
        <w:rPr>
          <w:rFonts w:hint="eastAsia"/>
        </w:rPr>
        <w:t>售后服务应急措施</w:t>
      </w:r>
    </w:p>
    <w:p>
      <w:pPr>
        <w:adjustRightInd w:val="0"/>
        <w:snapToGrid w:val="0"/>
        <w:spacing w:line="360" w:lineRule="auto"/>
        <w:rPr>
          <w:rFonts w:ascii="宋体" w:hAnsi="宋体"/>
        </w:rPr>
      </w:pPr>
      <w:r>
        <w:rPr>
          <w:rFonts w:hint="eastAsia" w:ascii="宋体" w:hAnsi="宋体"/>
        </w:rPr>
        <w:t>4、</w:t>
      </w:r>
      <w:r>
        <w:rPr>
          <w:rFonts w:hint="eastAsia"/>
        </w:rPr>
        <w:t>故障或技术支持响应时间</w:t>
      </w:r>
    </w:p>
    <w:p>
      <w:pPr>
        <w:adjustRightInd w:val="0"/>
        <w:snapToGrid w:val="0"/>
        <w:spacing w:line="360" w:lineRule="auto"/>
        <w:rPr>
          <w:rFonts w:ascii="宋体" w:hAnsi="宋体"/>
        </w:rPr>
      </w:pPr>
      <w:r>
        <w:rPr>
          <w:rFonts w:hint="eastAsia" w:ascii="宋体" w:hAnsi="宋体"/>
        </w:rPr>
        <w:t>5、技术培训计划</w:t>
      </w:r>
    </w:p>
    <w:p>
      <w:pPr>
        <w:adjustRightInd w:val="0"/>
        <w:snapToGrid w:val="0"/>
        <w:spacing w:line="360" w:lineRule="auto"/>
        <w:rPr>
          <w:rFonts w:ascii="宋体" w:hAnsi="宋体"/>
        </w:rPr>
      </w:pPr>
      <w:r>
        <w:rPr>
          <w:rFonts w:hint="eastAsia" w:ascii="宋体" w:hAnsi="宋体"/>
        </w:rPr>
        <w:t>6、备/配件支持计划</w:t>
      </w:r>
    </w:p>
    <w:p>
      <w:pPr>
        <w:adjustRightInd w:val="0"/>
        <w:snapToGrid w:val="0"/>
        <w:spacing w:line="360" w:lineRule="auto"/>
        <w:rPr>
          <w:rFonts w:ascii="宋体" w:hAnsi="宋体"/>
          <w:bCs/>
        </w:rPr>
      </w:pPr>
      <w:r>
        <w:rPr>
          <w:rFonts w:hint="eastAsia" w:ascii="宋体" w:hAnsi="宋体"/>
        </w:rPr>
        <w:t>7、非</w:t>
      </w:r>
      <w:r>
        <w:rPr>
          <w:rFonts w:hint="eastAsia" w:ascii="宋体" w:hAnsi="宋体"/>
          <w:bCs/>
        </w:rPr>
        <w:t>保修期维修费用收取标准</w:t>
      </w:r>
    </w:p>
    <w:p>
      <w:pPr>
        <w:adjustRightInd w:val="0"/>
        <w:snapToGrid w:val="0"/>
        <w:spacing w:line="300" w:lineRule="auto"/>
        <w:rPr>
          <w:rFonts w:ascii="宋体" w:hAnsi="宋体"/>
          <w:bCs/>
        </w:rPr>
      </w:pPr>
      <w:r>
        <w:rPr>
          <w:rFonts w:hint="eastAsia" w:ascii="宋体" w:hAnsi="宋体"/>
          <w:bCs/>
        </w:rPr>
        <w:t>8、其它</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tabs>
          <w:tab w:val="left" w:pos="480"/>
        </w:tabs>
        <w:adjustRightInd w:val="0"/>
        <w:snapToGrid w:val="0"/>
        <w:spacing w:line="300" w:lineRule="auto"/>
        <w:rPr>
          <w:snapToGrid w:val="0"/>
          <w:kern w:val="0"/>
        </w:rPr>
      </w:pPr>
      <w:r>
        <w:rPr>
          <w:snapToGrid w:val="0"/>
          <w:kern w:val="0"/>
        </w:rPr>
        <w:tab/>
      </w:r>
    </w:p>
    <w:p>
      <w:pPr>
        <w:tabs>
          <w:tab w:val="left" w:pos="480"/>
        </w:tabs>
        <w:adjustRightInd w:val="0"/>
        <w:snapToGrid w:val="0"/>
        <w:spacing w:line="300" w:lineRule="auto"/>
        <w:rPr>
          <w:snapToGrid w:val="0"/>
          <w:kern w:val="0"/>
        </w:rPr>
      </w:pPr>
    </w:p>
    <w:p>
      <w:pPr>
        <w:tabs>
          <w:tab w:val="left" w:pos="480"/>
        </w:tabs>
        <w:adjustRightInd w:val="0"/>
        <w:snapToGrid w:val="0"/>
        <w:spacing w:line="300" w:lineRule="auto"/>
        <w:rPr>
          <w:snapToGrid w:val="0"/>
          <w:kern w:val="0"/>
        </w:rPr>
      </w:pPr>
    </w:p>
    <w:p>
      <w:pPr>
        <w:tabs>
          <w:tab w:val="left" w:pos="480"/>
        </w:tabs>
        <w:adjustRightInd w:val="0"/>
        <w:snapToGrid w:val="0"/>
        <w:spacing w:line="300" w:lineRule="auto"/>
        <w:rPr>
          <w:snapToGrid w:val="0"/>
          <w:kern w:val="0"/>
        </w:rPr>
      </w:pPr>
    </w:p>
    <w:p>
      <w:pPr>
        <w:tabs>
          <w:tab w:val="left" w:pos="1200"/>
        </w:tabs>
        <w:adjustRightInd w:val="0"/>
        <w:snapToGrid w:val="0"/>
        <w:spacing w:line="300" w:lineRule="auto"/>
        <w:rPr>
          <w:snapToGrid w:val="0"/>
          <w:kern w:val="0"/>
        </w:rPr>
      </w:pPr>
    </w:p>
    <w:p>
      <w:pPr>
        <w:tabs>
          <w:tab w:val="left" w:pos="1200"/>
        </w:tabs>
        <w:adjustRightInd w:val="0"/>
        <w:snapToGrid w:val="0"/>
        <w:spacing w:line="300" w:lineRule="auto"/>
        <w:rPr>
          <w:snapToGrid w:val="0"/>
          <w:kern w:val="0"/>
        </w:rPr>
      </w:pPr>
      <w:r>
        <w:rPr>
          <w:snapToGrid w:val="0"/>
          <w:kern w:val="0"/>
        </w:rPr>
        <w:br w:type="page"/>
      </w:r>
    </w:p>
    <w:p>
      <w:pPr>
        <w:tabs>
          <w:tab w:val="left" w:pos="1200"/>
        </w:tabs>
        <w:adjustRightInd w:val="0"/>
        <w:snapToGrid w:val="0"/>
        <w:spacing w:line="300" w:lineRule="auto"/>
        <w:rPr>
          <w:snapToGrid w:val="0"/>
          <w:kern w:val="0"/>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71" w:name="_格式3__"/>
      <w:bookmarkEnd w:id="71"/>
      <w:bookmarkStart w:id="72" w:name="q17"/>
      <w:bookmarkEnd w:id="72"/>
      <w:bookmarkStart w:id="73" w:name="_格式2__投标保证金凭证"/>
      <w:bookmarkEnd w:id="73"/>
      <w:bookmarkStart w:id="74" w:name="_格式4__"/>
      <w:bookmarkEnd w:id="74"/>
      <w:bookmarkStart w:id="75" w:name="_格式5__"/>
      <w:bookmarkEnd w:id="75"/>
      <w:bookmarkStart w:id="76" w:name="q16"/>
      <w:bookmarkEnd w:id="76"/>
      <w:bookmarkStart w:id="77" w:name="q15"/>
      <w:bookmarkEnd w:id="77"/>
      <w:r>
        <w:rPr>
          <w:rFonts w:asciiTheme="minorEastAsia" w:hAnsiTheme="minorEastAsia" w:eastAsiaTheme="minorEastAsia"/>
          <w:sz w:val="24"/>
        </w:rPr>
        <w:tab/>
      </w:r>
      <w:bookmarkStart w:id="78" w:name="_Toc44690437"/>
      <w:bookmarkStart w:id="79" w:name="_Toc44691401"/>
      <w:bookmarkStart w:id="80" w:name="_Toc44691169"/>
      <w:bookmarkStart w:id="81" w:name="_Toc44690710"/>
      <w:r>
        <w:rPr>
          <w:rFonts w:hint="eastAsia" w:asciiTheme="minorEastAsia" w:hAnsiTheme="minorEastAsia" w:eastAsiaTheme="minorEastAsia"/>
          <w:sz w:val="24"/>
        </w:rPr>
        <w:t>格式10  投标人资格声明</w:t>
      </w:r>
      <w:bookmarkEnd w:id="78"/>
      <w:bookmarkEnd w:id="79"/>
      <w:bookmarkEnd w:id="80"/>
      <w:bookmarkEnd w:id="81"/>
    </w:p>
    <w:p>
      <w:pPr>
        <w:snapToGrid w:val="0"/>
        <w:spacing w:line="300" w:lineRule="auto"/>
        <w:rPr>
          <w:rFonts w:ascii="宋体" w:hAnsi="宋体"/>
        </w:rPr>
      </w:pPr>
    </w:p>
    <w:p>
      <w:pPr>
        <w:adjustRightInd w:val="0"/>
        <w:snapToGrid w:val="0"/>
        <w:spacing w:line="360" w:lineRule="auto"/>
        <w:rPr>
          <w:rFonts w:ascii="宋体" w:hAnsi="宋体"/>
          <w:bCs/>
          <w:snapToGrid w:val="0"/>
          <w:kern w:val="0"/>
        </w:rPr>
      </w:pPr>
      <w:r>
        <w:rPr>
          <w:rFonts w:ascii="宋体" w:hAnsi="宋体"/>
          <w:bCs/>
          <w:snapToGrid w:val="0"/>
          <w:kern w:val="0"/>
        </w:rPr>
        <w:t>1、投标人资格声明</w:t>
      </w:r>
      <w:r>
        <w:rPr>
          <w:rFonts w:hint="eastAsia" w:ascii="宋体" w:hAnsi="宋体"/>
          <w:bCs/>
          <w:snapToGrid w:val="0"/>
          <w:kern w:val="0"/>
        </w:rPr>
        <w:t>；</w:t>
      </w:r>
    </w:p>
    <w:p>
      <w:pPr>
        <w:adjustRightInd w:val="0"/>
        <w:snapToGrid w:val="0"/>
        <w:spacing w:line="360" w:lineRule="auto"/>
        <w:rPr>
          <w:rFonts w:ascii="宋体" w:hAnsi="宋体"/>
          <w:bCs/>
          <w:snapToGrid w:val="0"/>
          <w:kern w:val="0"/>
        </w:rPr>
      </w:pPr>
      <w:r>
        <w:rPr>
          <w:rFonts w:hint="eastAsia" w:ascii="宋体" w:hAnsi="宋体"/>
          <w:bCs/>
          <w:snapToGrid w:val="0"/>
          <w:kern w:val="0"/>
        </w:rPr>
        <w:t>2、投标人基本情况简介，格式自拟，包括但不限于经营范围、依法纳税记录等；</w:t>
      </w:r>
    </w:p>
    <w:p>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3、</w:t>
      </w:r>
      <w:r>
        <w:rPr>
          <w:rFonts w:hint="eastAsia" w:ascii="宋体" w:hAnsi="宋体"/>
          <w:bCs/>
          <w:snapToGrid w:val="0"/>
          <w:kern w:val="0"/>
        </w:rPr>
        <w:t>投标人认为有必要提供的其他文件。</w:t>
      </w:r>
    </w:p>
    <w:p>
      <w:pPr>
        <w:adjustRightInd w:val="0"/>
        <w:snapToGrid w:val="0"/>
        <w:spacing w:line="360" w:lineRule="auto"/>
        <w:rPr>
          <w:bCs/>
          <w:snapToGrid w:val="0"/>
          <w:kern w:val="0"/>
        </w:rPr>
      </w:pPr>
    </w:p>
    <w:p>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pPr>
        <w:adjustRightInd w:val="0"/>
        <w:snapToGrid w:val="0"/>
        <w:spacing w:line="360" w:lineRule="auto"/>
        <w:rPr>
          <w:bCs/>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widowControl/>
        <w:jc w:val="left"/>
        <w:rPr>
          <w:snapToGrid w:val="0"/>
          <w:kern w:val="0"/>
        </w:rPr>
      </w:pPr>
      <w:r>
        <w:rPr>
          <w:snapToGrid w:val="0"/>
          <w:kern w:val="0"/>
        </w:rPr>
        <w:br w:type="page"/>
      </w:r>
    </w:p>
    <w:p>
      <w:pPr>
        <w:jc w:val="center"/>
        <w:rPr>
          <w:snapToGrid w:val="0"/>
          <w:kern w:val="0"/>
        </w:rPr>
      </w:pPr>
    </w:p>
    <w:p>
      <w:pPr>
        <w:jc w:val="center"/>
        <w:rPr>
          <w:b/>
          <w:bCs/>
          <w:sz w:val="28"/>
        </w:rPr>
      </w:pPr>
      <w:bookmarkStart w:id="82" w:name="_格式7__投标人资格声明"/>
      <w:bookmarkEnd w:id="82"/>
      <w:bookmarkStart w:id="83" w:name="q40"/>
      <w:r>
        <w:rPr>
          <w:rFonts w:hint="eastAsia"/>
          <w:b/>
          <w:bCs/>
          <w:sz w:val="28"/>
        </w:rPr>
        <w:t>投标人资格声明</w:t>
      </w:r>
    </w:p>
    <w:p>
      <w:pPr>
        <w:snapToGrid w:val="0"/>
        <w:spacing w:line="300" w:lineRule="auto"/>
        <w:rPr>
          <w:rFonts w:ascii="宋体" w:hAnsi="宋体"/>
        </w:rPr>
      </w:pPr>
    </w:p>
    <w:p>
      <w:pPr>
        <w:snapToGrid w:val="0"/>
        <w:spacing w:line="300" w:lineRule="auto"/>
        <w:rPr>
          <w:rFonts w:ascii="宋体" w:hAnsi="宋体"/>
        </w:rPr>
      </w:pPr>
      <w:r>
        <w:rPr>
          <w:rFonts w:hint="eastAsia" w:ascii="宋体" w:hAnsi="宋体"/>
        </w:rPr>
        <w:t>1、名称及其它情况：</w:t>
      </w:r>
    </w:p>
    <w:p>
      <w:pPr>
        <w:snapToGrid w:val="0"/>
        <w:spacing w:line="300" w:lineRule="auto"/>
        <w:ind w:left="420"/>
        <w:rPr>
          <w:rFonts w:ascii="宋体" w:hAnsi="宋体"/>
          <w:u w:val="single"/>
        </w:rPr>
      </w:pPr>
      <w:r>
        <w:rPr>
          <w:rFonts w:hint="eastAsia" w:ascii="宋体" w:hAnsi="宋体"/>
        </w:rPr>
        <w:t>⑴、名称：</w:t>
      </w:r>
      <w:r>
        <w:rPr>
          <w:rFonts w:hint="eastAsia" w:ascii="宋体" w:hAnsi="宋体"/>
          <w:u w:val="single"/>
        </w:rPr>
        <w:t xml:space="preserve">                                 </w:t>
      </w:r>
    </w:p>
    <w:p>
      <w:pPr>
        <w:snapToGrid w:val="0"/>
        <w:spacing w:line="300" w:lineRule="auto"/>
        <w:ind w:left="420"/>
        <w:rPr>
          <w:rFonts w:ascii="宋体" w:hAnsi="宋体"/>
          <w:bCs/>
        </w:rPr>
      </w:pPr>
      <w:r>
        <w:rPr>
          <w:rFonts w:hint="eastAsia" w:ascii="宋体" w:hAnsi="宋体"/>
          <w:bCs/>
        </w:rPr>
        <w:t>⑵、地址：</w:t>
      </w:r>
      <w:r>
        <w:rPr>
          <w:rFonts w:hint="eastAsia" w:ascii="宋体" w:hAnsi="宋体"/>
          <w:b/>
          <w:u w:val="single"/>
        </w:rPr>
        <w:t xml:space="preserve">                                        </w:t>
      </w:r>
      <w:r>
        <w:rPr>
          <w:rFonts w:hint="eastAsia" w:ascii="宋体" w:hAnsi="宋体"/>
          <w:bCs/>
          <w:u w:val="single"/>
        </w:rPr>
        <w:t xml:space="preserve"> </w:t>
      </w:r>
    </w:p>
    <w:p>
      <w:pPr>
        <w:snapToGrid w:val="0"/>
        <w:spacing w:line="300" w:lineRule="auto"/>
        <w:ind w:left="420"/>
        <w:rPr>
          <w:rFonts w:ascii="宋体" w:hAnsi="宋体"/>
          <w:b/>
          <w:u w:val="single"/>
        </w:rPr>
      </w:pPr>
      <w:r>
        <w:rPr>
          <w:rFonts w:hint="eastAsia" w:ascii="宋体" w:hAnsi="宋体"/>
          <w:bCs/>
        </w:rPr>
        <w:t>⑶、成立和/或注册日期：</w:t>
      </w:r>
      <w:r>
        <w:rPr>
          <w:rFonts w:hint="eastAsia" w:ascii="宋体" w:hAnsi="宋体"/>
          <w:b/>
          <w:u w:val="single"/>
        </w:rPr>
        <w:t xml:space="preserve">                            </w:t>
      </w:r>
    </w:p>
    <w:p>
      <w:pPr>
        <w:snapToGrid w:val="0"/>
        <w:spacing w:line="300" w:lineRule="auto"/>
        <w:ind w:left="420"/>
        <w:rPr>
          <w:rFonts w:ascii="宋体" w:hAnsi="宋体"/>
          <w:b/>
          <w:u w:val="single"/>
        </w:rPr>
      </w:pPr>
      <w:r>
        <w:rPr>
          <w:rFonts w:ascii="宋体" w:hAnsi="宋体"/>
          <w:bCs/>
        </w:rPr>
        <w:fldChar w:fldCharType="begin"/>
      </w:r>
      <w:r>
        <w:rPr>
          <w:rFonts w:ascii="宋体" w:hAnsi="宋体"/>
          <w:bCs/>
        </w:rPr>
        <w:instrText xml:space="preserve"> </w:instrText>
      </w:r>
      <w:r>
        <w:rPr>
          <w:rFonts w:hint="eastAsia" w:ascii="宋体" w:hAnsi="宋体"/>
          <w:bCs/>
        </w:rPr>
        <w:instrText xml:space="preserve">= 4 \* GB2</w:instrText>
      </w:r>
      <w:r>
        <w:rPr>
          <w:rFonts w:ascii="宋体" w:hAnsi="宋体"/>
          <w:bCs/>
        </w:rPr>
        <w:instrText xml:space="preserve"> </w:instrText>
      </w:r>
      <w:r>
        <w:rPr>
          <w:rFonts w:ascii="宋体" w:hAnsi="宋体"/>
          <w:bCs/>
        </w:rPr>
        <w:fldChar w:fldCharType="separate"/>
      </w:r>
      <w:r>
        <w:rPr>
          <w:rFonts w:hint="eastAsia" w:ascii="宋体" w:hAnsi="宋体"/>
          <w:bCs/>
        </w:rPr>
        <w:t>⑷</w:t>
      </w:r>
      <w:r>
        <w:rPr>
          <w:rFonts w:ascii="宋体" w:hAnsi="宋体"/>
          <w:bCs/>
        </w:rPr>
        <w:fldChar w:fldCharType="end"/>
      </w:r>
      <w:r>
        <w:rPr>
          <w:rFonts w:hint="eastAsia" w:ascii="宋体" w:hAnsi="宋体"/>
          <w:bCs/>
        </w:rPr>
        <w:t>、企业性质：</w:t>
      </w:r>
      <w:r>
        <w:rPr>
          <w:rFonts w:hint="eastAsia" w:ascii="宋体" w:hAnsi="宋体"/>
          <w:b/>
          <w:u w:val="single"/>
        </w:rPr>
        <w:t xml:space="preserve">                                     </w:t>
      </w:r>
    </w:p>
    <w:p>
      <w:pPr>
        <w:snapToGrid w:val="0"/>
        <w:spacing w:line="300" w:lineRule="auto"/>
        <w:ind w:left="708" w:hanging="707" w:hangingChars="337"/>
        <w:rPr>
          <w:rFonts w:ascii="宋体" w:hAnsi="宋体"/>
          <w:bCs/>
        </w:rPr>
      </w:pPr>
      <w:r>
        <w:rPr>
          <w:rFonts w:hint="eastAsia" w:ascii="宋体" w:hAnsi="宋体"/>
          <w:bCs/>
        </w:rPr>
        <w:t>2、近三年主要客户的名称和地址：</w:t>
      </w:r>
    </w:p>
    <w:p>
      <w:pPr>
        <w:snapToGrid w:val="0"/>
        <w:spacing w:line="300" w:lineRule="auto"/>
        <w:ind w:left="990"/>
        <w:rPr>
          <w:rFonts w:ascii="宋体" w:hAnsi="宋体"/>
          <w:bCs/>
        </w:rPr>
      </w:pPr>
      <w:r>
        <w:rPr>
          <w:rFonts w:hint="eastAsia" w:ascii="宋体" w:hAnsi="宋体"/>
          <w:bCs/>
        </w:rPr>
        <w:t>名称和地址                          项目名称</w:t>
      </w:r>
    </w:p>
    <w:p>
      <w:pPr>
        <w:snapToGrid w:val="0"/>
        <w:spacing w:line="300" w:lineRule="auto"/>
        <w:rPr>
          <w:rFonts w:ascii="宋体" w:hAnsi="宋体"/>
          <w:bCs/>
          <w:u w:val="single"/>
        </w:rPr>
      </w:pPr>
      <w:r>
        <w:rPr>
          <w:rFonts w:hint="eastAsia" w:ascii="宋体" w:hAnsi="宋体"/>
          <w:bCs/>
        </w:rPr>
        <w:t xml:space="preserve">      </w:t>
      </w:r>
      <w:r>
        <w:rPr>
          <w:rFonts w:hint="eastAsia" w:ascii="宋体" w:hAnsi="宋体"/>
          <w:bCs/>
          <w:u w:val="single"/>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p>
    <w:p>
      <w:pPr>
        <w:snapToGrid w:val="0"/>
        <w:spacing w:line="300" w:lineRule="auto"/>
        <w:rPr>
          <w:rFonts w:ascii="宋体" w:hAnsi="宋体"/>
          <w:b/>
          <w:u w:val="single"/>
        </w:rPr>
      </w:pPr>
      <w:r>
        <w:rPr>
          <w:rFonts w:hint="eastAsia" w:ascii="宋体" w:hAnsi="宋体"/>
          <w:bCs/>
        </w:rPr>
        <w:t xml:space="preserve">   </w:t>
      </w:r>
      <w:r>
        <w:rPr>
          <w:rFonts w:hint="eastAsia" w:ascii="宋体" w:hAnsi="宋体"/>
          <w:b/>
        </w:rPr>
        <w:t xml:space="preserve">   </w:t>
      </w:r>
      <w:r>
        <w:rPr>
          <w:rFonts w:hint="eastAsia" w:ascii="宋体" w:hAnsi="宋体"/>
          <w:bCs/>
          <w:u w:val="single"/>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p>
    <w:p>
      <w:pPr>
        <w:snapToGrid w:val="0"/>
        <w:spacing w:line="300" w:lineRule="auto"/>
        <w:rPr>
          <w:rFonts w:ascii="宋体" w:hAnsi="宋体"/>
          <w:bCs/>
          <w:u w:val="single"/>
        </w:rPr>
      </w:pPr>
      <w:r>
        <w:rPr>
          <w:rFonts w:hint="eastAsia" w:ascii="宋体" w:hAnsi="宋体"/>
          <w:bCs/>
        </w:rPr>
        <w:t xml:space="preserve">      </w:t>
      </w:r>
      <w:r>
        <w:rPr>
          <w:rFonts w:hint="eastAsia" w:ascii="宋体" w:hAnsi="宋体"/>
          <w:bCs/>
          <w:u w:val="single"/>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p>
    <w:p>
      <w:pPr>
        <w:snapToGrid w:val="0"/>
        <w:spacing w:line="300" w:lineRule="auto"/>
        <w:rPr>
          <w:rFonts w:ascii="宋体" w:hAnsi="宋体"/>
          <w:bCs/>
        </w:rPr>
      </w:pPr>
      <w:r>
        <w:rPr>
          <w:rFonts w:hint="eastAsia" w:ascii="宋体" w:hAnsi="宋体"/>
          <w:bCs/>
        </w:rPr>
        <w:t>3、近三年的营业额：</w:t>
      </w:r>
    </w:p>
    <w:p>
      <w:pPr>
        <w:snapToGrid w:val="0"/>
        <w:spacing w:line="300" w:lineRule="auto"/>
        <w:ind w:firstLine="420" w:firstLineChars="200"/>
        <w:rPr>
          <w:rFonts w:ascii="宋体" w:hAnsi="宋体"/>
          <w:bCs/>
        </w:rPr>
      </w:pPr>
      <w:r>
        <w:rPr>
          <w:rFonts w:hint="eastAsia" w:ascii="宋体" w:hAnsi="宋体"/>
          <w:bCs/>
        </w:rPr>
        <w:t>年份                国内                    国外                  总额</w:t>
      </w:r>
    </w:p>
    <w:p>
      <w:pPr>
        <w:snapToGrid w:val="0"/>
        <w:spacing w:line="300" w:lineRule="auto"/>
        <w:rPr>
          <w:rFonts w:ascii="宋体" w:hAnsi="宋体"/>
          <w:bCs/>
        </w:rPr>
      </w:pPr>
      <w:r>
        <w:rPr>
          <w:rFonts w:hint="eastAsia" w:ascii="宋体" w:hAnsi="宋体"/>
          <w:bCs/>
          <w:u w:val="single"/>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p>
    <w:p>
      <w:pPr>
        <w:snapToGrid w:val="0"/>
        <w:spacing w:line="300" w:lineRule="auto"/>
        <w:rPr>
          <w:rFonts w:ascii="宋体" w:hAnsi="宋体"/>
          <w:b/>
          <w:u w:val="single"/>
        </w:rPr>
      </w:pPr>
      <w:r>
        <w:rPr>
          <w:rFonts w:hint="eastAsia" w:ascii="宋体" w:hAnsi="宋体"/>
          <w:bCs/>
          <w:u w:val="single"/>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p>
    <w:p>
      <w:pPr>
        <w:snapToGrid w:val="0"/>
        <w:spacing w:line="300" w:lineRule="auto"/>
        <w:rPr>
          <w:rFonts w:ascii="宋体" w:hAnsi="宋体"/>
          <w:bCs/>
        </w:rPr>
      </w:pPr>
      <w:r>
        <w:rPr>
          <w:rFonts w:hint="eastAsia" w:ascii="宋体" w:hAnsi="宋体"/>
          <w:bCs/>
          <w:u w:val="single"/>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p>
    <w:p>
      <w:pPr>
        <w:snapToGrid w:val="0"/>
        <w:spacing w:line="300" w:lineRule="auto"/>
        <w:rPr>
          <w:rFonts w:ascii="宋体" w:hAnsi="宋体"/>
          <w:bCs/>
        </w:rPr>
      </w:pPr>
      <w:r>
        <w:rPr>
          <w:rFonts w:hint="eastAsia" w:ascii="宋体" w:hAnsi="宋体"/>
          <w:bCs/>
        </w:rPr>
        <w:t>4、有关开户银行的名称和地址：</w:t>
      </w:r>
      <w:r>
        <w:rPr>
          <w:rFonts w:hint="eastAsia" w:ascii="宋体" w:hAnsi="宋体"/>
          <w:bCs/>
          <w:u w:val="single"/>
        </w:rPr>
        <w:t xml:space="preserve">                                                    </w:t>
      </w:r>
      <w:r>
        <w:rPr>
          <w:rFonts w:hint="eastAsia" w:ascii="宋体" w:hAnsi="宋体"/>
          <w:bCs/>
        </w:rPr>
        <w:t xml:space="preserve"> </w:t>
      </w:r>
    </w:p>
    <w:p>
      <w:pPr>
        <w:snapToGrid w:val="0"/>
        <w:spacing w:line="300" w:lineRule="auto"/>
        <w:rPr>
          <w:rFonts w:ascii="宋体" w:hAnsi="宋体"/>
          <w:b/>
          <w:u w:val="single"/>
        </w:rPr>
      </w:pPr>
      <w:r>
        <w:rPr>
          <w:rFonts w:hint="eastAsia" w:ascii="宋体" w:hAnsi="宋体"/>
          <w:bCs/>
        </w:rPr>
        <w:t>5、其他情况：</w:t>
      </w:r>
      <w:r>
        <w:rPr>
          <w:rFonts w:hint="eastAsia" w:ascii="宋体" w:hAnsi="宋体"/>
          <w:bCs/>
          <w:u w:val="single"/>
        </w:rPr>
        <w:t xml:space="preserve">                                                                    </w:t>
      </w:r>
    </w:p>
    <w:p>
      <w:pPr>
        <w:snapToGrid w:val="0"/>
        <w:spacing w:line="300" w:lineRule="auto"/>
        <w:ind w:left="105" w:leftChars="50" w:firstLine="472" w:firstLineChars="225"/>
        <w:rPr>
          <w:rFonts w:ascii="宋体" w:hAnsi="宋体"/>
          <w:bCs/>
        </w:rPr>
      </w:pPr>
      <w:r>
        <w:rPr>
          <w:rFonts w:hint="eastAsia" w:ascii="宋体" w:hAnsi="宋体"/>
          <w:bCs/>
        </w:rPr>
        <w:t>兹证明上述声明是真实、正确的，并提供了全部能提供的资料和数据，我愿遵照贵方要求出示有关证明文件。</w:t>
      </w:r>
    </w:p>
    <w:p>
      <w:pPr>
        <w:snapToGrid w:val="0"/>
        <w:spacing w:line="300" w:lineRule="auto"/>
        <w:ind w:left="560"/>
        <w:rPr>
          <w:rFonts w:ascii="宋体" w:hAnsi="宋体"/>
          <w:bCs/>
        </w:rPr>
      </w:pPr>
    </w:p>
    <w:p>
      <w:pPr>
        <w:snapToGrid w:val="0"/>
        <w:spacing w:line="300" w:lineRule="auto"/>
        <w:ind w:left="560"/>
        <w:rPr>
          <w:rFonts w:ascii="宋体" w:hAnsi="宋体"/>
          <w:bCs/>
          <w:u w:val="single"/>
        </w:rPr>
      </w:pPr>
      <w:r>
        <w:rPr>
          <w:rFonts w:hint="eastAsia" w:ascii="宋体" w:hAnsi="宋体"/>
        </w:rPr>
        <w:t>投标单位</w:t>
      </w:r>
      <w:r>
        <w:rPr>
          <w:rFonts w:hint="eastAsia" w:ascii="宋体" w:hAnsi="宋体"/>
          <w:bCs/>
        </w:rPr>
        <w:t>名称（加盖公章）：</w:t>
      </w:r>
      <w:r>
        <w:rPr>
          <w:rFonts w:hint="eastAsia" w:ascii="宋体" w:hAnsi="宋体"/>
          <w:b/>
          <w:u w:val="single"/>
        </w:rPr>
        <w:t xml:space="preserve">                     </w:t>
      </w:r>
    </w:p>
    <w:p>
      <w:pPr>
        <w:snapToGrid w:val="0"/>
        <w:spacing w:line="300" w:lineRule="auto"/>
        <w:ind w:left="560"/>
        <w:rPr>
          <w:rFonts w:ascii="宋体" w:hAnsi="宋体"/>
          <w:bCs/>
          <w:u w:val="single"/>
        </w:rPr>
      </w:pPr>
      <w:r>
        <w:rPr>
          <w:rFonts w:hint="eastAsia" w:ascii="宋体" w:hAnsi="宋体"/>
          <w:bCs/>
        </w:rPr>
        <w:t>授权代表或法定代表人签字：</w:t>
      </w:r>
      <w:r>
        <w:rPr>
          <w:rFonts w:hint="eastAsia" w:ascii="宋体" w:hAnsi="宋体"/>
          <w:bCs/>
          <w:u w:val="single"/>
        </w:rPr>
        <w:t xml:space="preserve">                     </w:t>
      </w:r>
    </w:p>
    <w:p>
      <w:pPr>
        <w:snapToGrid w:val="0"/>
        <w:spacing w:line="300" w:lineRule="auto"/>
        <w:ind w:left="560"/>
        <w:rPr>
          <w:rFonts w:ascii="宋体" w:hAnsi="宋体"/>
          <w:bCs/>
          <w:u w:val="single"/>
        </w:rPr>
      </w:pPr>
      <w:r>
        <w:rPr>
          <w:rFonts w:hint="eastAsia" w:ascii="宋体" w:hAnsi="宋体"/>
          <w:bCs/>
        </w:rPr>
        <w:t>授权代表的职务：</w:t>
      </w:r>
      <w:r>
        <w:rPr>
          <w:rFonts w:hint="eastAsia" w:ascii="宋体" w:hAnsi="宋体"/>
          <w:bCs/>
          <w:u w:val="single"/>
        </w:rPr>
        <w:t xml:space="preserve">                   </w:t>
      </w:r>
    </w:p>
    <w:p>
      <w:pPr>
        <w:snapToGrid w:val="0"/>
        <w:spacing w:line="300" w:lineRule="auto"/>
        <w:ind w:left="560"/>
        <w:rPr>
          <w:rFonts w:ascii="宋体" w:hAnsi="宋体"/>
          <w:bCs/>
          <w:u w:val="single"/>
        </w:rPr>
      </w:pPr>
      <w:r>
        <w:rPr>
          <w:rFonts w:hint="eastAsia" w:ascii="宋体" w:hAnsi="宋体"/>
          <w:bCs/>
        </w:rPr>
        <w:t>电话：</w:t>
      </w:r>
      <w:r>
        <w:rPr>
          <w:rFonts w:hint="eastAsia" w:ascii="宋体" w:hAnsi="宋体"/>
          <w:bCs/>
          <w:u w:val="single"/>
        </w:rPr>
        <w:t xml:space="preserve">                             </w:t>
      </w:r>
    </w:p>
    <w:p>
      <w:pPr>
        <w:snapToGrid w:val="0"/>
        <w:spacing w:line="300" w:lineRule="auto"/>
        <w:ind w:left="560"/>
        <w:rPr>
          <w:rFonts w:ascii="宋体" w:hAnsi="宋体"/>
          <w:bCs/>
          <w:u w:val="single"/>
        </w:rPr>
      </w:pPr>
      <w:r>
        <w:rPr>
          <w:rFonts w:hint="eastAsia" w:ascii="宋体" w:hAnsi="宋体"/>
          <w:bCs/>
        </w:rPr>
        <w:t>传真：</w:t>
      </w:r>
      <w:r>
        <w:rPr>
          <w:rFonts w:hint="eastAsia" w:ascii="宋体" w:hAnsi="宋体"/>
          <w:bCs/>
          <w:u w:val="single"/>
        </w:rPr>
        <w:t xml:space="preserve">                             </w:t>
      </w:r>
    </w:p>
    <w:p>
      <w:pPr>
        <w:snapToGrid w:val="0"/>
        <w:spacing w:line="300" w:lineRule="auto"/>
        <w:ind w:left="560"/>
        <w:rPr>
          <w:rFonts w:ascii="宋体" w:hAnsi="宋体"/>
          <w:bCs/>
        </w:rPr>
      </w:pPr>
      <w:r>
        <w:rPr>
          <w:rFonts w:hint="eastAsia" w:ascii="宋体" w:hAnsi="宋体"/>
          <w:bCs/>
        </w:rPr>
        <w:t>日期：</w:t>
      </w:r>
      <w:r>
        <w:rPr>
          <w:rFonts w:hint="eastAsia"/>
          <w:snapToGrid w:val="0"/>
          <w:kern w:val="0"/>
          <w:u w:val="single"/>
        </w:rPr>
        <w:t>　　　　　　　　　　　　　　　</w:t>
      </w:r>
      <w:r>
        <w:rPr>
          <w:rFonts w:hint="eastAsia" w:ascii="宋体" w:hAnsi="宋体"/>
          <w:bCs/>
        </w:rPr>
        <w:t xml:space="preserve"> </w:t>
      </w: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widowControl/>
        <w:jc w:val="left"/>
        <w:rPr>
          <w:b/>
          <w:szCs w:val="21"/>
        </w:rPr>
      </w:pPr>
      <w:r>
        <w:rPr>
          <w:b/>
          <w:szCs w:val="21"/>
        </w:rPr>
        <w:br w:type="page"/>
      </w:r>
    </w:p>
    <w:p>
      <w:pPr>
        <w:spacing w:line="360" w:lineRule="auto"/>
        <w:jc w:val="center"/>
        <w:rPr>
          <w:b/>
          <w:szCs w:val="21"/>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格式11  偏离表</w:t>
      </w:r>
    </w:p>
    <w:bookmarkEnd w:id="83"/>
    <w:p>
      <w:pPr>
        <w:spacing w:line="360" w:lineRule="auto"/>
        <w:jc w:val="center"/>
      </w:pPr>
    </w:p>
    <w:p>
      <w:pPr>
        <w:snapToGrid w:val="0"/>
        <w:spacing w:line="360" w:lineRule="auto"/>
        <w:jc w:val="center"/>
        <w:rPr>
          <w:b/>
        </w:rPr>
      </w:pPr>
      <w:r>
        <w:rPr>
          <w:rFonts w:hint="eastAsia"/>
          <w:b/>
        </w:rPr>
        <w:t>技术规格偏离表</w:t>
      </w:r>
    </w:p>
    <w:tbl>
      <w:tblPr>
        <w:tblStyle w:val="50"/>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2482"/>
        <w:gridCol w:w="1701"/>
        <w:gridCol w:w="1275"/>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r>
              <w:rPr>
                <w:rFonts w:hint="eastAsia" w:ascii="宋体" w:hAnsi="宋体"/>
                <w:szCs w:val="21"/>
              </w:rPr>
              <w:t>序号</w:t>
            </w:r>
          </w:p>
        </w:tc>
        <w:tc>
          <w:tcPr>
            <w:tcW w:w="1418" w:type="dxa"/>
            <w:vAlign w:val="center"/>
          </w:tcPr>
          <w:p>
            <w:pPr>
              <w:spacing w:line="360" w:lineRule="auto"/>
              <w:jc w:val="center"/>
              <w:rPr>
                <w:rFonts w:ascii="宋体" w:hAnsi="宋体"/>
                <w:szCs w:val="21"/>
              </w:rPr>
            </w:pPr>
            <w:r>
              <w:rPr>
                <w:rFonts w:hint="eastAsia" w:ascii="宋体" w:hAnsi="宋体"/>
                <w:szCs w:val="21"/>
              </w:rPr>
              <w:t>货物名称</w:t>
            </w:r>
          </w:p>
        </w:tc>
        <w:tc>
          <w:tcPr>
            <w:tcW w:w="2482" w:type="dxa"/>
            <w:vAlign w:val="center"/>
          </w:tcPr>
          <w:p>
            <w:pPr>
              <w:spacing w:line="360" w:lineRule="auto"/>
              <w:jc w:val="center"/>
              <w:rPr>
                <w:rFonts w:ascii="宋体" w:hAnsi="宋体"/>
                <w:szCs w:val="21"/>
              </w:rPr>
            </w:pPr>
            <w:r>
              <w:rPr>
                <w:rFonts w:hint="eastAsia" w:ascii="宋体" w:hAnsi="宋体"/>
                <w:szCs w:val="21"/>
              </w:rPr>
              <w:t>招标技术要求</w:t>
            </w:r>
          </w:p>
        </w:tc>
        <w:tc>
          <w:tcPr>
            <w:tcW w:w="1701" w:type="dxa"/>
            <w:vAlign w:val="center"/>
          </w:tcPr>
          <w:p>
            <w:pPr>
              <w:spacing w:line="360" w:lineRule="auto"/>
              <w:jc w:val="center"/>
              <w:rPr>
                <w:rFonts w:ascii="宋体" w:hAnsi="宋体"/>
                <w:szCs w:val="21"/>
              </w:rPr>
            </w:pPr>
            <w:r>
              <w:rPr>
                <w:rFonts w:hint="eastAsia" w:ascii="宋体" w:hAnsi="宋体"/>
                <w:szCs w:val="21"/>
              </w:rPr>
              <w:t>投标技术响应</w:t>
            </w:r>
          </w:p>
        </w:tc>
        <w:tc>
          <w:tcPr>
            <w:tcW w:w="1275" w:type="dxa"/>
            <w:vAlign w:val="center"/>
          </w:tcPr>
          <w:p>
            <w:pPr>
              <w:spacing w:line="360" w:lineRule="auto"/>
              <w:jc w:val="center"/>
              <w:rPr>
                <w:rFonts w:ascii="宋体" w:hAnsi="宋体"/>
                <w:szCs w:val="21"/>
              </w:rPr>
            </w:pPr>
            <w:r>
              <w:rPr>
                <w:rFonts w:hint="eastAsia" w:ascii="宋体" w:hAnsi="宋体"/>
                <w:szCs w:val="21"/>
              </w:rPr>
              <w:t>偏离情况</w:t>
            </w:r>
          </w:p>
        </w:tc>
        <w:tc>
          <w:tcPr>
            <w:tcW w:w="2304" w:type="dxa"/>
            <w:vAlign w:val="center"/>
          </w:tcPr>
          <w:p>
            <w:pPr>
              <w:spacing w:line="360" w:lineRule="auto"/>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jc w:val="center"/>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bl>
    <w:p>
      <w:pPr>
        <w:spacing w:line="400" w:lineRule="exact"/>
        <w:rPr>
          <w:rFonts w:ascii="宋体" w:hAnsi="宋体" w:cs="Arial"/>
          <w:b/>
          <w:bCs/>
          <w:szCs w:val="21"/>
        </w:rPr>
      </w:pPr>
      <w:r>
        <w:rPr>
          <w:rFonts w:hint="eastAsia" w:ascii="宋体" w:hAnsi="宋体" w:cs="Arial"/>
          <w:bCs/>
          <w:szCs w:val="21"/>
        </w:rPr>
        <w:t>备注：1、“</w:t>
      </w:r>
      <w:r>
        <w:rPr>
          <w:rFonts w:hint="eastAsia" w:ascii="宋体" w:hAnsi="宋体"/>
          <w:szCs w:val="21"/>
        </w:rPr>
        <w:t>招标技术要求</w:t>
      </w:r>
      <w:r>
        <w:rPr>
          <w:rFonts w:hint="eastAsia" w:ascii="宋体" w:hAnsi="宋体" w:cs="Arial"/>
          <w:bCs/>
          <w:szCs w:val="21"/>
        </w:rPr>
        <w:t>”一栏逐一列出招标文件第二章《项目需求》中“</w:t>
      </w:r>
      <w:r>
        <w:rPr>
          <w:rFonts w:hint="eastAsia" w:ascii="宋体" w:hAnsi="宋体" w:cs="Arial"/>
          <w:b/>
          <w:bCs/>
          <w:szCs w:val="21"/>
        </w:rPr>
        <w:t>二、</w:t>
      </w:r>
      <w:r>
        <w:rPr>
          <w:rFonts w:hint="eastAsia" w:ascii="宋体" w:hAnsi="宋体"/>
          <w:b/>
          <w:bCs/>
          <w:snapToGrid w:val="0"/>
          <w:szCs w:val="21"/>
        </w:rPr>
        <w:t>技术要求</w:t>
      </w:r>
      <w:r>
        <w:rPr>
          <w:rFonts w:hint="eastAsia" w:ascii="宋体" w:hAnsi="宋体" w:cs="Arial"/>
          <w:bCs/>
          <w:szCs w:val="21"/>
        </w:rPr>
        <w:t>”的内容；“</w:t>
      </w:r>
      <w:r>
        <w:rPr>
          <w:rFonts w:hint="eastAsia" w:ascii="宋体" w:hAnsi="宋体"/>
          <w:szCs w:val="21"/>
        </w:rPr>
        <w:t>投标技术响应</w:t>
      </w:r>
      <w:r>
        <w:rPr>
          <w:rFonts w:hint="eastAsia" w:ascii="宋体" w:hAnsi="宋体" w:cs="Arial"/>
          <w:bCs/>
          <w:szCs w:val="21"/>
        </w:rPr>
        <w:t>”一栏应详细填写投标产品的具体参数响应情况。</w:t>
      </w:r>
    </w:p>
    <w:p>
      <w:pPr>
        <w:spacing w:line="400" w:lineRule="exact"/>
        <w:ind w:firstLine="424" w:firstLineChars="202"/>
        <w:rPr>
          <w:rFonts w:ascii="宋体" w:hAnsi="宋体" w:cs="Arial"/>
          <w:bCs/>
          <w:szCs w:val="21"/>
        </w:rPr>
      </w:pPr>
      <w:r>
        <w:rPr>
          <w:rFonts w:hint="eastAsia" w:ascii="宋体" w:hAnsi="宋体" w:cs="Arial"/>
          <w:bCs/>
          <w:szCs w:val="21"/>
        </w:rPr>
        <w:t>2、“偏离情况”栏中应如实填写“正偏离”、“负偏离”或“无偏离”。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条款为不可负偏离条款，投标文件响应为“负偏离”或未响应的，投标文件将按无效投标处理。</w:t>
      </w:r>
    </w:p>
    <w:p>
      <w:pPr>
        <w:spacing w:line="400" w:lineRule="exact"/>
        <w:ind w:firstLine="424" w:firstLineChars="202"/>
        <w:rPr>
          <w:rFonts w:asciiTheme="minorEastAsia" w:hAnsiTheme="minorEastAsia" w:eastAsiaTheme="minorEastAsia"/>
          <w:szCs w:val="21"/>
        </w:rPr>
      </w:pPr>
      <w:r>
        <w:rPr>
          <w:rFonts w:hint="eastAsia" w:ascii="宋体" w:hAnsi="宋体" w:cs="Arial"/>
          <w:bCs/>
          <w:szCs w:val="21"/>
        </w:rPr>
        <w:t>3、</w:t>
      </w:r>
      <w:r>
        <w:rPr>
          <w:rFonts w:hint="eastAsia" w:asciiTheme="minorEastAsia" w:hAnsiTheme="minorEastAsia" w:eastAsiaTheme="minorEastAsia"/>
          <w:b/>
          <w:szCs w:val="21"/>
        </w:rPr>
        <w:t>投标产品的技术参数应按</w:t>
      </w:r>
      <w:r>
        <w:rPr>
          <w:rFonts w:hint="eastAsia" w:ascii="宋体" w:hAnsi="宋体" w:cs="Arial"/>
          <w:b/>
          <w:bCs/>
          <w:szCs w:val="21"/>
        </w:rPr>
        <w:t>招标文件第二章《项目需求》中“二、</w:t>
      </w:r>
      <w:r>
        <w:rPr>
          <w:rFonts w:hint="eastAsia" w:ascii="宋体" w:hAnsi="宋体"/>
          <w:b/>
          <w:bCs/>
          <w:snapToGrid w:val="0"/>
          <w:szCs w:val="21"/>
        </w:rPr>
        <w:t>技术要求</w:t>
      </w:r>
      <w:r>
        <w:rPr>
          <w:rFonts w:hint="eastAsia" w:ascii="宋体" w:hAnsi="宋体" w:cs="Arial"/>
          <w:b/>
          <w:bCs/>
          <w:szCs w:val="21"/>
        </w:rPr>
        <w:t>”</w:t>
      </w:r>
      <w:r>
        <w:rPr>
          <w:rFonts w:hint="eastAsia" w:asciiTheme="minorEastAsia" w:hAnsiTheme="minorEastAsia" w:eastAsiaTheme="minorEastAsia"/>
          <w:b/>
          <w:szCs w:val="21"/>
        </w:rPr>
        <w:t>中的要求提供相应的证明资料，以证明投标人响应的真实性。</w:t>
      </w:r>
      <w:r>
        <w:rPr>
          <w:rFonts w:hint="eastAsia" w:asciiTheme="minorEastAsia" w:hAnsiTheme="minorEastAsia" w:eastAsiaTheme="minorEastAsia"/>
          <w:szCs w:val="21"/>
        </w:rPr>
        <w:t>证明资料包括制造商公布的产品说明书、产品彩页和我国政府机构出具的产品检验和核准证件等。投标人应在“说明”一栏中列出技术参数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spacing w:line="400" w:lineRule="exact"/>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4、证明资料（均为复印件或扫描件）的提供要求：</w:t>
      </w:r>
    </w:p>
    <w:p>
      <w:pPr>
        <w:spacing w:line="400" w:lineRule="exact"/>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 xml:space="preserve">（1）产品说明书或彩页应为制造商公布或出具的中文产品说明书或彩页；提供外文说明书或彩页的，需同时提供加盖制造商公章的对应中文翻译说明，评标依据以中文翻译内容为准，外文说明书或彩页仅供参考； </w:t>
      </w:r>
    </w:p>
    <w:p>
      <w:pPr>
        <w:spacing w:line="400" w:lineRule="exact"/>
        <w:ind w:firstLine="424" w:firstLineChars="202"/>
        <w:rPr>
          <w:rFonts w:ascii="宋体" w:hAnsi="宋体" w:cs="Arial"/>
          <w:b/>
          <w:bCs/>
          <w:szCs w:val="21"/>
        </w:rPr>
      </w:pPr>
      <w:r>
        <w:rPr>
          <w:rFonts w:hint="eastAsia" w:asciiTheme="minorEastAsia" w:hAnsiTheme="minorEastAsia" w:eastAsiaTheme="minorEastAsia"/>
          <w:szCs w:val="21"/>
        </w:rPr>
        <w:t>（2）我国政府机构出具的产品检验和核准证件应为证件正面、背面和附件标注的全部具体内容</w:t>
      </w:r>
      <w:r>
        <w:rPr>
          <w:rFonts w:hint="eastAsia" w:ascii="宋体" w:hAnsi="宋体" w:cs="Arial"/>
          <w:bCs/>
          <w:szCs w:val="21"/>
        </w:rPr>
        <w:t>。</w:t>
      </w:r>
    </w:p>
    <w:p>
      <w:pPr>
        <w:adjustRightInd w:val="0"/>
        <w:snapToGrid w:val="0"/>
        <w:spacing w:line="360" w:lineRule="auto"/>
        <w:rPr>
          <w:bCs/>
          <w:snapToGrid w:val="0"/>
        </w:rPr>
      </w:pPr>
    </w:p>
    <w:p>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spacing w:line="360" w:lineRule="auto"/>
              <w:jc w:val="center"/>
              <w:rPr>
                <w:rFonts w:ascii="宋体" w:hAnsi="宋体"/>
                <w:szCs w:val="21"/>
              </w:rPr>
            </w:pPr>
            <w:r>
              <w:rPr>
                <w:rFonts w:hint="eastAsia" w:ascii="宋体" w:hAnsi="宋体"/>
                <w:szCs w:val="21"/>
              </w:rPr>
              <w:t>序号</w:t>
            </w:r>
          </w:p>
        </w:tc>
        <w:tc>
          <w:tcPr>
            <w:tcW w:w="3077" w:type="dxa"/>
            <w:vAlign w:val="center"/>
          </w:tcPr>
          <w:p>
            <w:pPr>
              <w:spacing w:line="360" w:lineRule="auto"/>
              <w:jc w:val="center"/>
              <w:rPr>
                <w:rFonts w:ascii="宋体" w:hAnsi="宋体"/>
                <w:szCs w:val="21"/>
              </w:rPr>
            </w:pPr>
            <w:r>
              <w:rPr>
                <w:rFonts w:hint="eastAsia" w:ascii="宋体" w:hAnsi="宋体"/>
                <w:szCs w:val="21"/>
              </w:rPr>
              <w:t>招标商务需求</w:t>
            </w:r>
          </w:p>
        </w:tc>
        <w:tc>
          <w:tcPr>
            <w:tcW w:w="2735" w:type="dxa"/>
            <w:vAlign w:val="center"/>
          </w:tcPr>
          <w:p>
            <w:pPr>
              <w:spacing w:line="360" w:lineRule="auto"/>
              <w:jc w:val="center"/>
              <w:rPr>
                <w:rFonts w:ascii="宋体" w:hAnsi="宋体"/>
                <w:szCs w:val="21"/>
              </w:rPr>
            </w:pPr>
            <w:r>
              <w:rPr>
                <w:rFonts w:hint="eastAsia" w:ascii="宋体" w:hAnsi="宋体"/>
                <w:szCs w:val="21"/>
              </w:rPr>
              <w:t>投标商务响应</w:t>
            </w:r>
          </w:p>
        </w:tc>
        <w:tc>
          <w:tcPr>
            <w:tcW w:w="1801" w:type="dxa"/>
            <w:vAlign w:val="center"/>
          </w:tcPr>
          <w:p>
            <w:pPr>
              <w:spacing w:line="360" w:lineRule="auto"/>
              <w:jc w:val="center"/>
              <w:rPr>
                <w:rFonts w:ascii="宋体" w:hAnsi="宋体"/>
                <w:szCs w:val="21"/>
              </w:rPr>
            </w:pPr>
            <w:r>
              <w:rPr>
                <w:rFonts w:hint="eastAsia" w:ascii="宋体" w:hAnsi="宋体"/>
                <w:szCs w:val="21"/>
              </w:rPr>
              <w:t>偏离情况</w:t>
            </w:r>
          </w:p>
        </w:tc>
        <w:tc>
          <w:tcPr>
            <w:tcW w:w="1515" w:type="dxa"/>
            <w:vAlign w:val="center"/>
          </w:tcPr>
          <w:p>
            <w:pPr>
              <w:spacing w:line="360" w:lineRule="auto"/>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bCs/>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cs="宋体"/>
                <w:b/>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bCs/>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cs="宋体"/>
                <w:b/>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spacing w:line="360" w:lineRule="auto"/>
              <w:rPr>
                <w:rFonts w:ascii="宋体" w:hAnsi="宋体" w:cs="宋体"/>
                <w:szCs w:val="21"/>
              </w:rPr>
            </w:pPr>
          </w:p>
        </w:tc>
      </w:tr>
    </w:tbl>
    <w:p>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rPr>
        <w:t>招标商务需求</w:t>
      </w:r>
      <w:r>
        <w:rPr>
          <w:rFonts w:hint="eastAsia" w:ascii="宋体" w:hAnsi="宋体" w:cs="Arial"/>
          <w:bCs/>
          <w:szCs w:val="21"/>
        </w:rPr>
        <w:t>”一栏逐一列出招标文件第二章《项目需求》中“</w:t>
      </w:r>
      <w:r>
        <w:rPr>
          <w:rFonts w:hint="eastAsia" w:ascii="宋体" w:hAnsi="宋体" w:cs="Arial"/>
          <w:b/>
          <w:bCs/>
          <w:szCs w:val="21"/>
        </w:rPr>
        <w:t>三、商务要求</w:t>
      </w:r>
      <w:r>
        <w:rPr>
          <w:rFonts w:hint="eastAsia" w:ascii="宋体" w:hAnsi="宋体" w:cs="Arial"/>
          <w:bCs/>
          <w:szCs w:val="21"/>
        </w:rPr>
        <w:t>”的内容；“</w:t>
      </w:r>
      <w:r>
        <w:rPr>
          <w:rFonts w:hint="eastAsia" w:ascii="宋体" w:hAnsi="宋体"/>
          <w:szCs w:val="21"/>
        </w:rPr>
        <w:t>投标商务响应</w:t>
      </w:r>
      <w:r>
        <w:rPr>
          <w:rFonts w:hint="eastAsia" w:ascii="宋体" w:hAnsi="宋体" w:cs="Arial"/>
          <w:bCs/>
          <w:szCs w:val="21"/>
        </w:rPr>
        <w:t>”一栏应详细填写投标商务条款的响应内容。</w:t>
      </w:r>
    </w:p>
    <w:p>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条款为不可负偏离条款，投标文件响应为“负偏离”或未响应的，投标文件将按无效投标处理。</w:t>
      </w:r>
    </w:p>
    <w:p>
      <w:pPr>
        <w:spacing w:line="400" w:lineRule="exact"/>
        <w:ind w:firstLine="420" w:firstLineChars="200"/>
      </w:pPr>
      <w:r>
        <w:rPr>
          <w:rFonts w:hint="eastAsia" w:asciiTheme="minorEastAsia" w:hAnsiTheme="minorEastAsia" w:eastAsiaTheme="minorEastAsia"/>
          <w:szCs w:val="21"/>
        </w:rPr>
        <w:t>3、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spacing w:line="400" w:lineRule="exact"/>
        <w:ind w:firstLine="420" w:firstLineChars="200"/>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rPr>
          <w:snapToGrid w:val="0"/>
          <w:kern w:val="0"/>
        </w:rPr>
      </w:pPr>
    </w:p>
    <w:p>
      <w:pPr>
        <w:adjustRightInd w:val="0"/>
        <w:snapToGrid w:val="0"/>
        <w:spacing w:line="300" w:lineRule="auto"/>
        <w:ind w:right="420"/>
        <w:jc w:val="center"/>
      </w:pPr>
      <w:r>
        <w:rPr>
          <w:rFonts w:hint="eastAsia"/>
          <w:snapToGrid w:val="0"/>
          <w:kern w:val="0"/>
        </w:rPr>
        <w:t xml:space="preserve">                                                            年    月    日</w:t>
      </w:r>
      <w:r>
        <w:br w:type="page"/>
      </w:r>
    </w:p>
    <w:p>
      <w:pPr>
        <w:adjustRightInd w:val="0"/>
        <w:snapToGrid w:val="0"/>
        <w:spacing w:line="300" w:lineRule="auto"/>
        <w:ind w:right="420"/>
        <w:jc w:val="cente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格式12  招标文件要求的其他资料或投标人认为需要补充的资料</w:t>
      </w:r>
    </w:p>
    <w:p>
      <w:pPr>
        <w:spacing w:line="360" w:lineRule="auto"/>
        <w:jc w:val="center"/>
      </w:pPr>
    </w:p>
    <w:p>
      <w:pPr>
        <w:spacing w:line="360" w:lineRule="auto"/>
        <w:ind w:firstLine="420" w:firstLineChars="200"/>
      </w:pPr>
      <w:r>
        <w:rPr>
          <w:szCs w:val="20"/>
        </w:rPr>
        <w:t>投标人</w:t>
      </w:r>
      <w:r>
        <w:rPr>
          <w:rFonts w:hint="eastAsia"/>
          <w:szCs w:val="20"/>
        </w:rPr>
        <w:t>须</w:t>
      </w:r>
      <w:r>
        <w:rPr>
          <w:szCs w:val="20"/>
        </w:rPr>
        <w:t>按要求编制投标文件，提供的内容要详细、真实、可靠。若提供的资料不齐，将导致扣分；若严重缺项、漏项，其投标将被拒绝。</w:t>
      </w:r>
    </w:p>
    <w:p>
      <w:pPr>
        <w:adjustRightInd w:val="0"/>
        <w:snapToGrid w:val="0"/>
        <w:spacing w:line="360" w:lineRule="auto"/>
        <w:ind w:firstLine="420" w:firstLineChars="200"/>
        <w:rPr>
          <w:bCs/>
          <w:snapToGrid w:val="0"/>
          <w:kern w:val="0"/>
        </w:rPr>
      </w:pPr>
    </w:p>
    <w:p>
      <w:pPr>
        <w:adjustRightInd w:val="0"/>
        <w:snapToGrid w:val="0"/>
        <w:spacing w:line="300" w:lineRule="auto"/>
        <w:ind w:firstLine="420" w:firstLineChars="200"/>
        <w:rPr>
          <w:b/>
          <w:snapToGrid w:val="0"/>
          <w:kern w:val="0"/>
          <w:sz w:val="24"/>
        </w:rPr>
      </w:pPr>
      <w:r>
        <w:rPr>
          <w:rFonts w:hint="eastAsia"/>
          <w:bCs/>
          <w:snapToGrid w:val="0"/>
          <w:kern w:val="0"/>
        </w:rPr>
        <w:t>注：如需提供补充资料，本部分资料格式不做统一规定，由投标人自行设计。</w:t>
      </w:r>
    </w:p>
    <w:p>
      <w:pPr>
        <w:pStyle w:val="2"/>
        <w:keepNext w:val="0"/>
        <w:rPr>
          <w:b w:val="0"/>
          <w:snapToGrid w:val="0"/>
          <w:kern w:val="0"/>
          <w:sz w:val="52"/>
          <w:szCs w:val="52"/>
        </w:rPr>
      </w:pPr>
    </w:p>
    <w:p/>
    <w:p/>
    <w:p/>
    <w:p/>
    <w:p/>
    <w:p/>
    <w:p/>
    <w:p/>
    <w:p/>
    <w:p/>
    <w:p/>
    <w:p/>
    <w:p/>
    <w:p/>
    <w:p/>
    <w:p/>
    <w:p/>
    <w:p/>
    <w:p>
      <w:pPr>
        <w:tabs>
          <w:tab w:val="left" w:pos="1875"/>
        </w:tabs>
      </w:pPr>
      <w:r>
        <w:tab/>
      </w: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widowControl/>
        <w:jc w:val="left"/>
      </w:pPr>
      <w:r>
        <w:br w:type="page"/>
      </w:r>
    </w:p>
    <w:p>
      <w:pPr>
        <w:tabs>
          <w:tab w:val="left" w:pos="1875"/>
        </w:tabs>
      </w:pPr>
    </w:p>
    <w:p>
      <w:pPr>
        <w:tabs>
          <w:tab w:val="left" w:pos="1875"/>
        </w:tabs>
      </w:pPr>
    </w:p>
    <w:p>
      <w:pPr>
        <w:pStyle w:val="2"/>
        <w:spacing w:before="0" w:after="0"/>
      </w:pPr>
      <w:bookmarkStart w:id="84" w:name="_Toc73610160"/>
      <w:r>
        <w:rPr>
          <w:rFonts w:hint="eastAsia"/>
        </w:rPr>
        <w:t>第八章  合同条款</w:t>
      </w:r>
      <w:bookmarkEnd w:id="84"/>
    </w:p>
    <w:p>
      <w:pPr>
        <w:jc w:val="center"/>
        <w:rPr>
          <w:b/>
          <w:szCs w:val="21"/>
        </w:rPr>
      </w:pPr>
    </w:p>
    <w:p>
      <w:pPr>
        <w:adjustRightInd w:val="0"/>
        <w:snapToGrid w:val="0"/>
        <w:spacing w:after="60" w:line="360" w:lineRule="auto"/>
        <w:jc w:val="center"/>
        <w:rPr>
          <w:b/>
          <w:snapToGrid w:val="0"/>
          <w:kern w:val="0"/>
          <w:sz w:val="24"/>
        </w:rPr>
      </w:pPr>
      <w:r>
        <w:rPr>
          <w:rFonts w:hint="eastAsia"/>
          <w:b/>
          <w:snapToGrid w:val="0"/>
          <w:kern w:val="0"/>
          <w:sz w:val="24"/>
        </w:rPr>
        <w:t>（拟签订的合同文本）</w:t>
      </w:r>
    </w:p>
    <w:p>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pPr>
        <w:adjustRightInd w:val="0"/>
        <w:snapToGrid w:val="0"/>
        <w:spacing w:line="360" w:lineRule="auto"/>
        <w:jc w:val="center"/>
        <w:rPr>
          <w:b/>
          <w:snapToGrid w:val="0"/>
          <w:kern w:val="0"/>
          <w:sz w:val="28"/>
        </w:rPr>
      </w:pPr>
    </w:p>
    <w:p>
      <w:pPr>
        <w:spacing w:line="360" w:lineRule="auto"/>
        <w:rPr>
          <w:rFonts w:asciiTheme="minorEastAsia" w:hAnsiTheme="minorEastAsia"/>
          <w:b/>
          <w:bCs/>
          <w:szCs w:val="21"/>
        </w:rPr>
      </w:pPr>
      <w:r>
        <w:rPr>
          <w:rFonts w:hint="eastAsia" w:asciiTheme="minorEastAsia" w:hAnsiTheme="minorEastAsia"/>
          <w:b/>
          <w:bCs/>
          <w:szCs w:val="21"/>
        </w:rPr>
        <w:t>甲方（采购人）：</w:t>
      </w:r>
    </w:p>
    <w:p>
      <w:pPr>
        <w:spacing w:line="360" w:lineRule="auto"/>
        <w:rPr>
          <w:rFonts w:asciiTheme="minorEastAsia" w:hAnsiTheme="minorEastAsia"/>
          <w:szCs w:val="21"/>
        </w:rPr>
      </w:pPr>
      <w:r>
        <w:rPr>
          <w:rFonts w:hint="eastAsia" w:asciiTheme="minorEastAsia" w:hAnsiTheme="minorEastAsia"/>
          <w:b/>
          <w:bCs/>
          <w:szCs w:val="21"/>
        </w:rPr>
        <w:t>乙方（中标人）：</w:t>
      </w:r>
    </w:p>
    <w:p>
      <w:pPr>
        <w:snapToGrid w:val="0"/>
        <w:spacing w:line="360" w:lineRule="auto"/>
        <w:ind w:firstLine="420" w:firstLineChars="200"/>
        <w:rPr>
          <w:rFonts w:ascii="宋体" w:hAnsi="宋体"/>
          <w:szCs w:val="21"/>
        </w:rPr>
      </w:pPr>
    </w:p>
    <w:p>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根据《中华人民共和国政府采购法》、《深圳经济特区政府采购条例》、《中华人民共和国民法典》之规定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第一条</w:t>
      </w:r>
      <w:r>
        <w:rPr>
          <w:rFonts w:asciiTheme="minorEastAsia" w:hAnsiTheme="minorEastAsia"/>
          <w:b/>
          <w:szCs w:val="21"/>
        </w:rPr>
        <w:t xml:space="preserve">  </w:t>
      </w:r>
      <w:r>
        <w:rPr>
          <w:rFonts w:hint="eastAsia" w:asciiTheme="minorEastAsia" w:hAnsiTheme="minorEastAsia"/>
          <w:b/>
          <w:szCs w:val="21"/>
        </w:rPr>
        <w:t>合同标的</w:t>
      </w:r>
    </w:p>
    <w:p>
      <w:pPr>
        <w:spacing w:line="360" w:lineRule="auto"/>
        <w:ind w:firstLine="420" w:firstLineChars="200"/>
        <w:rPr>
          <w:rFonts w:asciiTheme="minorEastAsia" w:hAnsiTheme="minorEastAsia"/>
          <w:szCs w:val="21"/>
        </w:rPr>
      </w:pPr>
      <w:r>
        <w:rPr>
          <w:rFonts w:hint="eastAsia" w:asciiTheme="minorEastAsia" w:hAnsiTheme="minorEastAsia"/>
          <w:szCs w:val="21"/>
        </w:rPr>
        <w:t>货物名称、规格型号、制造商、产地、单位、数量、单价、合同价，详见</w:t>
      </w:r>
      <w:r>
        <w:rPr>
          <w:rFonts w:asciiTheme="minorEastAsia" w:hAnsiTheme="minorEastAsia"/>
          <w:b/>
          <w:szCs w:val="21"/>
          <w:u w:val="single"/>
        </w:rPr>
        <w:t xml:space="preserve">                  </w:t>
      </w:r>
      <w:r>
        <w:rPr>
          <w:rFonts w:hint="eastAsia" w:asciiTheme="minorEastAsia" w:hAnsiTheme="minorEastAsia"/>
          <w:szCs w:val="21"/>
        </w:rPr>
        <w:t>。</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第二条</w:t>
      </w:r>
      <w:r>
        <w:rPr>
          <w:rFonts w:asciiTheme="minorEastAsia" w:hAnsiTheme="minorEastAsia"/>
          <w:b/>
          <w:szCs w:val="21"/>
        </w:rPr>
        <w:t xml:space="preserve">  </w:t>
      </w:r>
      <w:r>
        <w:rPr>
          <w:rFonts w:hint="eastAsia" w:asciiTheme="minorEastAsia" w:hAnsiTheme="minorEastAsia"/>
          <w:b/>
          <w:szCs w:val="21"/>
        </w:rPr>
        <w:t>合同价款</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本合同项下总价款为</w:t>
      </w:r>
      <w:r>
        <w:rPr>
          <w:rFonts w:asciiTheme="minorEastAsia" w:hAnsiTheme="minorEastAsia"/>
          <w:szCs w:val="21"/>
          <w:u w:val="single"/>
        </w:rPr>
        <w:t xml:space="preserve">              </w:t>
      </w:r>
      <w:r>
        <w:rPr>
          <w:rFonts w:hint="eastAsia" w:asciiTheme="minorEastAsia" w:hAnsiTheme="minorEastAsia"/>
          <w:szCs w:val="21"/>
        </w:rPr>
        <w:t>（大写）人民币，分项价款详见</w:t>
      </w:r>
      <w:r>
        <w:rPr>
          <w:rFonts w:asciiTheme="minorEastAsia" w:hAnsiTheme="minorEastAsia"/>
          <w:b/>
          <w:szCs w:val="21"/>
          <w:u w:val="single"/>
        </w:rPr>
        <w:t xml:space="preserve">          </w:t>
      </w:r>
      <w:r>
        <w:rPr>
          <w:rFonts w:hint="eastAsia" w:asciiTheme="minorEastAsia" w:hAnsiTheme="minorEastAsia"/>
          <w:szCs w:val="21"/>
        </w:rPr>
        <w:t>。本合同总价款已包括乙方为履行本合同义务所发生的一切费用，系固定不变价格，且不随通货膨胀的影响而波动。</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第三条</w:t>
      </w:r>
      <w:r>
        <w:rPr>
          <w:rFonts w:asciiTheme="minorEastAsia" w:hAnsiTheme="minorEastAsia"/>
          <w:b/>
          <w:szCs w:val="21"/>
        </w:rPr>
        <w:t xml:space="preserve">  </w:t>
      </w:r>
      <w:r>
        <w:rPr>
          <w:rFonts w:hint="eastAsia" w:asciiTheme="minorEastAsia" w:hAnsiTheme="minorEastAsia"/>
          <w:b/>
          <w:szCs w:val="21"/>
        </w:rPr>
        <w:t>交货时间、地点和交货状态</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3.1交货时间：</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3.2交货地点：</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3.3交货状态：</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第四条</w:t>
      </w:r>
      <w:r>
        <w:rPr>
          <w:rFonts w:asciiTheme="minorEastAsia" w:hAnsiTheme="minorEastAsia"/>
          <w:b/>
          <w:szCs w:val="21"/>
        </w:rPr>
        <w:t xml:space="preserve">  </w:t>
      </w:r>
      <w:r>
        <w:rPr>
          <w:rFonts w:hint="eastAsia" w:asciiTheme="minorEastAsia" w:hAnsiTheme="minorEastAsia"/>
          <w:b/>
          <w:szCs w:val="21"/>
        </w:rPr>
        <w:t>质量标准和要求</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4.1乙方所提供的货物质量标准按照国家标准或者行业标准或者企业标准明确。没有国家标准、行业标准或企业标准的，按照通常标准或者符合合同目的的特定标准确定。</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4.2乙方应保证货物是全新、未使用过的原装合格正品（包括零部件），并完全符合甲方要求的质量、规格和性能的要求。如货物安装或配置了软件的，乙方保证相关软件均为正版软件。</w:t>
      </w:r>
    </w:p>
    <w:p>
      <w:pPr>
        <w:spacing w:line="360" w:lineRule="auto"/>
        <w:ind w:firstLine="420" w:firstLineChars="200"/>
        <w:jc w:val="left"/>
        <w:rPr>
          <w:rFonts w:asciiTheme="minorEastAsia" w:hAnsiTheme="minorEastAsia"/>
          <w:szCs w:val="21"/>
        </w:rPr>
      </w:pPr>
      <w:r>
        <w:rPr>
          <w:rFonts w:asciiTheme="minorEastAsia" w:hAnsiTheme="minorEastAsia"/>
          <w:szCs w:val="21"/>
        </w:rPr>
        <w:t>4.3乙方保证交货时一并提供货物的质量合格凭证或文件。</w:t>
      </w:r>
    </w:p>
    <w:p>
      <w:pPr>
        <w:spacing w:line="360" w:lineRule="auto"/>
        <w:ind w:firstLine="420" w:firstLineChars="200"/>
        <w:jc w:val="left"/>
        <w:rPr>
          <w:rFonts w:asciiTheme="minorEastAsia" w:hAnsiTheme="minorEastAsia"/>
          <w:szCs w:val="21"/>
        </w:rPr>
      </w:pPr>
      <w:r>
        <w:rPr>
          <w:rFonts w:asciiTheme="minorEastAsia" w:hAnsiTheme="minorEastAsia"/>
          <w:szCs w:val="21"/>
        </w:rPr>
        <w:t>4.4乙方所提供的全部货物均应按照标准保护措施进行包装，包装应适用于远距离运输、防潮、防震、防锈、防野蛮装卸等要求，以确保货物安全无损抵运指定交货地点。</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第五条</w:t>
      </w:r>
      <w:r>
        <w:rPr>
          <w:rFonts w:asciiTheme="minorEastAsia" w:hAnsiTheme="minorEastAsia"/>
          <w:b/>
          <w:szCs w:val="21"/>
        </w:rPr>
        <w:t xml:space="preserve">  </w:t>
      </w:r>
      <w:r>
        <w:rPr>
          <w:rFonts w:hint="eastAsia" w:asciiTheme="minorEastAsia" w:hAnsiTheme="minorEastAsia"/>
          <w:b/>
          <w:szCs w:val="21"/>
        </w:rPr>
        <w:t>权利保证</w:t>
      </w:r>
    </w:p>
    <w:p>
      <w:pPr>
        <w:spacing w:line="360" w:lineRule="auto"/>
        <w:ind w:firstLine="420" w:firstLineChars="200"/>
        <w:jc w:val="left"/>
        <w:rPr>
          <w:rFonts w:asciiTheme="minorEastAsia" w:hAnsiTheme="minorEastAsia"/>
          <w:szCs w:val="21"/>
        </w:rPr>
      </w:pPr>
      <w:r>
        <w:rPr>
          <w:rFonts w:asciiTheme="minorEastAsia" w:hAnsiTheme="minorEastAsia"/>
          <w:szCs w:val="21"/>
        </w:rPr>
        <w:t>5.1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spacing w:line="360" w:lineRule="auto"/>
        <w:ind w:firstLine="420" w:firstLineChars="200"/>
        <w:jc w:val="left"/>
        <w:rPr>
          <w:rFonts w:asciiTheme="minorEastAsia" w:hAnsiTheme="minorEastAsia"/>
          <w:szCs w:val="21"/>
        </w:rPr>
      </w:pPr>
      <w:r>
        <w:rPr>
          <w:rFonts w:asciiTheme="minorEastAsia" w:hAnsiTheme="minorEastAsia"/>
          <w:szCs w:val="21"/>
        </w:rPr>
        <w:t>5.2乙方应保证其提供的货物不存在任何未曾向甲方透漏的担保物权，如抵押权、质押权、留置权等。</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第六条</w:t>
      </w:r>
      <w:r>
        <w:rPr>
          <w:rFonts w:asciiTheme="minorEastAsia" w:hAnsiTheme="minorEastAsia"/>
          <w:b/>
          <w:szCs w:val="21"/>
        </w:rPr>
        <w:t xml:space="preserve">  </w:t>
      </w:r>
      <w:r>
        <w:rPr>
          <w:rFonts w:hint="eastAsia" w:asciiTheme="minorEastAsia" w:hAnsiTheme="minorEastAsia"/>
          <w:b/>
          <w:szCs w:val="21"/>
        </w:rPr>
        <w:t>质量保障</w:t>
      </w:r>
    </w:p>
    <w:p>
      <w:pPr>
        <w:spacing w:line="360" w:lineRule="auto"/>
        <w:ind w:firstLine="420" w:firstLineChars="200"/>
        <w:jc w:val="left"/>
        <w:rPr>
          <w:rFonts w:asciiTheme="minorEastAsia" w:hAnsiTheme="minorEastAsia"/>
          <w:szCs w:val="21"/>
        </w:rPr>
      </w:pPr>
      <w:r>
        <w:rPr>
          <w:rFonts w:asciiTheme="minorEastAsia" w:hAnsiTheme="minorEastAsia"/>
          <w:szCs w:val="21"/>
        </w:rPr>
        <w:t>6.1乙方应保证其提供的货物是全新的，未使用过的，并且完全符合合同规定的质量、规格和性能要求。乙方应保证其提供的货物在正确安装、正常使用和保养条件下，在其使用寿命期限内应具有很满意的性能。在货物最终交付验收后的质量保证期限内，乙方应对由于设计、工艺或材料的缺陷而产生的故障承担责任。</w:t>
      </w:r>
    </w:p>
    <w:p>
      <w:pPr>
        <w:spacing w:line="360" w:lineRule="auto"/>
        <w:ind w:firstLine="420" w:firstLineChars="200"/>
        <w:jc w:val="left"/>
        <w:rPr>
          <w:rFonts w:asciiTheme="minorEastAsia" w:hAnsiTheme="minorEastAsia"/>
          <w:szCs w:val="21"/>
        </w:rPr>
      </w:pPr>
      <w:r>
        <w:rPr>
          <w:rFonts w:asciiTheme="minorEastAsia" w:hAnsiTheme="minorEastAsia"/>
          <w:szCs w:val="21"/>
        </w:rPr>
        <w:t>6.2在质量保证期限内，如果货物的质量或规格与合同不符，或者证实货物存在缺陷的，包括潜在的缺陷或者使用不符合要求的材料等，甲方可根据本合同追究乙方相应违约责任。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6.3质量保证金：乙方应向甲方交纳</w:t>
      </w:r>
      <w:r>
        <w:rPr>
          <w:rFonts w:asciiTheme="minorEastAsia" w:hAnsiTheme="minorEastAsia"/>
          <w:szCs w:val="21"/>
          <w:u w:val="single"/>
        </w:rPr>
        <w:t xml:space="preserve">     </w:t>
      </w:r>
      <w:r>
        <w:rPr>
          <w:rFonts w:hint="eastAsia" w:asciiTheme="minorEastAsia" w:hAnsiTheme="minorEastAsia"/>
          <w:szCs w:val="21"/>
        </w:rPr>
        <w:t>元质量保证金，也可以采用支票或者甲方认可的银行出具的保函。质量保证金应在合同签订之日起</w:t>
      </w:r>
      <w:r>
        <w:rPr>
          <w:rFonts w:asciiTheme="minorEastAsia" w:hAnsiTheme="minorEastAsia"/>
          <w:szCs w:val="21"/>
          <w:u w:val="single"/>
        </w:rPr>
        <w:t xml:space="preserve">   </w:t>
      </w:r>
      <w:r>
        <w:rPr>
          <w:rFonts w:hint="eastAsia" w:asciiTheme="minorEastAsia" w:hAnsiTheme="minorEastAsia"/>
          <w:szCs w:val="21"/>
        </w:rPr>
        <w:t>日内一次性支付给甲方。验收合格后</w:t>
      </w:r>
      <w:r>
        <w:rPr>
          <w:rFonts w:asciiTheme="minorEastAsia" w:hAnsiTheme="minorEastAsia"/>
          <w:szCs w:val="21"/>
          <w:u w:val="single"/>
        </w:rPr>
        <w:t xml:space="preserve">   </w:t>
      </w:r>
      <w:r>
        <w:rPr>
          <w:rFonts w:hint="eastAsia" w:asciiTheme="minorEastAsia" w:hAnsiTheme="minorEastAsia"/>
          <w:szCs w:val="21"/>
        </w:rPr>
        <w:t>日内，甲方一次性将质量保证金无息退还给乙方。</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第七条</w:t>
      </w:r>
      <w:r>
        <w:rPr>
          <w:rFonts w:asciiTheme="minorEastAsia" w:hAnsiTheme="minorEastAsia"/>
          <w:b/>
          <w:szCs w:val="21"/>
        </w:rPr>
        <w:t xml:space="preserve">  </w:t>
      </w:r>
      <w:r>
        <w:rPr>
          <w:rFonts w:hint="eastAsia" w:asciiTheme="minorEastAsia" w:hAnsiTheme="minorEastAsia"/>
          <w:b/>
          <w:szCs w:val="21"/>
        </w:rPr>
        <w:t>交货和验收</w:t>
      </w:r>
    </w:p>
    <w:p>
      <w:pPr>
        <w:spacing w:line="360" w:lineRule="auto"/>
        <w:ind w:firstLine="420" w:firstLineChars="200"/>
        <w:jc w:val="left"/>
        <w:rPr>
          <w:rFonts w:asciiTheme="minorEastAsia" w:hAnsiTheme="minorEastAsia"/>
          <w:szCs w:val="21"/>
        </w:rPr>
      </w:pPr>
      <w:r>
        <w:rPr>
          <w:rFonts w:asciiTheme="minorEastAsia" w:hAnsiTheme="minorEastAsia"/>
          <w:szCs w:val="21"/>
        </w:rPr>
        <w:t>7.1乙方应按照本合同或招投标文件规定的时间和方式向甲方交付货物，交货地点由甲方指定。因交货产生的费用由乙方自行承担。</w:t>
      </w:r>
    </w:p>
    <w:p>
      <w:pPr>
        <w:spacing w:line="360" w:lineRule="auto"/>
        <w:ind w:firstLine="420" w:firstLineChars="200"/>
        <w:jc w:val="left"/>
        <w:rPr>
          <w:rFonts w:asciiTheme="minorEastAsia" w:hAnsiTheme="minorEastAsia"/>
          <w:szCs w:val="21"/>
        </w:rPr>
      </w:pPr>
      <w:r>
        <w:rPr>
          <w:rFonts w:asciiTheme="minorEastAsia" w:hAnsiTheme="minorEastAsia"/>
          <w:szCs w:val="21"/>
        </w:rPr>
        <w:t>7.2乙方交付的货物应当完全符合招投标文件所规定的货物、数量、质量和规格要求。乙方提供的货物不符合招投标文件和合同规定的，甲方有权拒收货物，由此引起的风险，由乙方承担。</w:t>
      </w:r>
    </w:p>
    <w:p>
      <w:pPr>
        <w:spacing w:line="360" w:lineRule="auto"/>
        <w:ind w:firstLine="420" w:firstLineChars="200"/>
        <w:jc w:val="left"/>
        <w:rPr>
          <w:rFonts w:asciiTheme="minorEastAsia" w:hAnsiTheme="minorEastAsia"/>
          <w:szCs w:val="21"/>
        </w:rPr>
      </w:pPr>
      <w:r>
        <w:rPr>
          <w:rFonts w:asciiTheme="minorEastAsia" w:hAnsiTheme="minorEastAsia"/>
          <w:szCs w:val="21"/>
        </w:rPr>
        <w:t>7.3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7.4甲方应当在到货后的</w:t>
      </w:r>
      <w:r>
        <w:rPr>
          <w:rFonts w:asciiTheme="minorEastAsia" w:hAnsiTheme="minorEastAsia"/>
          <w:szCs w:val="21"/>
          <w:u w:val="single"/>
        </w:rPr>
        <w:t xml:space="preserve">       </w:t>
      </w:r>
      <w:r>
        <w:rPr>
          <w:rFonts w:hint="eastAsia" w:asciiTheme="minorEastAsia" w:hAnsiTheme="minorEastAsia"/>
          <w:szCs w:val="21"/>
        </w:rPr>
        <w:t>个工作日内对货物进行验收；需要乙方对货物或系统进行安装调试的，甲方应在货物安装调试完毕后的</w:t>
      </w:r>
      <w:r>
        <w:rPr>
          <w:rFonts w:asciiTheme="minorEastAsia" w:hAnsiTheme="minorEastAsia"/>
          <w:szCs w:val="21"/>
          <w:u w:val="single"/>
        </w:rPr>
        <w:t xml:space="preserve">       </w:t>
      </w:r>
      <w:r>
        <w:rPr>
          <w:rFonts w:hint="eastAsia" w:asciiTheme="minorEastAsia" w:hAnsiTheme="minorEastAsia"/>
          <w:szCs w:val="21"/>
        </w:rPr>
        <w:t>个工作日内进行质量验收。</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第八条</w:t>
      </w:r>
      <w:r>
        <w:rPr>
          <w:rFonts w:asciiTheme="minorEastAsia" w:hAnsiTheme="minorEastAsia"/>
          <w:b/>
          <w:szCs w:val="21"/>
        </w:rPr>
        <w:t xml:space="preserve">  </w:t>
      </w:r>
      <w:r>
        <w:rPr>
          <w:rFonts w:hint="eastAsia" w:asciiTheme="minorEastAsia" w:hAnsiTheme="minorEastAsia"/>
          <w:b/>
          <w:szCs w:val="21"/>
        </w:rPr>
        <w:t>保修及其他服务</w:t>
      </w:r>
    </w:p>
    <w:p>
      <w:pPr>
        <w:spacing w:line="360" w:lineRule="auto"/>
        <w:ind w:firstLine="420" w:firstLineChars="200"/>
        <w:jc w:val="left"/>
        <w:rPr>
          <w:rFonts w:asciiTheme="minorEastAsia" w:hAnsiTheme="minorEastAsia"/>
          <w:szCs w:val="21"/>
        </w:rPr>
      </w:pPr>
      <w:r>
        <w:rPr>
          <w:rFonts w:asciiTheme="minorEastAsia" w:hAnsiTheme="minorEastAsia"/>
          <w:szCs w:val="21"/>
        </w:rPr>
        <w:t>8.1乙方应按照国家有关法律法规规章和“三包”规定和招标文件的要求及乙方在投标文件的相关承诺提供保修及其他服务。</w:t>
      </w:r>
    </w:p>
    <w:p>
      <w:pPr>
        <w:spacing w:line="360" w:lineRule="auto"/>
        <w:ind w:firstLine="420" w:firstLineChars="200"/>
        <w:jc w:val="left"/>
        <w:rPr>
          <w:rFonts w:asciiTheme="minorEastAsia" w:hAnsiTheme="minorEastAsia"/>
          <w:szCs w:val="21"/>
        </w:rPr>
      </w:pPr>
      <w:r>
        <w:rPr>
          <w:rFonts w:asciiTheme="minorEastAsia" w:hAnsiTheme="minorEastAsia"/>
          <w:szCs w:val="21"/>
        </w:rPr>
        <w:t>8.2保修期内，乙方负责对其提供的货物进行维修和系统维护，不再收取任何费用。</w:t>
      </w:r>
      <w:r>
        <w:rPr>
          <w:rFonts w:hint="eastAsia" w:asciiTheme="minorEastAsia" w:hAnsiTheme="minorEastAsia"/>
          <w:szCs w:val="21"/>
        </w:rPr>
        <w:t>所有货物保修服务方式均为乙方上门保修，即由乙方派员到货物使用现场维修，由此产生的一切费用均由乙方承担。保修期后的货物维护另行协商。</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第九条</w:t>
      </w:r>
      <w:r>
        <w:rPr>
          <w:rFonts w:asciiTheme="minorEastAsia" w:hAnsiTheme="minorEastAsia"/>
          <w:b/>
          <w:szCs w:val="21"/>
        </w:rPr>
        <w:t xml:space="preserve">  </w:t>
      </w:r>
      <w:r>
        <w:rPr>
          <w:rFonts w:hint="eastAsia" w:asciiTheme="minorEastAsia" w:hAnsiTheme="minorEastAsia"/>
          <w:b/>
          <w:szCs w:val="21"/>
        </w:rPr>
        <w:t>履约保证金</w:t>
      </w:r>
    </w:p>
    <w:p>
      <w:pPr>
        <w:spacing w:line="360" w:lineRule="auto"/>
        <w:ind w:firstLine="420" w:firstLineChars="200"/>
        <w:jc w:val="left"/>
        <w:rPr>
          <w:rFonts w:asciiTheme="minorEastAsia" w:hAnsiTheme="minorEastAsia"/>
          <w:szCs w:val="21"/>
        </w:rPr>
      </w:pPr>
      <w:r>
        <w:rPr>
          <w:rFonts w:asciiTheme="minorEastAsia" w:hAnsiTheme="minorEastAsia"/>
          <w:szCs w:val="21"/>
        </w:rPr>
        <w:t>9.1乙方应在签订本合同之日，向甲方或甲方指定的机构提交履约保证金_________元。</w:t>
      </w:r>
    </w:p>
    <w:p>
      <w:pPr>
        <w:spacing w:line="360" w:lineRule="auto"/>
        <w:ind w:firstLine="420" w:firstLineChars="200"/>
        <w:jc w:val="left"/>
        <w:rPr>
          <w:rFonts w:asciiTheme="minorEastAsia" w:hAnsiTheme="minorEastAsia"/>
          <w:szCs w:val="21"/>
        </w:rPr>
      </w:pPr>
      <w:r>
        <w:rPr>
          <w:rFonts w:asciiTheme="minorEastAsia" w:hAnsiTheme="minorEastAsia"/>
          <w:szCs w:val="21"/>
        </w:rPr>
        <w:t>9.2如乙方未能履行合同规定的义务，甲方有权从履约保证金中取得补偿。</w:t>
      </w:r>
    </w:p>
    <w:p>
      <w:pPr>
        <w:spacing w:line="360" w:lineRule="auto"/>
        <w:ind w:firstLine="420" w:firstLineChars="200"/>
        <w:jc w:val="left"/>
        <w:rPr>
          <w:rFonts w:asciiTheme="minorEastAsia" w:hAnsiTheme="minorEastAsia"/>
          <w:szCs w:val="21"/>
        </w:rPr>
      </w:pPr>
      <w:r>
        <w:rPr>
          <w:rFonts w:asciiTheme="minorEastAsia" w:hAnsiTheme="minorEastAsia"/>
          <w:szCs w:val="21"/>
        </w:rPr>
        <w:t>9.3甲方在乙方履行完毕本合同项下全部义务后______天内无息退还乙方。</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第十条</w:t>
      </w:r>
      <w:r>
        <w:rPr>
          <w:rFonts w:asciiTheme="minorEastAsia" w:hAnsiTheme="minorEastAsia"/>
          <w:b/>
          <w:szCs w:val="21"/>
        </w:rPr>
        <w:t xml:space="preserve">  </w:t>
      </w:r>
      <w:r>
        <w:rPr>
          <w:rFonts w:hint="eastAsia" w:asciiTheme="minorEastAsia" w:hAnsiTheme="minorEastAsia"/>
          <w:b/>
          <w:szCs w:val="21"/>
        </w:rPr>
        <w:t>货款支付</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10.1本合同以人民币付款。</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10.2付款条件：</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10.3付款方式和时间：</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第十一条</w:t>
      </w:r>
      <w:r>
        <w:rPr>
          <w:rFonts w:asciiTheme="minorEastAsia" w:hAnsiTheme="minorEastAsia"/>
          <w:b/>
          <w:szCs w:val="21"/>
        </w:rPr>
        <w:t xml:space="preserve">  </w:t>
      </w:r>
      <w:r>
        <w:rPr>
          <w:rFonts w:hint="eastAsia" w:asciiTheme="minorEastAsia" w:hAnsiTheme="minorEastAsia"/>
          <w:b/>
          <w:szCs w:val="21"/>
        </w:rPr>
        <w:t>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11.1甲方无正当理由拒收货物、拒付货物款的，由甲方向乙方偿付合同总价的【】%违约金。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11.2甲方未按合同规定的期限向乙方支付货款的，每逾期1天甲方向乙方偿付欠款总额的【】‰滞纳金，但累计滞纳金总额不超过欠款总额的【】%。</w:t>
      </w:r>
    </w:p>
    <w:p>
      <w:pPr>
        <w:spacing w:line="360" w:lineRule="auto"/>
        <w:ind w:firstLine="420" w:firstLineChars="200"/>
        <w:jc w:val="left"/>
        <w:rPr>
          <w:rFonts w:asciiTheme="minorEastAsia" w:hAnsiTheme="minorEastAsia"/>
          <w:szCs w:val="21"/>
        </w:rPr>
      </w:pPr>
      <w:r>
        <w:rPr>
          <w:rFonts w:asciiTheme="minorEastAsia" w:hAnsiTheme="minorEastAsia"/>
          <w:szCs w:val="21"/>
        </w:rPr>
        <w:t>11.3乙方逾期交付货物的</w:t>
      </w:r>
      <w:r>
        <w:rPr>
          <w:rFonts w:hint="eastAsia" w:asciiTheme="minorEastAsia" w:hAnsiTheme="minorEastAsia"/>
          <w:szCs w:val="21"/>
        </w:rPr>
        <w:t>，</w:t>
      </w:r>
      <w:r>
        <w:rPr>
          <w:rFonts w:asciiTheme="minorEastAsia" w:hAnsiTheme="minorEastAsia"/>
          <w:szCs w:val="21"/>
        </w:rPr>
        <w:t>每逾期1天，乙方向甲方偿付逾期交货部分货款总额的</w:t>
      </w:r>
      <w:r>
        <w:rPr>
          <w:rFonts w:hint="eastAsia" w:asciiTheme="minorEastAsia" w:hAnsiTheme="minorEastAsia"/>
          <w:szCs w:val="21"/>
        </w:rPr>
        <w:t>【】</w:t>
      </w:r>
      <w:r>
        <w:rPr>
          <w:rFonts w:asciiTheme="minorEastAsia" w:hAnsiTheme="minorEastAsia"/>
          <w:szCs w:val="21"/>
        </w:rPr>
        <w:t>‰的滞纳金</w:t>
      </w:r>
      <w:r>
        <w:rPr>
          <w:rFonts w:hint="eastAsia" w:asciiTheme="minorEastAsia" w:hAnsiTheme="minorEastAsia"/>
          <w:szCs w:val="21"/>
        </w:rPr>
        <w:t>。如乙方逾期交货达</w:t>
      </w:r>
      <w:r>
        <w:rPr>
          <w:rFonts w:asciiTheme="minorEastAsia" w:hAnsiTheme="minorEastAsia"/>
          <w:szCs w:val="21"/>
          <w:u w:val="single"/>
        </w:rPr>
        <w:t xml:space="preserve">    </w:t>
      </w:r>
      <w:r>
        <w:rPr>
          <w:rFonts w:hint="eastAsia" w:asciiTheme="minorEastAsia" w:hAnsiTheme="minorEastAsia"/>
          <w:szCs w:val="21"/>
        </w:rPr>
        <w:t>天，甲方有权解除合同，履约保证金不予退回，同时乙方应向甲方支付合同总价【】％的违约金。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11.4乙方所交付的货物品种、型号、规格不符合合同规定的，甲方有权拒收。甲方拒收的，乙方应向甲方支付货款总额【】%的违约金。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11.5在乙方承诺的或国家规定的质量保证期内（取两者中最长的期限），如经乙方两次维修</w:t>
      </w:r>
      <w:r>
        <w:rPr>
          <w:rFonts w:hint="eastAsia" w:asciiTheme="minorEastAsia" w:hAnsiTheme="minorEastAsia"/>
          <w:szCs w:val="21"/>
        </w:rPr>
        <w:t>或更换</w:t>
      </w:r>
      <w:r>
        <w:rPr>
          <w:rFonts w:asciiTheme="minorEastAsia" w:hAnsiTheme="minorEastAsia"/>
          <w:szCs w:val="21"/>
        </w:rPr>
        <w:t>，货物仍不能达到合同约定</w:t>
      </w:r>
      <w:r>
        <w:rPr>
          <w:rFonts w:hint="eastAsia" w:asciiTheme="minorEastAsia" w:hAnsiTheme="minorEastAsia"/>
          <w:szCs w:val="21"/>
        </w:rPr>
        <w:t>的</w:t>
      </w:r>
      <w:r>
        <w:rPr>
          <w:rFonts w:asciiTheme="minorEastAsia" w:hAnsiTheme="minorEastAsia"/>
          <w:szCs w:val="21"/>
        </w:rPr>
        <w:t>质量标准，甲方有权退货，乙方</w:t>
      </w:r>
      <w:r>
        <w:rPr>
          <w:rFonts w:hint="eastAsia" w:asciiTheme="minorEastAsia" w:hAnsiTheme="minorEastAsia"/>
          <w:szCs w:val="21"/>
        </w:rPr>
        <w:t>应</w:t>
      </w:r>
      <w:r>
        <w:rPr>
          <w:rFonts w:asciiTheme="minorEastAsia" w:hAnsiTheme="minorEastAsia"/>
          <w:szCs w:val="21"/>
        </w:rPr>
        <w:t>退回全部货款</w:t>
      </w:r>
      <w:r>
        <w:rPr>
          <w:rFonts w:hint="eastAsia" w:asciiTheme="minorEastAsia" w:hAnsiTheme="minorEastAsia"/>
          <w:szCs w:val="21"/>
        </w:rPr>
        <w:t>并</w:t>
      </w:r>
      <w:r>
        <w:rPr>
          <w:rFonts w:asciiTheme="minorEastAsia" w:hAnsiTheme="minorEastAsia"/>
          <w:szCs w:val="21"/>
        </w:rPr>
        <w:t>赔偿甲方因此遭受的损失。</w:t>
      </w:r>
    </w:p>
    <w:p>
      <w:pPr>
        <w:spacing w:line="360" w:lineRule="auto"/>
        <w:ind w:firstLine="420" w:firstLineChars="200"/>
        <w:jc w:val="left"/>
        <w:rPr>
          <w:rFonts w:asciiTheme="minorEastAsia" w:hAnsiTheme="minorEastAsia"/>
          <w:szCs w:val="21"/>
        </w:rPr>
      </w:pPr>
      <w:r>
        <w:rPr>
          <w:rFonts w:asciiTheme="minorEastAsia" w:hAnsiTheme="minorEastAsia"/>
          <w:szCs w:val="21"/>
        </w:rPr>
        <w:t>11.6乙方未履行本合同项下的其他义务或违反其在投标文件中的相关承诺的，应按合同总价款的【】%向甲方承担违约责任。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11.7乙方在承担上述一项或多项违约责任后，仍应继续履行合同规定的义务（甲方解除合同的除外）。甲方未能及时追究乙方的任何一项违约责任并不表明甲方放弃追究乙方该项或其他违约责任。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第十二条</w:t>
      </w:r>
      <w:r>
        <w:rPr>
          <w:rFonts w:asciiTheme="minorEastAsia" w:hAnsiTheme="minorEastAsia"/>
          <w:b/>
          <w:szCs w:val="21"/>
        </w:rPr>
        <w:t xml:space="preserve">  </w:t>
      </w:r>
      <w:r>
        <w:rPr>
          <w:rFonts w:hint="eastAsia" w:asciiTheme="minorEastAsia" w:hAnsiTheme="minorEastAsia"/>
          <w:b/>
          <w:szCs w:val="21"/>
        </w:rPr>
        <w:t>合同的变更、解除或终止</w:t>
      </w:r>
    </w:p>
    <w:p>
      <w:pPr>
        <w:spacing w:line="360" w:lineRule="auto"/>
        <w:ind w:firstLine="420" w:firstLineChars="200"/>
        <w:jc w:val="left"/>
        <w:rPr>
          <w:rFonts w:asciiTheme="minorEastAsia" w:hAnsiTheme="minorEastAsia"/>
          <w:szCs w:val="21"/>
        </w:rPr>
      </w:pPr>
      <w:r>
        <w:rPr>
          <w:rFonts w:asciiTheme="minorEastAsia" w:hAnsiTheme="minorEastAsia"/>
          <w:szCs w:val="21"/>
        </w:rPr>
        <w:t>12.1在合同履行中，甲方需追加与合同标的项目的货物、工程或者服务的，应按照《深圳经济特区政府采购条例》第四十条、第四十八条规定办理相关手续。</w:t>
      </w:r>
    </w:p>
    <w:p>
      <w:pPr>
        <w:spacing w:line="360" w:lineRule="auto"/>
        <w:ind w:firstLine="420" w:firstLineChars="200"/>
        <w:jc w:val="left"/>
        <w:rPr>
          <w:rFonts w:asciiTheme="minorEastAsia" w:hAnsiTheme="minorEastAsia"/>
          <w:szCs w:val="21"/>
        </w:rPr>
      </w:pPr>
      <w:r>
        <w:rPr>
          <w:rFonts w:asciiTheme="minorEastAsia" w:hAnsiTheme="minorEastAsia"/>
          <w:szCs w:val="21"/>
        </w:rPr>
        <w:t>12.</w:t>
      </w:r>
      <w:r>
        <w:rPr>
          <w:rFonts w:hint="eastAsia" w:asciiTheme="minorEastAsia" w:hAnsiTheme="minorEastAsia"/>
          <w:szCs w:val="21"/>
        </w:rPr>
        <w:t>2</w:t>
      </w:r>
      <w:r>
        <w:rPr>
          <w:rFonts w:asciiTheme="minorEastAsia" w:hAnsiTheme="minorEastAsia"/>
          <w:szCs w:val="21"/>
        </w:rPr>
        <w:t>除《中华人民共和国政府采购法》第49条、第50条第二款规定的情形外，本合同一经签订，甲乙双方不得擅自变更、中止或终止合同。</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第十三条</w:t>
      </w:r>
      <w:r>
        <w:rPr>
          <w:rFonts w:asciiTheme="minorEastAsia" w:hAnsiTheme="minorEastAsia"/>
          <w:b/>
          <w:szCs w:val="21"/>
        </w:rPr>
        <w:t xml:space="preserve">  </w:t>
      </w:r>
      <w:r>
        <w:rPr>
          <w:rFonts w:hint="eastAsia" w:asciiTheme="minorEastAsia" w:hAnsiTheme="minorEastAsia"/>
          <w:b/>
          <w:szCs w:val="21"/>
        </w:rPr>
        <w:t>争议的解决</w:t>
      </w:r>
    </w:p>
    <w:p>
      <w:pPr>
        <w:spacing w:line="360" w:lineRule="auto"/>
        <w:ind w:firstLine="420" w:firstLineChars="200"/>
        <w:jc w:val="left"/>
        <w:rPr>
          <w:rFonts w:asciiTheme="minorEastAsia" w:hAnsiTheme="minorEastAsia"/>
          <w:szCs w:val="21"/>
        </w:rPr>
      </w:pPr>
      <w:r>
        <w:rPr>
          <w:rFonts w:asciiTheme="minorEastAsia" w:hAnsiTheme="minorEastAsia"/>
          <w:szCs w:val="21"/>
        </w:rPr>
        <w:t>13.1因货物的质量问题发生争议的，应当邀请国家认可的质量检测机构对货物质量进行鉴定。货物符合标准的，鉴定费由甲方承担；货物不符合质量标准的，鉴定费由乙方承担。</w:t>
      </w:r>
    </w:p>
    <w:p>
      <w:pPr>
        <w:spacing w:line="360" w:lineRule="auto"/>
        <w:ind w:firstLine="420" w:firstLineChars="200"/>
        <w:jc w:val="left"/>
        <w:rPr>
          <w:rFonts w:asciiTheme="minorEastAsia" w:hAnsiTheme="minorEastAsia"/>
          <w:szCs w:val="21"/>
        </w:rPr>
      </w:pPr>
      <w:r>
        <w:rPr>
          <w:rFonts w:asciiTheme="minorEastAsia" w:hAnsiTheme="minorEastAsia"/>
          <w:szCs w:val="21"/>
        </w:rPr>
        <w:t>13.2因履行本合同引起的或与本合同有关的争议，甲、乙双方应首先通过友好协商解决，如果协商不能解决争议，则向甲方所在地有管辖权的人民法院提起诉讼。</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第十四条</w:t>
      </w:r>
      <w:r>
        <w:rPr>
          <w:rFonts w:asciiTheme="minorEastAsia" w:hAnsiTheme="minorEastAsia"/>
          <w:b/>
          <w:szCs w:val="21"/>
        </w:rPr>
        <w:t xml:space="preserve">  </w:t>
      </w:r>
      <w:r>
        <w:rPr>
          <w:rFonts w:hint="eastAsia" w:asciiTheme="minorEastAsia" w:hAnsiTheme="minorEastAsia"/>
          <w:b/>
          <w:szCs w:val="21"/>
        </w:rPr>
        <w:t>合同生效及其他</w:t>
      </w:r>
    </w:p>
    <w:p>
      <w:pPr>
        <w:spacing w:line="360" w:lineRule="auto"/>
        <w:ind w:firstLine="420" w:firstLineChars="200"/>
        <w:jc w:val="left"/>
        <w:rPr>
          <w:rFonts w:asciiTheme="minorEastAsia" w:hAnsiTheme="minorEastAsia"/>
          <w:szCs w:val="21"/>
        </w:rPr>
      </w:pPr>
      <w:r>
        <w:rPr>
          <w:rFonts w:asciiTheme="minorEastAsia" w:hAnsiTheme="minorEastAsia"/>
          <w:szCs w:val="21"/>
        </w:rPr>
        <w:t>14.1下列文件均为本合同的组成部分：</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w:t>
      </w:r>
      <w:r>
        <w:rPr>
          <w:rFonts w:hint="eastAsia" w:asciiTheme="minorEastAsia" w:hAnsiTheme="minorEastAsia"/>
          <w:szCs w:val="21"/>
        </w:rPr>
        <w:t>招标文件、答疑及补充通知；</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2）乙方的投标文件；</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3）本合同执行中甲乙双方共同签署的补充与修正文件。</w:t>
      </w:r>
    </w:p>
    <w:p>
      <w:pPr>
        <w:spacing w:line="360" w:lineRule="auto"/>
        <w:ind w:firstLine="420" w:firstLineChars="200"/>
        <w:jc w:val="left"/>
        <w:rPr>
          <w:rFonts w:asciiTheme="minorEastAsia" w:hAnsiTheme="minorEastAsia"/>
          <w:szCs w:val="21"/>
        </w:rPr>
      </w:pPr>
      <w:r>
        <w:rPr>
          <w:rFonts w:asciiTheme="minorEastAsia" w:hAnsiTheme="minorEastAsia"/>
          <w:szCs w:val="21"/>
        </w:rPr>
        <w:t>14.2本合同一式</w:t>
      </w:r>
      <w:r>
        <w:rPr>
          <w:rFonts w:asciiTheme="minorEastAsia" w:hAnsiTheme="minorEastAsia"/>
          <w:szCs w:val="21"/>
          <w:u w:val="single"/>
        </w:rPr>
        <w:t xml:space="preserve">     </w:t>
      </w:r>
      <w:r>
        <w:rPr>
          <w:rFonts w:hint="eastAsia" w:asciiTheme="minorEastAsia" w:hAnsiTheme="minorEastAsia"/>
          <w:szCs w:val="21"/>
        </w:rPr>
        <w:t>份，甲、乙方双方各执</w:t>
      </w:r>
      <w:r>
        <w:rPr>
          <w:rFonts w:asciiTheme="minorEastAsia" w:hAnsiTheme="minorEastAsia"/>
          <w:szCs w:val="21"/>
          <w:u w:val="single"/>
        </w:rPr>
        <w:t xml:space="preserve">     </w:t>
      </w:r>
      <w:r>
        <w:rPr>
          <w:rFonts w:hint="eastAsia" w:asciiTheme="minorEastAsia" w:hAnsiTheme="minorEastAsia"/>
          <w:szCs w:val="21"/>
        </w:rPr>
        <w:t>份，具有同等法律效力。本合同自双方签字并盖章之日起生效。</w:t>
      </w:r>
    </w:p>
    <w:p>
      <w:pPr>
        <w:snapToGrid w:val="0"/>
        <w:spacing w:line="360" w:lineRule="auto"/>
        <w:ind w:firstLine="420" w:firstLineChars="200"/>
        <w:rPr>
          <w:rFonts w:ascii="宋体" w:hAnsi="宋体"/>
          <w:szCs w:val="21"/>
        </w:rPr>
      </w:pPr>
      <w:r>
        <w:rPr>
          <w:rFonts w:asciiTheme="minorEastAsia" w:hAnsiTheme="minorEastAsia"/>
          <w:szCs w:val="21"/>
        </w:rPr>
        <w:t>14.</w:t>
      </w:r>
      <w:r>
        <w:rPr>
          <w:rFonts w:hint="eastAsia" w:asciiTheme="minorEastAsia" w:hAnsiTheme="minorEastAsia"/>
          <w:szCs w:val="21"/>
        </w:rPr>
        <w:t>3</w:t>
      </w:r>
      <w:r>
        <w:rPr>
          <w:rFonts w:hint="eastAsia" w:ascii="宋体" w:hAnsi="宋体"/>
          <w:szCs w:val="21"/>
        </w:rPr>
        <w:t>本合同未尽事宜，双方友好协商，达成解决方案，经双方签字后，可作为本合同的有效附件。</w:t>
      </w:r>
    </w:p>
    <w:p>
      <w:pPr>
        <w:spacing w:line="360" w:lineRule="auto"/>
        <w:ind w:firstLine="420" w:firstLineChars="200"/>
        <w:jc w:val="left"/>
        <w:rPr>
          <w:rFonts w:asciiTheme="minorEastAsia" w:hAnsiTheme="minorEastAsia"/>
          <w:szCs w:val="21"/>
        </w:rPr>
      </w:pPr>
    </w:p>
    <w:p>
      <w:pPr>
        <w:pStyle w:val="26"/>
        <w:snapToGrid w:val="0"/>
        <w:spacing w:line="360" w:lineRule="auto"/>
        <w:ind w:firstLine="420" w:firstLineChars="200"/>
        <w:rPr>
          <w:rFonts w:hAnsi="宋体"/>
          <w:szCs w:val="21"/>
        </w:rPr>
      </w:pPr>
      <w:r>
        <w:rPr>
          <w:rFonts w:hint="eastAsia" w:hAnsi="宋体"/>
          <w:szCs w:val="21"/>
        </w:rPr>
        <w:t>附件：</w:t>
      </w:r>
    </w:p>
    <w:p>
      <w:pPr>
        <w:snapToGrid w:val="0"/>
        <w:spacing w:line="360" w:lineRule="auto"/>
        <w:ind w:firstLine="420" w:firstLineChars="200"/>
        <w:rPr>
          <w:rFonts w:ascii="宋体" w:hAnsi="宋体"/>
          <w:szCs w:val="21"/>
        </w:rPr>
      </w:pPr>
      <w:r>
        <w:rPr>
          <w:rFonts w:hint="eastAsia" w:ascii="宋体" w:hAnsi="宋体"/>
          <w:szCs w:val="21"/>
        </w:rPr>
        <w:t>1、《中标/成交通知书》</w:t>
      </w:r>
    </w:p>
    <w:p>
      <w:pPr>
        <w:snapToGrid w:val="0"/>
        <w:spacing w:line="360" w:lineRule="auto"/>
        <w:ind w:firstLine="420" w:firstLineChars="200"/>
        <w:rPr>
          <w:rFonts w:ascii="宋体" w:hAnsi="宋体"/>
          <w:szCs w:val="21"/>
        </w:rPr>
      </w:pPr>
      <w:r>
        <w:rPr>
          <w:rFonts w:hint="eastAsia" w:ascii="宋体" w:hAnsi="宋体"/>
          <w:szCs w:val="21"/>
        </w:rPr>
        <w:t>2、《投标文件》</w:t>
      </w:r>
    </w:p>
    <w:p>
      <w:pPr>
        <w:snapToGrid w:val="0"/>
        <w:spacing w:line="360" w:lineRule="auto"/>
        <w:ind w:firstLine="420" w:firstLineChars="200"/>
        <w:rPr>
          <w:rFonts w:ascii="宋体" w:hAnsi="宋体"/>
          <w:szCs w:val="21"/>
        </w:rPr>
      </w:pPr>
      <w:r>
        <w:rPr>
          <w:rFonts w:hint="eastAsia" w:ascii="宋体" w:hAnsi="宋体"/>
          <w:szCs w:val="21"/>
        </w:rPr>
        <w:t>3、《招标文件》</w:t>
      </w:r>
    </w:p>
    <w:p>
      <w:pPr>
        <w:spacing w:line="360" w:lineRule="auto"/>
        <w:ind w:firstLine="420" w:firstLineChars="200"/>
        <w:jc w:val="left"/>
        <w:rPr>
          <w:rFonts w:asciiTheme="minorEastAsia" w:hAnsiTheme="minorEastAsia"/>
          <w:szCs w:val="21"/>
        </w:rPr>
      </w:pP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pPr>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pPr>
        <w:jc w:val="center"/>
        <w:rPr>
          <w:b/>
          <w:sz w:val="52"/>
          <w:szCs w:val="52"/>
        </w:rPr>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pStyle w:val="2"/>
      </w:pPr>
      <w:bookmarkStart w:id="85" w:name="_Toc73610161"/>
      <w:r>
        <w:rPr>
          <w:rFonts w:hint="eastAsia"/>
        </w:rPr>
        <w:t>第九章  附件</w:t>
      </w:r>
      <w:bookmarkEnd w:id="85"/>
    </w:p>
    <w:p>
      <w:pPr>
        <w:pStyle w:val="3"/>
        <w:spacing w:before="0" w:after="0"/>
        <w:jc w:val="center"/>
      </w:pPr>
      <w:bookmarkStart w:id="86" w:name="_Toc73610162"/>
      <w:r>
        <w:rPr>
          <w:rFonts w:hint="eastAsia"/>
        </w:rPr>
        <w:t>一、财政部 工业和信息化部关于印发《政府采购促进中小企业发展管理办法》的通知</w:t>
      </w:r>
      <w:bookmarkEnd w:id="86"/>
    </w:p>
    <w:p>
      <w:pPr>
        <w:pStyle w:val="45"/>
        <w:shd w:val="clear" w:color="auto" w:fill="FFFFFF"/>
        <w:spacing w:line="36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财库〔2020〕46号</w:t>
      </w:r>
    </w:p>
    <w:p>
      <w:pPr>
        <w:pStyle w:val="45"/>
        <w:shd w:val="clear" w:color="auto" w:fill="FFFFFF"/>
        <w:spacing w:before="0" w:beforeAutospacing="0" w:after="0" w:afterAutospacing="0"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各中央预算单位办公厅（室），各省、自治区、直辖市、计划单列市财政厅（局）、工业和信息化主管部门，新疆生产建设兵团财政局、工业和信息化主管部门：</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附件：政府采购促进中小企业发展管理办法</w:t>
      </w:r>
    </w:p>
    <w:p>
      <w:pPr>
        <w:pStyle w:val="45"/>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财　　政　　部</w:t>
      </w:r>
    </w:p>
    <w:p>
      <w:pPr>
        <w:pStyle w:val="45"/>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工业和信息化部</w:t>
      </w:r>
    </w:p>
    <w:p>
      <w:pPr>
        <w:pStyle w:val="45"/>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2020年12月18日</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pPr>
        <w:pStyle w:val="45"/>
        <w:shd w:val="clear" w:color="auto" w:fill="FFFFFF"/>
        <w:spacing w:before="0" w:beforeAutospacing="0" w:after="0" w:afterAutospacing="0"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附件</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pPr>
        <w:pStyle w:val="45"/>
        <w:shd w:val="clear" w:color="auto" w:fill="FFFFFF"/>
        <w:spacing w:before="0" w:beforeAutospacing="0" w:after="0" w:afterAutospacing="0" w:line="360" w:lineRule="auto"/>
        <w:jc w:val="center"/>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政府采购促进中小企业发展管理办法</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第一条</w:t>
      </w:r>
      <w:r>
        <w:rPr>
          <w:rFonts w:hint="eastAsia" w:asciiTheme="minorEastAsia" w:hAnsiTheme="minorEastAsia" w:eastAsiaTheme="minorEastAsia"/>
          <w:color w:val="333333"/>
          <w:sz w:val="21"/>
          <w:szCs w:val="21"/>
        </w:rPr>
        <w:t>　为了发挥政府采购的政策功能，促进中小企业健康发展，根据《中华人民共和国政府采购法》、《中华人民共和国中小企业促进法》等有关法律法规，制定本办法。</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第二条</w:t>
      </w:r>
      <w:r>
        <w:rPr>
          <w:rFonts w:hint="eastAsia" w:asciiTheme="minorEastAsia" w:hAnsiTheme="minorEastAsia" w:eastAsiaTheme="minorEastAsia"/>
          <w:color w:val="333333"/>
          <w:sz w:val="21"/>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符合中小企业划分标准的个体工商户，在政府采购活动中视同中小企业。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第三条</w:t>
      </w:r>
      <w:r>
        <w:rPr>
          <w:rFonts w:hint="eastAsia" w:asciiTheme="minorEastAsia" w:hAnsiTheme="minorEastAsia" w:eastAsiaTheme="minorEastAsia"/>
          <w:color w:val="333333"/>
          <w:sz w:val="21"/>
          <w:szCs w:val="21"/>
        </w:rPr>
        <w:t>　采购人在政府采购活动中应当通过加强采购需求管理，落实预留采购份额、价格评审优惠、优先采购等措施，提高中小企业在政府采购中的份额，支持中小企业发展。</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第四条</w:t>
      </w:r>
      <w:r>
        <w:rPr>
          <w:rFonts w:hint="eastAsia" w:asciiTheme="minorEastAsia" w:hAnsiTheme="minorEastAsia" w:eastAsiaTheme="minorEastAsia"/>
          <w:color w:val="333333"/>
          <w:sz w:val="21"/>
          <w:szCs w:val="21"/>
        </w:rPr>
        <w:t>　在政府采购活动中，供应商提供的货物、工程或者服务符合下列情形的，享受本办法规定的中小企业扶持政策：</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（一）在货物采购项目中，货物由中小企业制造，即货物由中小企业生产且使用该中小企业商号或者注册商标；</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（二）在工程采购项目中，工程由中小企业承建，即工程施工单位为中小企业；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（三）在服务采购项目中，服务由中小企业承接，即提供服务的人员为中小企业依照《中华人民共和国劳动合同法》订立劳动合同的从业人员。</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在货物采购项目中，供应商提供的货物既有中小企业制造货物，也有大型企业制造货物的，不享受本办法规定的中小企业扶持政策。</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以联合体形式参加政府采购活动，联合体各方均为中小企业的，联合体视同中小企业。其中，联合体各方均为小微企业的，联合体视同小微企业。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第五条</w:t>
      </w:r>
      <w:r>
        <w:rPr>
          <w:rFonts w:hint="eastAsia" w:asciiTheme="minorEastAsia" w:hAnsiTheme="minorEastAsia" w:eastAsiaTheme="minorEastAsia"/>
          <w:color w:val="333333"/>
          <w:sz w:val="21"/>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第六条</w:t>
      </w:r>
      <w:r>
        <w:rPr>
          <w:rFonts w:hint="eastAsia" w:asciiTheme="minorEastAsia" w:hAnsiTheme="minorEastAsia" w:eastAsiaTheme="minorEastAsia"/>
          <w:color w:val="333333"/>
          <w:sz w:val="21"/>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符合下列情形之一的，可不专门面向中小企业预留采购份额：</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（一）法律法规和国家有关政策明确规定优先或者应当面向事业单位、社会组织等非企业主体采购的；</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（二）因确需使用不可替代的专利、专有技术，基础设施限制，或者提供特定公共服务等原因，只能从中小企业之外的供应商处采购的；</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（三）按照本办法规定预留采购份额无法确保充分供应、充分竞争，或者存在可能影响政府采购目标实现的情形；</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（四）框架协议采购项目；</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（五）省级以上人民政府财政部门规定的其他情形。</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除上述情形外，其他均为适宜由中小企业提供的情形。</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第七条</w:t>
      </w:r>
      <w:r>
        <w:rPr>
          <w:rFonts w:hint="eastAsia" w:asciiTheme="minorEastAsia" w:hAnsiTheme="minorEastAsia" w:eastAsiaTheme="minorEastAsia"/>
          <w:color w:val="333333"/>
          <w:sz w:val="21"/>
          <w:szCs w:val="21"/>
        </w:rPr>
        <w:t>　采购限额标准以上，200万元以下的货物和服务采购项目、400万元以下的工程采购项目，适宜由中小企业提供的，采购人应当专门面向中小企业采购。</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第八条</w:t>
      </w:r>
      <w:r>
        <w:rPr>
          <w:rFonts w:hint="eastAsia" w:asciiTheme="minorEastAsia" w:hAnsiTheme="minorEastAsia" w:eastAsiaTheme="minorEastAsia"/>
          <w:color w:val="333333"/>
          <w:sz w:val="21"/>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（一）将采购项目整体或者设置采购包专门面向中小企业采购；</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（二）要求供应商以联合体形式参加采购活动，且联合体中中小企业承担的部分达到一定比例；</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（三）要求获得采购合同的供应商将采购项目中的一定比例分包给一家或者多家中小企业。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组成联合体或者接受分包合同的中小企业与联合体内其他企业、分包企业之间不得存在直接控股、管理关系。</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第九条</w:t>
      </w:r>
      <w:r>
        <w:rPr>
          <w:rFonts w:hint="eastAsia" w:asciiTheme="minorEastAsia" w:hAnsiTheme="minorEastAsia" w:eastAsiaTheme="minorEastAsia"/>
          <w:color w:val="333333"/>
          <w:sz w:val="21"/>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第十条</w:t>
      </w:r>
      <w:r>
        <w:rPr>
          <w:rFonts w:hint="eastAsia" w:asciiTheme="minorEastAsia" w:hAnsiTheme="minorEastAsia" w:eastAsiaTheme="minorEastAsia"/>
          <w:color w:val="333333"/>
          <w:sz w:val="21"/>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第十一条</w:t>
      </w:r>
      <w:r>
        <w:rPr>
          <w:rFonts w:hint="eastAsia" w:asciiTheme="minorEastAsia" w:hAnsiTheme="minorEastAsia" w:eastAsiaTheme="minorEastAsia"/>
          <w:color w:val="333333"/>
          <w:sz w:val="21"/>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第十二条</w:t>
      </w:r>
      <w:r>
        <w:rPr>
          <w:rFonts w:hint="eastAsia" w:asciiTheme="minorEastAsia" w:hAnsiTheme="minorEastAsia" w:eastAsiaTheme="minorEastAsia"/>
          <w:color w:val="333333"/>
          <w:sz w:val="21"/>
          <w:szCs w:val="21"/>
        </w:rPr>
        <w:t>　采购项目涉及中小企业采购的，采购文件应当明确以下内容：</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（一）预留份额的采购项目或者采购包，明确该项目或相关采购包专门面向中小企业采购，以及相关标的及预算金额；</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（二）要求以联合体形式参加或者合同分包的，明确联合协议或者分包意向协议中中小企业合同金额应当达到的比例，并作为供应商资格条件；</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（三）非预留份额的采购项目或者采购包，明确有关价格扣除比例或者价格分加分比例；</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（四）规定依据本办法规定享受扶持政策获得政府采购合同的，小微企业不得将合同分包给大中型企业，中型企业不得将合同分包给大型企业；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（五）采购人认为具备相关条件的，明确对中小企业在资金支付期限、预付款比例等方面的优惠措施；</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（六）明确采购标的对应的中小企业划分标准所属行业；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（七）法律法规和省级以上人民政府财政部门规定的其他事项。</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第十三条</w:t>
      </w:r>
      <w:r>
        <w:rPr>
          <w:rFonts w:hint="eastAsia" w:asciiTheme="minorEastAsia" w:hAnsiTheme="minorEastAsia" w:eastAsiaTheme="minorEastAsia"/>
          <w:color w:val="333333"/>
          <w:sz w:val="21"/>
          <w:szCs w:val="21"/>
        </w:rPr>
        <w:t>　中标、成交供应商享受本办法规定的中小企业扶持政策的，采购人、采购代理机构应当随中标、成交结果公开中标、成交供应商的《中小企业声明函》。</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适用招标投标法的政府采购工程建设项目，应当在公示中标候选人时公开中标候选人的《中小企业声明函》。</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第十四条</w:t>
      </w:r>
      <w:r>
        <w:rPr>
          <w:rFonts w:hint="eastAsia" w:asciiTheme="minorEastAsia" w:hAnsiTheme="minorEastAsia" w:eastAsiaTheme="minorEastAsia"/>
          <w:color w:val="333333"/>
          <w:sz w:val="21"/>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第十五条</w:t>
      </w:r>
      <w:r>
        <w:rPr>
          <w:rFonts w:hint="eastAsia" w:asciiTheme="minorEastAsia" w:hAnsiTheme="minorEastAsia" w:eastAsiaTheme="minorEastAsia"/>
          <w:color w:val="333333"/>
          <w:sz w:val="21"/>
          <w:szCs w:val="21"/>
        </w:rPr>
        <w:t>　鼓励各地区、各部门在采购活动中允许中小企业引入信用担保手段，为中小企业在投标（响应）保证、履约保证等方面提供专业化服务。鼓励中小企业依法合规通过政府采购合同融资。</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第十六条</w:t>
      </w:r>
      <w:r>
        <w:rPr>
          <w:rFonts w:hint="eastAsia" w:asciiTheme="minorEastAsia" w:hAnsiTheme="minorEastAsia" w:eastAsiaTheme="minorEastAsia"/>
          <w:color w:val="333333"/>
          <w:sz w:val="21"/>
          <w:szCs w:val="21"/>
        </w:rPr>
        <w:t>　政府采购监督检查、投诉处理及政府采购行政处罚中对中小企业的认定，由货物制造商或者工程、服务供应商注册登记所在地的县级以上人民政府中小企业主管部门负责。</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中小企业主管部门应当在收到财政部门或者有关招标投标行政监督部门关于协助开展中小企业认定函后10个工作日内做出书面答复。</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第十七条</w:t>
      </w:r>
      <w:r>
        <w:rPr>
          <w:rFonts w:hint="eastAsia" w:asciiTheme="minorEastAsia" w:hAnsiTheme="minorEastAsia" w:eastAsiaTheme="minorEastAsia"/>
          <w:color w:val="333333"/>
          <w:sz w:val="21"/>
          <w:szCs w:val="21"/>
        </w:rPr>
        <w:t>　各地区、各部门应当对涉及中小企业采购的预算项目实施全过程绩效管理，合理设置绩效目标和指标，落实扶持中小企业有关政策要求，定期开展绩效监控和评价，强化绩效评价结果应用。</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第十八条</w:t>
      </w:r>
      <w:r>
        <w:rPr>
          <w:rFonts w:hint="eastAsia" w:asciiTheme="minorEastAsia" w:hAnsiTheme="minorEastAsia" w:eastAsiaTheme="minorEastAsia"/>
          <w:color w:val="333333"/>
          <w:sz w:val="21"/>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第十九条</w:t>
      </w:r>
      <w:r>
        <w:rPr>
          <w:rFonts w:hint="eastAsia" w:asciiTheme="minorEastAsia" w:hAnsiTheme="minorEastAsia" w:eastAsiaTheme="minorEastAsia"/>
          <w:color w:val="333333"/>
          <w:sz w:val="21"/>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第二十条</w:t>
      </w:r>
      <w:r>
        <w:rPr>
          <w:rFonts w:hint="eastAsia" w:asciiTheme="minorEastAsia" w:hAnsiTheme="minorEastAsia" w:eastAsiaTheme="minorEastAsia"/>
          <w:color w:val="333333"/>
          <w:sz w:val="21"/>
          <w:szCs w:val="21"/>
        </w:rPr>
        <w:t>　供应商按照本办法规定提供声明函内容不实的，属于提供虚假材料谋取中标、成交，依照《中华人民共和国政府采购法》等国家有关规定追究相应责任。</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适用招标投标法的政府采购工程建设项目，投标人按照本办法规定提供声明函内容不实的，属于弄虚作假骗取中标，依照《中华人民共和国招标投标法》等国家有关规定追究相应责任。</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第二十一条</w:t>
      </w:r>
      <w:r>
        <w:rPr>
          <w:rFonts w:hint="eastAsia" w:asciiTheme="minorEastAsia" w:hAnsiTheme="minorEastAsia" w:eastAsiaTheme="minorEastAsia"/>
          <w:color w:val="333333"/>
          <w:sz w:val="21"/>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第二十二条</w:t>
      </w:r>
      <w:r>
        <w:rPr>
          <w:rFonts w:hint="eastAsia" w:asciiTheme="minorEastAsia" w:hAnsiTheme="minorEastAsia" w:eastAsiaTheme="minorEastAsia"/>
          <w:color w:val="333333"/>
          <w:sz w:val="21"/>
          <w:szCs w:val="21"/>
        </w:rPr>
        <w:t>　对外援助项目、国家相关资格或者资质管理制度另有规定的项目，不适用本办法。</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第二十三条</w:t>
      </w:r>
      <w:r>
        <w:rPr>
          <w:rFonts w:hint="eastAsia" w:asciiTheme="minorEastAsia" w:hAnsiTheme="minorEastAsia" w:eastAsiaTheme="minorEastAsia"/>
          <w:color w:val="333333"/>
          <w:sz w:val="21"/>
          <w:szCs w:val="21"/>
        </w:rPr>
        <w:t>　关于视同中小企业的其他主体的政府采购扶持政策，由财政部会同有关部门另行规定。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第二十四条</w:t>
      </w:r>
      <w:r>
        <w:rPr>
          <w:rFonts w:hint="eastAsia" w:asciiTheme="minorEastAsia" w:hAnsiTheme="minorEastAsia" w:eastAsiaTheme="minorEastAsia"/>
          <w:color w:val="333333"/>
          <w:sz w:val="21"/>
          <w:szCs w:val="21"/>
        </w:rPr>
        <w:t>　省级财政部门可以会同中小企业主管部门根据本办法的规定制定具体实施办法。</w:t>
      </w:r>
    </w:p>
    <w:p>
      <w:pPr>
        <w:pStyle w:val="45"/>
        <w:shd w:val="clear" w:color="auto" w:fill="FFFFFF"/>
        <w:spacing w:before="0" w:beforeAutospacing="0" w:after="0" w:afterAutospacing="0" w:line="360" w:lineRule="auto"/>
        <w:ind w:firstLine="480"/>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第二十五条</w:t>
      </w:r>
      <w:r>
        <w:rPr>
          <w:rFonts w:hint="eastAsia" w:asciiTheme="minorEastAsia" w:hAnsiTheme="minorEastAsia" w:eastAsiaTheme="minorEastAsia"/>
          <w:color w:val="333333"/>
          <w:sz w:val="21"/>
          <w:szCs w:val="21"/>
        </w:rPr>
        <w:t>　本办法自2021年1月1日起施行。《财政部 工业和信息化部关于印发〈政府采购促进中小企业发展暂行办法〉的通知》（财库〔2011〕181号）同时废止。</w:t>
      </w:r>
    </w:p>
    <w:p>
      <w:pPr>
        <w:pStyle w:val="45"/>
        <w:shd w:val="clear" w:color="auto" w:fill="FFFFFF"/>
        <w:spacing w:before="0" w:beforeAutospacing="0" w:after="0" w:afterAutospacing="0" w:line="360" w:lineRule="auto"/>
        <w:ind w:firstLine="480"/>
        <w:rPr>
          <w:rFonts w:asciiTheme="minorEastAsia" w:hAnsiTheme="minorEastAsia" w:eastAsiaTheme="minorEastAsia"/>
          <w:color w:val="333333"/>
          <w:sz w:val="21"/>
          <w:szCs w:val="21"/>
        </w:rPr>
      </w:pPr>
    </w:p>
    <w:p>
      <w:pPr>
        <w:spacing w:line="360" w:lineRule="auto"/>
        <w:rPr>
          <w:rFonts w:asciiTheme="minorEastAsia" w:hAnsiTheme="minorEastAsia" w:eastAsiaTheme="minorEastAsia"/>
          <w:szCs w:val="21"/>
        </w:rPr>
      </w:pPr>
    </w:p>
    <w:p>
      <w:pPr>
        <w:pStyle w:val="3"/>
        <w:spacing w:before="0" w:after="0"/>
        <w:jc w:val="center"/>
      </w:pPr>
      <w:bookmarkStart w:id="87" w:name="_Toc73610163"/>
      <w:r>
        <w:rPr>
          <w:rFonts w:hint="eastAsia"/>
        </w:rPr>
        <w:t>二、关于印发中小企业划型标准规定的通知</w:t>
      </w:r>
      <w:bookmarkEnd w:id="87"/>
    </w:p>
    <w:p>
      <w:pPr>
        <w:pStyle w:val="45"/>
        <w:shd w:val="clear" w:color="auto" w:fill="FFFFFF"/>
        <w:spacing w:line="36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工信部联企业〔2011〕300号</w:t>
      </w:r>
    </w:p>
    <w:p>
      <w:pPr>
        <w:pStyle w:val="45"/>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各省、自治区、直辖市人民政府，国务院各部委、各直属机构及有关单位：</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45"/>
        <w:shd w:val="clear" w:color="auto" w:fill="FFFFFF"/>
        <w:spacing w:line="360" w:lineRule="auto"/>
        <w:jc w:val="righ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工业和信息化部　国家统计局</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国家发展和改革委员会　财政部</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二○一一年六月十八日</w:t>
      </w:r>
    </w:p>
    <w:p>
      <w:pPr>
        <w:pStyle w:val="45"/>
        <w:shd w:val="clear" w:color="auto" w:fill="FFFFFF"/>
        <w:spacing w:line="360" w:lineRule="auto"/>
        <w:jc w:val="center"/>
        <w:rPr>
          <w:rFonts w:asciiTheme="minorEastAsia" w:hAnsiTheme="minorEastAsia" w:eastAsiaTheme="minorEastAsia"/>
          <w:color w:val="000000"/>
          <w:sz w:val="21"/>
          <w:szCs w:val="21"/>
        </w:rPr>
      </w:pPr>
      <w:r>
        <w:rPr>
          <w:rStyle w:val="53"/>
          <w:rFonts w:hint="eastAsia" w:asciiTheme="minorEastAsia" w:hAnsiTheme="minorEastAsia" w:eastAsiaTheme="minorEastAsia"/>
          <w:color w:val="000000"/>
          <w:sz w:val="21"/>
          <w:szCs w:val="21"/>
        </w:rPr>
        <w:t>中小企业划型标准规定</w:t>
      </w:r>
    </w:p>
    <w:p>
      <w:pPr>
        <w:pStyle w:val="45"/>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一、根据《中华人民共和国中小企业促进法》和《国务院关于进一步促进中小企业发展的若干意见》(国发〔2009〕36号)，制定本规定。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二、中小企业划分为中型、小型、微型三种类型，具体标准根据企业从业人员、营业收入、资产总额等指标，结合行业特点制定。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四、各行业划型标准为：</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（一）农、林、牧、渔业。营业收入20000万元以下的为中小微型企业。其中，营业收入500万元及以上的为中型企业，营业收入50万元及以上的为小型企业，营业收入50万元以下的为微型企业。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（十六）其他未列明行业。从业人员300人以下的为中小微型企业。其中，从业人员100人及以上的为中型企业；从业人员10人及以上的为小型企业；从业人员10人以下的为微型企业。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五、企业类型的划分以统计部门的统计数据为依据。</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六、本规定适用于在中华人民共和国境内依法设立的各类所有制和各种组织形式的企业。个体工商户和本规定以外的行业，参照本规定进行划型。</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八、本规定由工业和信息化部、国家统计局会同有关部门根据《国民经济行业分类》修订情况和企业发展变化情况适时修订。</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九、本规定由工业和信息化部、国家统计局会同有关部门负责解释。</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十、本规定自发布之日起执行，原国家经贸委、原国家计委、财政部和国家统计局2003年颁布的《中小企业标准暂行规定》同时废止。</w:t>
      </w:r>
    </w:p>
    <w:p>
      <w:pPr>
        <w:pStyle w:val="45"/>
        <w:shd w:val="clear" w:color="auto" w:fill="FFFFFF"/>
        <w:spacing w:line="360" w:lineRule="auto"/>
        <w:rPr>
          <w:rFonts w:asciiTheme="minorEastAsia" w:hAnsiTheme="minorEastAsia" w:eastAsiaTheme="minorEastAsia"/>
          <w:color w:val="000000"/>
          <w:sz w:val="21"/>
          <w:szCs w:val="21"/>
        </w:rPr>
      </w:pPr>
    </w:p>
    <w:p>
      <w:pPr>
        <w:pStyle w:val="3"/>
        <w:spacing w:before="0" w:after="0"/>
        <w:jc w:val="center"/>
        <w:rPr>
          <w:rFonts w:asciiTheme="minorEastAsia" w:hAnsiTheme="minorEastAsia" w:eastAsiaTheme="minorEastAsia"/>
        </w:rPr>
      </w:pPr>
      <w:bookmarkStart w:id="88" w:name="_Toc73610164"/>
      <w:r>
        <w:rPr>
          <w:rFonts w:hint="eastAsia" w:asciiTheme="minorEastAsia" w:hAnsiTheme="minorEastAsia" w:eastAsiaTheme="minorEastAsia"/>
          <w:bCs w:val="0"/>
        </w:rPr>
        <w:t>三、</w:t>
      </w:r>
      <w:r>
        <w:rPr>
          <w:rFonts w:asciiTheme="minorEastAsia" w:hAnsiTheme="minorEastAsia" w:eastAsiaTheme="minorEastAsia"/>
          <w:bCs w:val="0"/>
        </w:rPr>
        <w:t>国家统计局关于印发《统计上大中小微型企业划分办法 （2017）》的通知</w:t>
      </w:r>
      <w:bookmarkEnd w:id="88"/>
      <w:r>
        <w:rPr>
          <w:rFonts w:asciiTheme="minorEastAsia" w:hAnsiTheme="minorEastAsia" w:eastAsiaTheme="minorEastAsia"/>
          <w:bCs w:val="0"/>
        </w:rPr>
        <w:t> </w:t>
      </w:r>
    </w:p>
    <w:p>
      <w:pPr>
        <w:widowControl/>
        <w:shd w:val="clear" w:color="auto" w:fill="FFFFFF"/>
        <w:spacing w:line="360" w:lineRule="auto"/>
        <w:jc w:val="left"/>
        <w:rPr>
          <w:rFonts w:cs="Arial" w:asciiTheme="minorEastAsia" w:hAnsiTheme="minorEastAsia" w:eastAsiaTheme="minorEastAsia"/>
          <w:color w:val="999999"/>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pPr>
        <w:widowControl/>
        <w:spacing w:line="360" w:lineRule="auto"/>
        <w:jc w:val="center"/>
        <w:rPr>
          <w:rFonts w:cs="宋体" w:asciiTheme="minorEastAsia" w:hAnsiTheme="minorEastAsia" w:eastAsiaTheme="minorEastAsia"/>
          <w:b/>
          <w:bCs/>
          <w:kern w:val="0"/>
          <w:szCs w:val="21"/>
        </w:rPr>
      </w:pP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pPr>
        <w:widowControl/>
        <w:spacing w:line="360" w:lineRule="auto"/>
        <w:jc w:val="left"/>
        <w:rPr>
          <w:rFonts w:cs="宋体" w:asciiTheme="minorEastAsia" w:hAnsiTheme="minorEastAsia" w:eastAsiaTheme="minorEastAsia"/>
          <w:kern w:val="0"/>
          <w:szCs w:val="21"/>
        </w:rPr>
      </w:pP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pPr>
        <w:widowControl/>
        <w:spacing w:line="360" w:lineRule="auto"/>
        <w:jc w:val="left"/>
        <w:rPr>
          <w:rFonts w:cs="宋体" w:asciiTheme="minorEastAsia" w:hAnsiTheme="minorEastAsia" w:eastAsiaTheme="minorEastAsia"/>
          <w:kern w:val="0"/>
          <w:szCs w:val="21"/>
        </w:rPr>
      </w:pP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spacing w:line="360" w:lineRule="auto"/>
        <w:rPr>
          <w:rFonts w:asciiTheme="minorEastAsia" w:hAnsiTheme="minorEastAsia" w:eastAsiaTheme="minorEastAsia"/>
          <w:szCs w:val="21"/>
        </w:rPr>
      </w:pPr>
    </w:p>
    <w:p>
      <w:pPr>
        <w:pStyle w:val="3"/>
        <w:spacing w:before="0" w:after="0"/>
        <w:jc w:val="center"/>
      </w:pPr>
      <w:bookmarkStart w:id="89" w:name="_Toc73610165"/>
      <w:r>
        <w:rPr>
          <w:rFonts w:hint="eastAsia"/>
        </w:rPr>
        <w:t>四、</w:t>
      </w:r>
      <w:r>
        <w:t>财政部 民政部 中国残疾人联合会关于促进残疾人就业 政府采购政策的通知</w:t>
      </w:r>
      <w:bookmarkEnd w:id="89"/>
      <w:r>
        <w:t xml:space="preserve"> </w:t>
      </w:r>
    </w:p>
    <w:p>
      <w:pPr>
        <w:pStyle w:val="45"/>
        <w:shd w:val="clear" w:color="auto" w:fill="FFFFFF"/>
        <w:spacing w:line="360" w:lineRule="auto"/>
        <w:jc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财库〔2017〕141号</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pPr>
        <w:widowControl/>
        <w:spacing w:line="360" w:lineRule="auto"/>
        <w:jc w:val="right"/>
        <w:rPr>
          <w:rFonts w:cs="宋体" w:asciiTheme="minorEastAsia" w:hAnsiTheme="minorEastAsia" w:eastAsiaTheme="minorEastAsia"/>
          <w:kern w:val="0"/>
          <w:szCs w:val="21"/>
        </w:rPr>
      </w:pPr>
    </w:p>
    <w:p>
      <w:pPr>
        <w:widowControl/>
        <w:spacing w:line="360" w:lineRule="auto"/>
        <w:jc w:val="right"/>
        <w:rPr>
          <w:rFonts w:asciiTheme="minorEastAsia" w:hAnsiTheme="minorEastAsia" w:eastAsiaTheme="minorEastAsia"/>
          <w:szCs w:val="21"/>
        </w:rPr>
      </w:pPr>
      <w:r>
        <w:rPr>
          <w:rFonts w:hint="eastAsia" w:cs="宋体" w:asciiTheme="minorEastAsia" w:hAnsiTheme="minorEastAsia" w:eastAsiaTheme="minorEastAsia"/>
          <w:kern w:val="0"/>
          <w:szCs w:val="21"/>
        </w:rPr>
        <w:t>  2017年8月22日</w:t>
      </w:r>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 Yb 2gj">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仿宋_GB2313">
    <w:altName w:val="宋体"/>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Wingdings 3">
    <w:altName w:val="Symbol"/>
    <w:panose1 w:val="050401020108070707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16</w:t>
    </w:r>
    <w:r>
      <w:rPr>
        <w:rStyle w:val="54"/>
      </w:rPr>
      <w:fldChar w:fldCharType="end"/>
    </w:r>
  </w:p>
  <w:p>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center" w:pos="4819"/>
        <w:tab w:val="right" w:pos="9638"/>
      </w:tabs>
      <w:jc w:val="left"/>
      <w:rPr>
        <w:rFonts w:hint="default" w:asciiTheme="minorEastAsia" w:hAnsiTheme="minorEastAsia" w:eastAsiaTheme="minorEastAsia"/>
        <w:lang w:val="en-US" w:eastAsia="zh-CN"/>
      </w:rPr>
    </w:pPr>
    <w:r>
      <w:tab/>
    </w:r>
    <w:r>
      <w:rPr>
        <w:rFonts w:hint="eastAsia" w:asciiTheme="minorEastAsia" w:hAnsiTheme="minorEastAsia" w:eastAsiaTheme="minorEastAsia"/>
      </w:rPr>
      <w:t>项目名称：可视化角膜生物力学分析仪采购项目                                      项目编号：SZZZ2021-QA0</w:t>
    </w:r>
    <w:r>
      <w:rPr>
        <w:rFonts w:hint="eastAsia" w:asciiTheme="minorEastAsia" w:hAnsiTheme="minorEastAsia" w:eastAsiaTheme="minorEastAsia"/>
        <w:lang w:val="en-US" w:eastAsia="zh-CN"/>
      </w:rPr>
      <w:t>181</w:t>
    </w:r>
  </w:p>
  <w:p>
    <w:pPr>
      <w:pStyle w:val="32"/>
      <w:tabs>
        <w:tab w:val="center" w:pos="4819"/>
        <w:tab w:val="right" w:pos="9638"/>
      </w:tabs>
      <w:jc w:val="left"/>
      <w:rPr>
        <w:u w:val="single"/>
      </w:rPr>
    </w:pPr>
    <w:r>
      <w:rPr>
        <w:rFonts w:hint="eastAsia"/>
        <w:u w:val="single"/>
      </w:rPr>
      <w:t xml:space="preserve">                                                                                                       </w:t>
    </w:r>
    <w:r>
      <w:rPr>
        <w:u w:val="single"/>
      </w:rPr>
      <w:tab/>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1">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24D"/>
    <w:rsid w:val="0000134D"/>
    <w:rsid w:val="000035D6"/>
    <w:rsid w:val="000036D6"/>
    <w:rsid w:val="00003921"/>
    <w:rsid w:val="000039AF"/>
    <w:rsid w:val="00003A46"/>
    <w:rsid w:val="000042A3"/>
    <w:rsid w:val="00004906"/>
    <w:rsid w:val="000049DE"/>
    <w:rsid w:val="00004AF7"/>
    <w:rsid w:val="00004FC4"/>
    <w:rsid w:val="00005751"/>
    <w:rsid w:val="00005C27"/>
    <w:rsid w:val="0000670A"/>
    <w:rsid w:val="00006922"/>
    <w:rsid w:val="00006E2A"/>
    <w:rsid w:val="000074B0"/>
    <w:rsid w:val="000103E3"/>
    <w:rsid w:val="00010937"/>
    <w:rsid w:val="00010B8D"/>
    <w:rsid w:val="00010DC3"/>
    <w:rsid w:val="00011A45"/>
    <w:rsid w:val="00011AAF"/>
    <w:rsid w:val="00012A6E"/>
    <w:rsid w:val="00012BC4"/>
    <w:rsid w:val="00012F81"/>
    <w:rsid w:val="00013127"/>
    <w:rsid w:val="00014515"/>
    <w:rsid w:val="00014625"/>
    <w:rsid w:val="00015940"/>
    <w:rsid w:val="00015AF5"/>
    <w:rsid w:val="00016458"/>
    <w:rsid w:val="000165EF"/>
    <w:rsid w:val="00016FC3"/>
    <w:rsid w:val="000208F8"/>
    <w:rsid w:val="00021304"/>
    <w:rsid w:val="0002197F"/>
    <w:rsid w:val="00022C27"/>
    <w:rsid w:val="00022F4F"/>
    <w:rsid w:val="00022FA9"/>
    <w:rsid w:val="000250AF"/>
    <w:rsid w:val="00025B21"/>
    <w:rsid w:val="00025D5B"/>
    <w:rsid w:val="00026249"/>
    <w:rsid w:val="00026BDD"/>
    <w:rsid w:val="00027415"/>
    <w:rsid w:val="000274F7"/>
    <w:rsid w:val="000307C5"/>
    <w:rsid w:val="00030D77"/>
    <w:rsid w:val="00031887"/>
    <w:rsid w:val="000319D1"/>
    <w:rsid w:val="00034043"/>
    <w:rsid w:val="0003479B"/>
    <w:rsid w:val="000347CB"/>
    <w:rsid w:val="00034900"/>
    <w:rsid w:val="0003493D"/>
    <w:rsid w:val="0003524E"/>
    <w:rsid w:val="00035FE0"/>
    <w:rsid w:val="000367ED"/>
    <w:rsid w:val="0003688B"/>
    <w:rsid w:val="000370BD"/>
    <w:rsid w:val="000372E9"/>
    <w:rsid w:val="00037359"/>
    <w:rsid w:val="0003762A"/>
    <w:rsid w:val="0003795A"/>
    <w:rsid w:val="0004022A"/>
    <w:rsid w:val="00040784"/>
    <w:rsid w:val="00042758"/>
    <w:rsid w:val="00043926"/>
    <w:rsid w:val="00043D2B"/>
    <w:rsid w:val="000447F6"/>
    <w:rsid w:val="00045923"/>
    <w:rsid w:val="00045EB5"/>
    <w:rsid w:val="00046595"/>
    <w:rsid w:val="0004741F"/>
    <w:rsid w:val="00047612"/>
    <w:rsid w:val="00047852"/>
    <w:rsid w:val="00047A79"/>
    <w:rsid w:val="00050F73"/>
    <w:rsid w:val="00051378"/>
    <w:rsid w:val="000529DE"/>
    <w:rsid w:val="00053074"/>
    <w:rsid w:val="00053F8F"/>
    <w:rsid w:val="000545F7"/>
    <w:rsid w:val="00054837"/>
    <w:rsid w:val="000550A3"/>
    <w:rsid w:val="0005520A"/>
    <w:rsid w:val="0005526E"/>
    <w:rsid w:val="000558BB"/>
    <w:rsid w:val="00056374"/>
    <w:rsid w:val="0005650D"/>
    <w:rsid w:val="00056617"/>
    <w:rsid w:val="00057655"/>
    <w:rsid w:val="00060526"/>
    <w:rsid w:val="00061300"/>
    <w:rsid w:val="000621B0"/>
    <w:rsid w:val="00062570"/>
    <w:rsid w:val="0006264D"/>
    <w:rsid w:val="0006301D"/>
    <w:rsid w:val="0006339B"/>
    <w:rsid w:val="00064787"/>
    <w:rsid w:val="00064A61"/>
    <w:rsid w:val="00066813"/>
    <w:rsid w:val="000668F4"/>
    <w:rsid w:val="0006745C"/>
    <w:rsid w:val="00067D3F"/>
    <w:rsid w:val="000700C5"/>
    <w:rsid w:val="00070384"/>
    <w:rsid w:val="00071507"/>
    <w:rsid w:val="0007191E"/>
    <w:rsid w:val="00071BA1"/>
    <w:rsid w:val="0007211D"/>
    <w:rsid w:val="000730F3"/>
    <w:rsid w:val="00073348"/>
    <w:rsid w:val="00073A35"/>
    <w:rsid w:val="00073B23"/>
    <w:rsid w:val="00073DB3"/>
    <w:rsid w:val="00073EE2"/>
    <w:rsid w:val="00074554"/>
    <w:rsid w:val="00074BEF"/>
    <w:rsid w:val="00075AD5"/>
    <w:rsid w:val="00080168"/>
    <w:rsid w:val="00080188"/>
    <w:rsid w:val="00080A90"/>
    <w:rsid w:val="00080C2D"/>
    <w:rsid w:val="00081B06"/>
    <w:rsid w:val="000820E6"/>
    <w:rsid w:val="000825F6"/>
    <w:rsid w:val="00082956"/>
    <w:rsid w:val="00082ABE"/>
    <w:rsid w:val="000839DA"/>
    <w:rsid w:val="00083D3F"/>
    <w:rsid w:val="00083E84"/>
    <w:rsid w:val="0008402F"/>
    <w:rsid w:val="00085134"/>
    <w:rsid w:val="000851F8"/>
    <w:rsid w:val="00085317"/>
    <w:rsid w:val="00085419"/>
    <w:rsid w:val="000855C1"/>
    <w:rsid w:val="00085908"/>
    <w:rsid w:val="0008596C"/>
    <w:rsid w:val="00085DE9"/>
    <w:rsid w:val="00085FFE"/>
    <w:rsid w:val="000866A3"/>
    <w:rsid w:val="000867FB"/>
    <w:rsid w:val="00086F62"/>
    <w:rsid w:val="000870F2"/>
    <w:rsid w:val="000878FF"/>
    <w:rsid w:val="00087F07"/>
    <w:rsid w:val="0009127F"/>
    <w:rsid w:val="0009133A"/>
    <w:rsid w:val="0009145A"/>
    <w:rsid w:val="00091526"/>
    <w:rsid w:val="00091CAC"/>
    <w:rsid w:val="00092BD5"/>
    <w:rsid w:val="00095198"/>
    <w:rsid w:val="00095806"/>
    <w:rsid w:val="00095F61"/>
    <w:rsid w:val="00096CE6"/>
    <w:rsid w:val="00097B04"/>
    <w:rsid w:val="000A0947"/>
    <w:rsid w:val="000A0ABE"/>
    <w:rsid w:val="000A0DC0"/>
    <w:rsid w:val="000A24AF"/>
    <w:rsid w:val="000A274D"/>
    <w:rsid w:val="000A2C52"/>
    <w:rsid w:val="000A2D79"/>
    <w:rsid w:val="000A3358"/>
    <w:rsid w:val="000A43D6"/>
    <w:rsid w:val="000A530C"/>
    <w:rsid w:val="000A54E6"/>
    <w:rsid w:val="000A584E"/>
    <w:rsid w:val="000A58B9"/>
    <w:rsid w:val="000A5A8E"/>
    <w:rsid w:val="000A5CD4"/>
    <w:rsid w:val="000A6F16"/>
    <w:rsid w:val="000A7A6C"/>
    <w:rsid w:val="000A7C5A"/>
    <w:rsid w:val="000B0205"/>
    <w:rsid w:val="000B0817"/>
    <w:rsid w:val="000B10D9"/>
    <w:rsid w:val="000B1ED2"/>
    <w:rsid w:val="000B20FC"/>
    <w:rsid w:val="000B3202"/>
    <w:rsid w:val="000B493E"/>
    <w:rsid w:val="000B4F60"/>
    <w:rsid w:val="000B5CC8"/>
    <w:rsid w:val="000B5DFC"/>
    <w:rsid w:val="000B61BF"/>
    <w:rsid w:val="000B620E"/>
    <w:rsid w:val="000B67E1"/>
    <w:rsid w:val="000C080D"/>
    <w:rsid w:val="000C1B95"/>
    <w:rsid w:val="000C299D"/>
    <w:rsid w:val="000C3B21"/>
    <w:rsid w:val="000C428C"/>
    <w:rsid w:val="000C4328"/>
    <w:rsid w:val="000C48DA"/>
    <w:rsid w:val="000C605A"/>
    <w:rsid w:val="000C63AE"/>
    <w:rsid w:val="000C6BB0"/>
    <w:rsid w:val="000C7685"/>
    <w:rsid w:val="000D0C86"/>
    <w:rsid w:val="000D0C91"/>
    <w:rsid w:val="000D11F6"/>
    <w:rsid w:val="000D1EAF"/>
    <w:rsid w:val="000D2C8E"/>
    <w:rsid w:val="000D2CA8"/>
    <w:rsid w:val="000D3909"/>
    <w:rsid w:val="000D39D7"/>
    <w:rsid w:val="000D3DAF"/>
    <w:rsid w:val="000D4816"/>
    <w:rsid w:val="000D48D5"/>
    <w:rsid w:val="000D5E0E"/>
    <w:rsid w:val="000D5E7D"/>
    <w:rsid w:val="000D6088"/>
    <w:rsid w:val="000D6CFF"/>
    <w:rsid w:val="000D6D74"/>
    <w:rsid w:val="000D6F21"/>
    <w:rsid w:val="000D7803"/>
    <w:rsid w:val="000D7D8E"/>
    <w:rsid w:val="000D7DC6"/>
    <w:rsid w:val="000E18B0"/>
    <w:rsid w:val="000E1BD5"/>
    <w:rsid w:val="000E1C6E"/>
    <w:rsid w:val="000E214A"/>
    <w:rsid w:val="000E21D9"/>
    <w:rsid w:val="000E2823"/>
    <w:rsid w:val="000E3219"/>
    <w:rsid w:val="000E321B"/>
    <w:rsid w:val="000E3D76"/>
    <w:rsid w:val="000E52FA"/>
    <w:rsid w:val="000E6437"/>
    <w:rsid w:val="000E671E"/>
    <w:rsid w:val="000F06E7"/>
    <w:rsid w:val="000F0B03"/>
    <w:rsid w:val="000F0D6F"/>
    <w:rsid w:val="000F1EDD"/>
    <w:rsid w:val="000F23CA"/>
    <w:rsid w:val="000F243B"/>
    <w:rsid w:val="000F262E"/>
    <w:rsid w:val="000F3580"/>
    <w:rsid w:val="000F3F04"/>
    <w:rsid w:val="000F420E"/>
    <w:rsid w:val="000F454C"/>
    <w:rsid w:val="000F4EE2"/>
    <w:rsid w:val="000F527A"/>
    <w:rsid w:val="000F5C16"/>
    <w:rsid w:val="000F6308"/>
    <w:rsid w:val="000F6C6E"/>
    <w:rsid w:val="000F7241"/>
    <w:rsid w:val="000F7836"/>
    <w:rsid w:val="000F7F62"/>
    <w:rsid w:val="001001FD"/>
    <w:rsid w:val="00100694"/>
    <w:rsid w:val="001018E6"/>
    <w:rsid w:val="00101DFC"/>
    <w:rsid w:val="00102684"/>
    <w:rsid w:val="00102A12"/>
    <w:rsid w:val="00102CC6"/>
    <w:rsid w:val="00102F0D"/>
    <w:rsid w:val="001048BE"/>
    <w:rsid w:val="0010529C"/>
    <w:rsid w:val="001072EB"/>
    <w:rsid w:val="001075C1"/>
    <w:rsid w:val="00107924"/>
    <w:rsid w:val="001079CD"/>
    <w:rsid w:val="0011014B"/>
    <w:rsid w:val="00111274"/>
    <w:rsid w:val="001117B9"/>
    <w:rsid w:val="0011317D"/>
    <w:rsid w:val="001134EF"/>
    <w:rsid w:val="00114386"/>
    <w:rsid w:val="001148BD"/>
    <w:rsid w:val="001151A9"/>
    <w:rsid w:val="00115CCC"/>
    <w:rsid w:val="00116BDF"/>
    <w:rsid w:val="0012030F"/>
    <w:rsid w:val="00120AB4"/>
    <w:rsid w:val="00120BE1"/>
    <w:rsid w:val="00121A55"/>
    <w:rsid w:val="00121C20"/>
    <w:rsid w:val="00121CCD"/>
    <w:rsid w:val="00122C88"/>
    <w:rsid w:val="00123367"/>
    <w:rsid w:val="00123EA6"/>
    <w:rsid w:val="00124206"/>
    <w:rsid w:val="0012456B"/>
    <w:rsid w:val="00124932"/>
    <w:rsid w:val="0012537B"/>
    <w:rsid w:val="0012558C"/>
    <w:rsid w:val="0012714F"/>
    <w:rsid w:val="00127915"/>
    <w:rsid w:val="0013031C"/>
    <w:rsid w:val="00130801"/>
    <w:rsid w:val="00130A8C"/>
    <w:rsid w:val="001310AA"/>
    <w:rsid w:val="001312DF"/>
    <w:rsid w:val="00132670"/>
    <w:rsid w:val="001328E9"/>
    <w:rsid w:val="00133AF2"/>
    <w:rsid w:val="00133E88"/>
    <w:rsid w:val="0013411A"/>
    <w:rsid w:val="001349F3"/>
    <w:rsid w:val="001356AB"/>
    <w:rsid w:val="0013581C"/>
    <w:rsid w:val="00136615"/>
    <w:rsid w:val="00136BA5"/>
    <w:rsid w:val="00137077"/>
    <w:rsid w:val="00137241"/>
    <w:rsid w:val="00137B1E"/>
    <w:rsid w:val="00140047"/>
    <w:rsid w:val="001403D0"/>
    <w:rsid w:val="00141229"/>
    <w:rsid w:val="00141E96"/>
    <w:rsid w:val="00142681"/>
    <w:rsid w:val="00142BD9"/>
    <w:rsid w:val="00143392"/>
    <w:rsid w:val="001438E5"/>
    <w:rsid w:val="00143AB1"/>
    <w:rsid w:val="00143D73"/>
    <w:rsid w:val="001448C4"/>
    <w:rsid w:val="0014619B"/>
    <w:rsid w:val="001467AB"/>
    <w:rsid w:val="001468DA"/>
    <w:rsid w:val="00146E88"/>
    <w:rsid w:val="00147B19"/>
    <w:rsid w:val="00150618"/>
    <w:rsid w:val="00150E64"/>
    <w:rsid w:val="00151766"/>
    <w:rsid w:val="00152417"/>
    <w:rsid w:val="0015247A"/>
    <w:rsid w:val="00152F39"/>
    <w:rsid w:val="00153226"/>
    <w:rsid w:val="00153918"/>
    <w:rsid w:val="001547E1"/>
    <w:rsid w:val="00154F74"/>
    <w:rsid w:val="00156320"/>
    <w:rsid w:val="00156E27"/>
    <w:rsid w:val="001570A5"/>
    <w:rsid w:val="001571E8"/>
    <w:rsid w:val="0015749F"/>
    <w:rsid w:val="00160375"/>
    <w:rsid w:val="00160D4E"/>
    <w:rsid w:val="00160F50"/>
    <w:rsid w:val="00161522"/>
    <w:rsid w:val="001617AE"/>
    <w:rsid w:val="00161E4F"/>
    <w:rsid w:val="0016263C"/>
    <w:rsid w:val="001628C8"/>
    <w:rsid w:val="00162AE8"/>
    <w:rsid w:val="00162C56"/>
    <w:rsid w:val="00162DB2"/>
    <w:rsid w:val="00163EA0"/>
    <w:rsid w:val="00164626"/>
    <w:rsid w:val="00164924"/>
    <w:rsid w:val="00164A55"/>
    <w:rsid w:val="001657B1"/>
    <w:rsid w:val="00166DCC"/>
    <w:rsid w:val="00167927"/>
    <w:rsid w:val="0017073E"/>
    <w:rsid w:val="00170C17"/>
    <w:rsid w:val="00170C6E"/>
    <w:rsid w:val="0017173E"/>
    <w:rsid w:val="00171CA3"/>
    <w:rsid w:val="001722D8"/>
    <w:rsid w:val="00172715"/>
    <w:rsid w:val="00172A27"/>
    <w:rsid w:val="00172AE3"/>
    <w:rsid w:val="00172C34"/>
    <w:rsid w:val="00173149"/>
    <w:rsid w:val="00173759"/>
    <w:rsid w:val="001739A3"/>
    <w:rsid w:val="00173A21"/>
    <w:rsid w:val="00173D26"/>
    <w:rsid w:val="001742DD"/>
    <w:rsid w:val="00175A5E"/>
    <w:rsid w:val="00177212"/>
    <w:rsid w:val="001774D4"/>
    <w:rsid w:val="00177549"/>
    <w:rsid w:val="00177744"/>
    <w:rsid w:val="001778BE"/>
    <w:rsid w:val="00177F89"/>
    <w:rsid w:val="00180B0D"/>
    <w:rsid w:val="00181389"/>
    <w:rsid w:val="00181FEA"/>
    <w:rsid w:val="00182706"/>
    <w:rsid w:val="0018284B"/>
    <w:rsid w:val="00183600"/>
    <w:rsid w:val="00183836"/>
    <w:rsid w:val="00183DB4"/>
    <w:rsid w:val="001845E9"/>
    <w:rsid w:val="00184630"/>
    <w:rsid w:val="001846D7"/>
    <w:rsid w:val="00184815"/>
    <w:rsid w:val="001856C0"/>
    <w:rsid w:val="00185CB5"/>
    <w:rsid w:val="001864FF"/>
    <w:rsid w:val="00186D2F"/>
    <w:rsid w:val="00187B3E"/>
    <w:rsid w:val="0019153B"/>
    <w:rsid w:val="001915A3"/>
    <w:rsid w:val="001919EB"/>
    <w:rsid w:val="00191B94"/>
    <w:rsid w:val="0019227B"/>
    <w:rsid w:val="00192D08"/>
    <w:rsid w:val="00193031"/>
    <w:rsid w:val="0019368B"/>
    <w:rsid w:val="001938D2"/>
    <w:rsid w:val="001938DD"/>
    <w:rsid w:val="001941C8"/>
    <w:rsid w:val="00194A96"/>
    <w:rsid w:val="00195B8B"/>
    <w:rsid w:val="00195DCB"/>
    <w:rsid w:val="00195F14"/>
    <w:rsid w:val="001961A2"/>
    <w:rsid w:val="00196787"/>
    <w:rsid w:val="00196ACD"/>
    <w:rsid w:val="00196B4C"/>
    <w:rsid w:val="001970AD"/>
    <w:rsid w:val="00197204"/>
    <w:rsid w:val="001A040A"/>
    <w:rsid w:val="001A10F7"/>
    <w:rsid w:val="001A173C"/>
    <w:rsid w:val="001A1844"/>
    <w:rsid w:val="001A1998"/>
    <w:rsid w:val="001A1BE9"/>
    <w:rsid w:val="001A20CA"/>
    <w:rsid w:val="001A29AF"/>
    <w:rsid w:val="001A2B9F"/>
    <w:rsid w:val="001A2DA7"/>
    <w:rsid w:val="001A3B13"/>
    <w:rsid w:val="001A3CF6"/>
    <w:rsid w:val="001A3EE7"/>
    <w:rsid w:val="001A4420"/>
    <w:rsid w:val="001A68EC"/>
    <w:rsid w:val="001A6C49"/>
    <w:rsid w:val="001A7C91"/>
    <w:rsid w:val="001B0220"/>
    <w:rsid w:val="001B0850"/>
    <w:rsid w:val="001B0AEB"/>
    <w:rsid w:val="001B1281"/>
    <w:rsid w:val="001B1712"/>
    <w:rsid w:val="001B1D39"/>
    <w:rsid w:val="001B2126"/>
    <w:rsid w:val="001B238D"/>
    <w:rsid w:val="001B23F5"/>
    <w:rsid w:val="001B2A31"/>
    <w:rsid w:val="001B2BC4"/>
    <w:rsid w:val="001B2D49"/>
    <w:rsid w:val="001B3D9D"/>
    <w:rsid w:val="001B57AB"/>
    <w:rsid w:val="001B5B42"/>
    <w:rsid w:val="001B6DDB"/>
    <w:rsid w:val="001B7078"/>
    <w:rsid w:val="001B7491"/>
    <w:rsid w:val="001B75CF"/>
    <w:rsid w:val="001B7A8D"/>
    <w:rsid w:val="001B7EBE"/>
    <w:rsid w:val="001C06C0"/>
    <w:rsid w:val="001C0924"/>
    <w:rsid w:val="001C10E5"/>
    <w:rsid w:val="001C1A12"/>
    <w:rsid w:val="001C1D46"/>
    <w:rsid w:val="001C1F6C"/>
    <w:rsid w:val="001C21BB"/>
    <w:rsid w:val="001C3041"/>
    <w:rsid w:val="001C30D1"/>
    <w:rsid w:val="001C33D6"/>
    <w:rsid w:val="001C35B7"/>
    <w:rsid w:val="001C36F7"/>
    <w:rsid w:val="001C3AE0"/>
    <w:rsid w:val="001C3BAD"/>
    <w:rsid w:val="001C5F9A"/>
    <w:rsid w:val="001C7E49"/>
    <w:rsid w:val="001D012D"/>
    <w:rsid w:val="001D0702"/>
    <w:rsid w:val="001D0A25"/>
    <w:rsid w:val="001D1659"/>
    <w:rsid w:val="001D296C"/>
    <w:rsid w:val="001D2F3D"/>
    <w:rsid w:val="001D33C3"/>
    <w:rsid w:val="001D3C8D"/>
    <w:rsid w:val="001D3DED"/>
    <w:rsid w:val="001D3DF8"/>
    <w:rsid w:val="001D4078"/>
    <w:rsid w:val="001D4E6F"/>
    <w:rsid w:val="001D5573"/>
    <w:rsid w:val="001D5E80"/>
    <w:rsid w:val="001D6157"/>
    <w:rsid w:val="001D6356"/>
    <w:rsid w:val="001D6A56"/>
    <w:rsid w:val="001D6EC3"/>
    <w:rsid w:val="001D710C"/>
    <w:rsid w:val="001E11B1"/>
    <w:rsid w:val="001E208F"/>
    <w:rsid w:val="001E233C"/>
    <w:rsid w:val="001E4950"/>
    <w:rsid w:val="001E5014"/>
    <w:rsid w:val="001E630A"/>
    <w:rsid w:val="001E7838"/>
    <w:rsid w:val="001E7A22"/>
    <w:rsid w:val="001E7D19"/>
    <w:rsid w:val="001F015A"/>
    <w:rsid w:val="001F03A2"/>
    <w:rsid w:val="001F0CFA"/>
    <w:rsid w:val="001F1464"/>
    <w:rsid w:val="001F1905"/>
    <w:rsid w:val="001F1EAE"/>
    <w:rsid w:val="001F1F7F"/>
    <w:rsid w:val="001F2E14"/>
    <w:rsid w:val="001F37E0"/>
    <w:rsid w:val="001F401A"/>
    <w:rsid w:val="001F4A76"/>
    <w:rsid w:val="001F4D92"/>
    <w:rsid w:val="001F4F4A"/>
    <w:rsid w:val="001F534F"/>
    <w:rsid w:val="001F543D"/>
    <w:rsid w:val="001F56BD"/>
    <w:rsid w:val="001F5989"/>
    <w:rsid w:val="001F64C1"/>
    <w:rsid w:val="001F7746"/>
    <w:rsid w:val="002001F1"/>
    <w:rsid w:val="00201348"/>
    <w:rsid w:val="002014D7"/>
    <w:rsid w:val="00201A4E"/>
    <w:rsid w:val="00201B09"/>
    <w:rsid w:val="00201C8A"/>
    <w:rsid w:val="00202525"/>
    <w:rsid w:val="002035A2"/>
    <w:rsid w:val="00203887"/>
    <w:rsid w:val="002046D6"/>
    <w:rsid w:val="00204D09"/>
    <w:rsid w:val="00205C71"/>
    <w:rsid w:val="00205E32"/>
    <w:rsid w:val="002070C1"/>
    <w:rsid w:val="0020717B"/>
    <w:rsid w:val="002071DB"/>
    <w:rsid w:val="00207468"/>
    <w:rsid w:val="00207844"/>
    <w:rsid w:val="00210436"/>
    <w:rsid w:val="0021043B"/>
    <w:rsid w:val="0021054E"/>
    <w:rsid w:val="0021095C"/>
    <w:rsid w:val="00210AC5"/>
    <w:rsid w:val="00210E7E"/>
    <w:rsid w:val="00211084"/>
    <w:rsid w:val="00211254"/>
    <w:rsid w:val="002122AD"/>
    <w:rsid w:val="0021299B"/>
    <w:rsid w:val="002139CD"/>
    <w:rsid w:val="00213E88"/>
    <w:rsid w:val="00214C22"/>
    <w:rsid w:val="00214C4A"/>
    <w:rsid w:val="00214FDD"/>
    <w:rsid w:val="0021647A"/>
    <w:rsid w:val="002170FD"/>
    <w:rsid w:val="002175FD"/>
    <w:rsid w:val="0021781A"/>
    <w:rsid w:val="00217A9E"/>
    <w:rsid w:val="002201AC"/>
    <w:rsid w:val="0022067E"/>
    <w:rsid w:val="00221029"/>
    <w:rsid w:val="0022131F"/>
    <w:rsid w:val="002216BD"/>
    <w:rsid w:val="00221E89"/>
    <w:rsid w:val="00221FE8"/>
    <w:rsid w:val="00222F08"/>
    <w:rsid w:val="00223045"/>
    <w:rsid w:val="002237FD"/>
    <w:rsid w:val="0022383D"/>
    <w:rsid w:val="00223B99"/>
    <w:rsid w:val="00223DBF"/>
    <w:rsid w:val="0022435D"/>
    <w:rsid w:val="0022442C"/>
    <w:rsid w:val="002245B1"/>
    <w:rsid w:val="00224A1D"/>
    <w:rsid w:val="00225340"/>
    <w:rsid w:val="00226433"/>
    <w:rsid w:val="002269FF"/>
    <w:rsid w:val="002274F2"/>
    <w:rsid w:val="00227BE4"/>
    <w:rsid w:val="002303B3"/>
    <w:rsid w:val="00230D0C"/>
    <w:rsid w:val="00230EA4"/>
    <w:rsid w:val="002326BE"/>
    <w:rsid w:val="0023316C"/>
    <w:rsid w:val="002333EF"/>
    <w:rsid w:val="00233C0A"/>
    <w:rsid w:val="00233EA8"/>
    <w:rsid w:val="00233EE9"/>
    <w:rsid w:val="00235237"/>
    <w:rsid w:val="00235CCD"/>
    <w:rsid w:val="0023602F"/>
    <w:rsid w:val="00236048"/>
    <w:rsid w:val="002362ED"/>
    <w:rsid w:val="00237036"/>
    <w:rsid w:val="002372AC"/>
    <w:rsid w:val="00237A33"/>
    <w:rsid w:val="00240B0F"/>
    <w:rsid w:val="00240E54"/>
    <w:rsid w:val="00241314"/>
    <w:rsid w:val="00241B92"/>
    <w:rsid w:val="00241BD9"/>
    <w:rsid w:val="00242B67"/>
    <w:rsid w:val="00243381"/>
    <w:rsid w:val="00243EFD"/>
    <w:rsid w:val="002442A5"/>
    <w:rsid w:val="00244AF3"/>
    <w:rsid w:val="00244EFB"/>
    <w:rsid w:val="00245008"/>
    <w:rsid w:val="002451ED"/>
    <w:rsid w:val="0024561B"/>
    <w:rsid w:val="002458E4"/>
    <w:rsid w:val="00245DD8"/>
    <w:rsid w:val="002506EE"/>
    <w:rsid w:val="00250E89"/>
    <w:rsid w:val="00252912"/>
    <w:rsid w:val="00252D49"/>
    <w:rsid w:val="00253C51"/>
    <w:rsid w:val="002548D3"/>
    <w:rsid w:val="0025568B"/>
    <w:rsid w:val="002561B7"/>
    <w:rsid w:val="00257054"/>
    <w:rsid w:val="00257131"/>
    <w:rsid w:val="002572D1"/>
    <w:rsid w:val="0025733E"/>
    <w:rsid w:val="00257F6B"/>
    <w:rsid w:val="002600E9"/>
    <w:rsid w:val="00260DC9"/>
    <w:rsid w:val="00261B4C"/>
    <w:rsid w:val="00261C50"/>
    <w:rsid w:val="00261DE4"/>
    <w:rsid w:val="00261E06"/>
    <w:rsid w:val="0026249A"/>
    <w:rsid w:val="002625B4"/>
    <w:rsid w:val="00263090"/>
    <w:rsid w:val="0026452A"/>
    <w:rsid w:val="00264D98"/>
    <w:rsid w:val="00265054"/>
    <w:rsid w:val="0026523F"/>
    <w:rsid w:val="002659F4"/>
    <w:rsid w:val="0026696D"/>
    <w:rsid w:val="00266A00"/>
    <w:rsid w:val="00266BE6"/>
    <w:rsid w:val="00267127"/>
    <w:rsid w:val="00267325"/>
    <w:rsid w:val="00267935"/>
    <w:rsid w:val="002703AB"/>
    <w:rsid w:val="00270B8F"/>
    <w:rsid w:val="00271B39"/>
    <w:rsid w:val="00271CD9"/>
    <w:rsid w:val="0027313B"/>
    <w:rsid w:val="002731CD"/>
    <w:rsid w:val="00273CF6"/>
    <w:rsid w:val="00273F3E"/>
    <w:rsid w:val="00274F13"/>
    <w:rsid w:val="002752E7"/>
    <w:rsid w:val="00275567"/>
    <w:rsid w:val="00275D52"/>
    <w:rsid w:val="00276536"/>
    <w:rsid w:val="00276BC6"/>
    <w:rsid w:val="0027723E"/>
    <w:rsid w:val="002772D9"/>
    <w:rsid w:val="002772EA"/>
    <w:rsid w:val="00277FDA"/>
    <w:rsid w:val="0028026F"/>
    <w:rsid w:val="0028028C"/>
    <w:rsid w:val="00280915"/>
    <w:rsid w:val="00280BAD"/>
    <w:rsid w:val="002812B8"/>
    <w:rsid w:val="002814FA"/>
    <w:rsid w:val="00281922"/>
    <w:rsid w:val="00281DA0"/>
    <w:rsid w:val="0028242D"/>
    <w:rsid w:val="00282D45"/>
    <w:rsid w:val="00283253"/>
    <w:rsid w:val="002836C6"/>
    <w:rsid w:val="0028615B"/>
    <w:rsid w:val="00286DFC"/>
    <w:rsid w:val="00287102"/>
    <w:rsid w:val="00290002"/>
    <w:rsid w:val="0029069C"/>
    <w:rsid w:val="002913B8"/>
    <w:rsid w:val="0029244F"/>
    <w:rsid w:val="00293B82"/>
    <w:rsid w:val="00293DA4"/>
    <w:rsid w:val="002965D8"/>
    <w:rsid w:val="002A0381"/>
    <w:rsid w:val="002A0425"/>
    <w:rsid w:val="002A0651"/>
    <w:rsid w:val="002A06BD"/>
    <w:rsid w:val="002A11FB"/>
    <w:rsid w:val="002A120C"/>
    <w:rsid w:val="002A1996"/>
    <w:rsid w:val="002A1F00"/>
    <w:rsid w:val="002A1F34"/>
    <w:rsid w:val="002A2185"/>
    <w:rsid w:val="002A21D9"/>
    <w:rsid w:val="002A334F"/>
    <w:rsid w:val="002A3F84"/>
    <w:rsid w:val="002A41C2"/>
    <w:rsid w:val="002A4C00"/>
    <w:rsid w:val="002A52CC"/>
    <w:rsid w:val="002A55AD"/>
    <w:rsid w:val="002A588A"/>
    <w:rsid w:val="002A58FF"/>
    <w:rsid w:val="002A5C6C"/>
    <w:rsid w:val="002A5FBD"/>
    <w:rsid w:val="002A6046"/>
    <w:rsid w:val="002A632B"/>
    <w:rsid w:val="002A6542"/>
    <w:rsid w:val="002A6C04"/>
    <w:rsid w:val="002A6E4D"/>
    <w:rsid w:val="002A7153"/>
    <w:rsid w:val="002A728A"/>
    <w:rsid w:val="002A7310"/>
    <w:rsid w:val="002A73C5"/>
    <w:rsid w:val="002A7D4F"/>
    <w:rsid w:val="002B011D"/>
    <w:rsid w:val="002B021E"/>
    <w:rsid w:val="002B0899"/>
    <w:rsid w:val="002B08F6"/>
    <w:rsid w:val="002B2CF6"/>
    <w:rsid w:val="002B2E09"/>
    <w:rsid w:val="002B366D"/>
    <w:rsid w:val="002B3C7C"/>
    <w:rsid w:val="002B4B5E"/>
    <w:rsid w:val="002B4F70"/>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5AB"/>
    <w:rsid w:val="002C588A"/>
    <w:rsid w:val="002C5B4B"/>
    <w:rsid w:val="002C5EEF"/>
    <w:rsid w:val="002C6527"/>
    <w:rsid w:val="002D13DF"/>
    <w:rsid w:val="002D3B6B"/>
    <w:rsid w:val="002D41A4"/>
    <w:rsid w:val="002D603D"/>
    <w:rsid w:val="002D6332"/>
    <w:rsid w:val="002D7FC5"/>
    <w:rsid w:val="002E00AD"/>
    <w:rsid w:val="002E032F"/>
    <w:rsid w:val="002E075F"/>
    <w:rsid w:val="002E08C1"/>
    <w:rsid w:val="002E0B56"/>
    <w:rsid w:val="002E0B5D"/>
    <w:rsid w:val="002E0B99"/>
    <w:rsid w:val="002E1650"/>
    <w:rsid w:val="002E1DA6"/>
    <w:rsid w:val="002E214F"/>
    <w:rsid w:val="002E24BD"/>
    <w:rsid w:val="002E27B9"/>
    <w:rsid w:val="002E3C98"/>
    <w:rsid w:val="002E4681"/>
    <w:rsid w:val="002E4D51"/>
    <w:rsid w:val="002E554F"/>
    <w:rsid w:val="002E57C9"/>
    <w:rsid w:val="002E6371"/>
    <w:rsid w:val="002E6A58"/>
    <w:rsid w:val="002E6D98"/>
    <w:rsid w:val="002E7881"/>
    <w:rsid w:val="002E7975"/>
    <w:rsid w:val="002E7A31"/>
    <w:rsid w:val="002F01F2"/>
    <w:rsid w:val="002F0F57"/>
    <w:rsid w:val="002F11D5"/>
    <w:rsid w:val="002F2B63"/>
    <w:rsid w:val="002F3765"/>
    <w:rsid w:val="002F44A0"/>
    <w:rsid w:val="002F4F44"/>
    <w:rsid w:val="002F50DA"/>
    <w:rsid w:val="002F56B1"/>
    <w:rsid w:val="002F584B"/>
    <w:rsid w:val="002F5EEE"/>
    <w:rsid w:val="002F5FC3"/>
    <w:rsid w:val="002F6EF2"/>
    <w:rsid w:val="002F79E2"/>
    <w:rsid w:val="002F7D39"/>
    <w:rsid w:val="002F7E4F"/>
    <w:rsid w:val="002F7E8D"/>
    <w:rsid w:val="003022E5"/>
    <w:rsid w:val="00302461"/>
    <w:rsid w:val="00302899"/>
    <w:rsid w:val="00302A04"/>
    <w:rsid w:val="003033D9"/>
    <w:rsid w:val="00303F98"/>
    <w:rsid w:val="00304338"/>
    <w:rsid w:val="003044F5"/>
    <w:rsid w:val="003051C9"/>
    <w:rsid w:val="00305C1F"/>
    <w:rsid w:val="00305D1D"/>
    <w:rsid w:val="00306B5E"/>
    <w:rsid w:val="0030700E"/>
    <w:rsid w:val="00307766"/>
    <w:rsid w:val="00307A2D"/>
    <w:rsid w:val="003100B2"/>
    <w:rsid w:val="00310D4B"/>
    <w:rsid w:val="00311161"/>
    <w:rsid w:val="003122A3"/>
    <w:rsid w:val="003130EA"/>
    <w:rsid w:val="003132C3"/>
    <w:rsid w:val="003137E8"/>
    <w:rsid w:val="00313A3B"/>
    <w:rsid w:val="00313BCE"/>
    <w:rsid w:val="00313E20"/>
    <w:rsid w:val="00314F5B"/>
    <w:rsid w:val="00314FA5"/>
    <w:rsid w:val="00315243"/>
    <w:rsid w:val="00315A94"/>
    <w:rsid w:val="003164FD"/>
    <w:rsid w:val="00316926"/>
    <w:rsid w:val="00317240"/>
    <w:rsid w:val="0031737C"/>
    <w:rsid w:val="00320073"/>
    <w:rsid w:val="003201A8"/>
    <w:rsid w:val="003203BF"/>
    <w:rsid w:val="00320626"/>
    <w:rsid w:val="00320DE9"/>
    <w:rsid w:val="003214C3"/>
    <w:rsid w:val="003214D6"/>
    <w:rsid w:val="003219DD"/>
    <w:rsid w:val="00321CC1"/>
    <w:rsid w:val="0032244E"/>
    <w:rsid w:val="003226A5"/>
    <w:rsid w:val="00323373"/>
    <w:rsid w:val="003242E5"/>
    <w:rsid w:val="00324DD8"/>
    <w:rsid w:val="00324F38"/>
    <w:rsid w:val="003256E0"/>
    <w:rsid w:val="00325E6C"/>
    <w:rsid w:val="00327114"/>
    <w:rsid w:val="003278F8"/>
    <w:rsid w:val="00327B3E"/>
    <w:rsid w:val="00327D2C"/>
    <w:rsid w:val="00327EA3"/>
    <w:rsid w:val="00330181"/>
    <w:rsid w:val="003308E0"/>
    <w:rsid w:val="00332227"/>
    <w:rsid w:val="00332486"/>
    <w:rsid w:val="0033321A"/>
    <w:rsid w:val="00333676"/>
    <w:rsid w:val="003336FD"/>
    <w:rsid w:val="00333A02"/>
    <w:rsid w:val="00333A55"/>
    <w:rsid w:val="00333D3B"/>
    <w:rsid w:val="00333E4C"/>
    <w:rsid w:val="00334224"/>
    <w:rsid w:val="0033425B"/>
    <w:rsid w:val="003342F6"/>
    <w:rsid w:val="00334680"/>
    <w:rsid w:val="00334DBC"/>
    <w:rsid w:val="003350A3"/>
    <w:rsid w:val="0033586C"/>
    <w:rsid w:val="00335EFB"/>
    <w:rsid w:val="003364EB"/>
    <w:rsid w:val="003374CB"/>
    <w:rsid w:val="00337D7C"/>
    <w:rsid w:val="00340405"/>
    <w:rsid w:val="00340445"/>
    <w:rsid w:val="00342098"/>
    <w:rsid w:val="00342BAE"/>
    <w:rsid w:val="003431F0"/>
    <w:rsid w:val="00344388"/>
    <w:rsid w:val="00345387"/>
    <w:rsid w:val="00345AD6"/>
    <w:rsid w:val="00345E2A"/>
    <w:rsid w:val="00345F25"/>
    <w:rsid w:val="00346772"/>
    <w:rsid w:val="00346E05"/>
    <w:rsid w:val="00350C97"/>
    <w:rsid w:val="00351F42"/>
    <w:rsid w:val="00352BC1"/>
    <w:rsid w:val="003536EE"/>
    <w:rsid w:val="00353939"/>
    <w:rsid w:val="00354E1D"/>
    <w:rsid w:val="00354FA4"/>
    <w:rsid w:val="00355855"/>
    <w:rsid w:val="003571E8"/>
    <w:rsid w:val="00357CBA"/>
    <w:rsid w:val="003602AF"/>
    <w:rsid w:val="003619E8"/>
    <w:rsid w:val="00361FC9"/>
    <w:rsid w:val="00363CCB"/>
    <w:rsid w:val="003640EA"/>
    <w:rsid w:val="003642A2"/>
    <w:rsid w:val="003646C5"/>
    <w:rsid w:val="00365006"/>
    <w:rsid w:val="00365258"/>
    <w:rsid w:val="00365ABF"/>
    <w:rsid w:val="00366FA8"/>
    <w:rsid w:val="0037017C"/>
    <w:rsid w:val="003703D0"/>
    <w:rsid w:val="003706B3"/>
    <w:rsid w:val="003709F9"/>
    <w:rsid w:val="00372522"/>
    <w:rsid w:val="003728C9"/>
    <w:rsid w:val="00373353"/>
    <w:rsid w:val="00373923"/>
    <w:rsid w:val="003744B5"/>
    <w:rsid w:val="003745F2"/>
    <w:rsid w:val="00374BA5"/>
    <w:rsid w:val="003750DD"/>
    <w:rsid w:val="003756AA"/>
    <w:rsid w:val="00376309"/>
    <w:rsid w:val="003773D2"/>
    <w:rsid w:val="00377B2A"/>
    <w:rsid w:val="00377D0B"/>
    <w:rsid w:val="003805AC"/>
    <w:rsid w:val="00380AE6"/>
    <w:rsid w:val="00381308"/>
    <w:rsid w:val="00381408"/>
    <w:rsid w:val="003814E4"/>
    <w:rsid w:val="00381578"/>
    <w:rsid w:val="003824ED"/>
    <w:rsid w:val="00382561"/>
    <w:rsid w:val="00382B9E"/>
    <w:rsid w:val="00382C17"/>
    <w:rsid w:val="0038318E"/>
    <w:rsid w:val="00383BA5"/>
    <w:rsid w:val="003843EC"/>
    <w:rsid w:val="00384585"/>
    <w:rsid w:val="003847A5"/>
    <w:rsid w:val="00385229"/>
    <w:rsid w:val="003853E7"/>
    <w:rsid w:val="00387884"/>
    <w:rsid w:val="00387F66"/>
    <w:rsid w:val="0039022F"/>
    <w:rsid w:val="0039048F"/>
    <w:rsid w:val="003909DB"/>
    <w:rsid w:val="00391591"/>
    <w:rsid w:val="00392CF1"/>
    <w:rsid w:val="00393028"/>
    <w:rsid w:val="0039313E"/>
    <w:rsid w:val="003934F9"/>
    <w:rsid w:val="00393CB5"/>
    <w:rsid w:val="00394848"/>
    <w:rsid w:val="00394A73"/>
    <w:rsid w:val="00394BD9"/>
    <w:rsid w:val="00394CBF"/>
    <w:rsid w:val="00394D1B"/>
    <w:rsid w:val="00394EA1"/>
    <w:rsid w:val="00395AE1"/>
    <w:rsid w:val="003960EC"/>
    <w:rsid w:val="0039729C"/>
    <w:rsid w:val="00397BFA"/>
    <w:rsid w:val="003A03CE"/>
    <w:rsid w:val="003A0BE4"/>
    <w:rsid w:val="003A1771"/>
    <w:rsid w:val="003A1BD8"/>
    <w:rsid w:val="003A1CDA"/>
    <w:rsid w:val="003A1D06"/>
    <w:rsid w:val="003A1F30"/>
    <w:rsid w:val="003A236B"/>
    <w:rsid w:val="003A268D"/>
    <w:rsid w:val="003A2908"/>
    <w:rsid w:val="003A394A"/>
    <w:rsid w:val="003A3C39"/>
    <w:rsid w:val="003A3CAC"/>
    <w:rsid w:val="003A3EFB"/>
    <w:rsid w:val="003A407A"/>
    <w:rsid w:val="003A44F3"/>
    <w:rsid w:val="003A574F"/>
    <w:rsid w:val="003A58D0"/>
    <w:rsid w:val="003A6FDB"/>
    <w:rsid w:val="003B01FA"/>
    <w:rsid w:val="003B0A1B"/>
    <w:rsid w:val="003B1B85"/>
    <w:rsid w:val="003B23AD"/>
    <w:rsid w:val="003B246D"/>
    <w:rsid w:val="003B2926"/>
    <w:rsid w:val="003B3713"/>
    <w:rsid w:val="003B3AA5"/>
    <w:rsid w:val="003B445F"/>
    <w:rsid w:val="003B495A"/>
    <w:rsid w:val="003B4982"/>
    <w:rsid w:val="003B4B46"/>
    <w:rsid w:val="003B5C4E"/>
    <w:rsid w:val="003B65AB"/>
    <w:rsid w:val="003B6CFD"/>
    <w:rsid w:val="003B7115"/>
    <w:rsid w:val="003B77CE"/>
    <w:rsid w:val="003B7B4E"/>
    <w:rsid w:val="003C0BD9"/>
    <w:rsid w:val="003C0DD9"/>
    <w:rsid w:val="003C1E4A"/>
    <w:rsid w:val="003C1F0B"/>
    <w:rsid w:val="003C2E11"/>
    <w:rsid w:val="003C3323"/>
    <w:rsid w:val="003C3359"/>
    <w:rsid w:val="003C3E94"/>
    <w:rsid w:val="003C44A5"/>
    <w:rsid w:val="003C4544"/>
    <w:rsid w:val="003C488F"/>
    <w:rsid w:val="003C4DA4"/>
    <w:rsid w:val="003C4E2E"/>
    <w:rsid w:val="003C5286"/>
    <w:rsid w:val="003C5B59"/>
    <w:rsid w:val="003C63D8"/>
    <w:rsid w:val="003C6619"/>
    <w:rsid w:val="003D06D4"/>
    <w:rsid w:val="003D16D0"/>
    <w:rsid w:val="003D27FB"/>
    <w:rsid w:val="003D3FDB"/>
    <w:rsid w:val="003D482D"/>
    <w:rsid w:val="003D53DC"/>
    <w:rsid w:val="003D589A"/>
    <w:rsid w:val="003D5A2F"/>
    <w:rsid w:val="003D647B"/>
    <w:rsid w:val="003D6826"/>
    <w:rsid w:val="003D6E2F"/>
    <w:rsid w:val="003D7964"/>
    <w:rsid w:val="003D7BA8"/>
    <w:rsid w:val="003D7DF8"/>
    <w:rsid w:val="003E0E08"/>
    <w:rsid w:val="003E1C2F"/>
    <w:rsid w:val="003E1EDB"/>
    <w:rsid w:val="003E2286"/>
    <w:rsid w:val="003E27AC"/>
    <w:rsid w:val="003E2AFF"/>
    <w:rsid w:val="003E2D32"/>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CC4"/>
    <w:rsid w:val="003F179E"/>
    <w:rsid w:val="003F1823"/>
    <w:rsid w:val="003F1DDF"/>
    <w:rsid w:val="003F1F28"/>
    <w:rsid w:val="003F253B"/>
    <w:rsid w:val="003F3ED0"/>
    <w:rsid w:val="003F447B"/>
    <w:rsid w:val="003F4F4B"/>
    <w:rsid w:val="003F50A1"/>
    <w:rsid w:val="003F5132"/>
    <w:rsid w:val="003F65B3"/>
    <w:rsid w:val="003F6B1B"/>
    <w:rsid w:val="003F6BA8"/>
    <w:rsid w:val="003F7D12"/>
    <w:rsid w:val="003F7F24"/>
    <w:rsid w:val="00400133"/>
    <w:rsid w:val="004004F2"/>
    <w:rsid w:val="004009A7"/>
    <w:rsid w:val="00400A0B"/>
    <w:rsid w:val="00400A9F"/>
    <w:rsid w:val="00400D1B"/>
    <w:rsid w:val="004015AD"/>
    <w:rsid w:val="00401E65"/>
    <w:rsid w:val="00402593"/>
    <w:rsid w:val="004025F3"/>
    <w:rsid w:val="00402AB6"/>
    <w:rsid w:val="00402FEE"/>
    <w:rsid w:val="004030E9"/>
    <w:rsid w:val="00403343"/>
    <w:rsid w:val="004035B9"/>
    <w:rsid w:val="00403DA9"/>
    <w:rsid w:val="00404F25"/>
    <w:rsid w:val="00405A2A"/>
    <w:rsid w:val="00405AF2"/>
    <w:rsid w:val="00405C91"/>
    <w:rsid w:val="00405E73"/>
    <w:rsid w:val="004061A4"/>
    <w:rsid w:val="004061E0"/>
    <w:rsid w:val="0040632D"/>
    <w:rsid w:val="004077BD"/>
    <w:rsid w:val="00407B04"/>
    <w:rsid w:val="00407BC7"/>
    <w:rsid w:val="00407C5E"/>
    <w:rsid w:val="00410BE7"/>
    <w:rsid w:val="00410D26"/>
    <w:rsid w:val="0041105B"/>
    <w:rsid w:val="004124E8"/>
    <w:rsid w:val="00413625"/>
    <w:rsid w:val="00413661"/>
    <w:rsid w:val="00413BFD"/>
    <w:rsid w:val="004146C1"/>
    <w:rsid w:val="00414A4F"/>
    <w:rsid w:val="00415756"/>
    <w:rsid w:val="00415B9C"/>
    <w:rsid w:val="00415FC6"/>
    <w:rsid w:val="0041688D"/>
    <w:rsid w:val="004168DB"/>
    <w:rsid w:val="00416907"/>
    <w:rsid w:val="00416A9F"/>
    <w:rsid w:val="004170BB"/>
    <w:rsid w:val="00417D63"/>
    <w:rsid w:val="004201B7"/>
    <w:rsid w:val="00421FC0"/>
    <w:rsid w:val="00422A18"/>
    <w:rsid w:val="00422B01"/>
    <w:rsid w:val="00423668"/>
    <w:rsid w:val="00423C36"/>
    <w:rsid w:val="004242E7"/>
    <w:rsid w:val="00424697"/>
    <w:rsid w:val="00424B8A"/>
    <w:rsid w:val="00424DD1"/>
    <w:rsid w:val="00425A62"/>
    <w:rsid w:val="00426433"/>
    <w:rsid w:val="004274CF"/>
    <w:rsid w:val="00427BF1"/>
    <w:rsid w:val="00430051"/>
    <w:rsid w:val="004304D3"/>
    <w:rsid w:val="00430640"/>
    <w:rsid w:val="00430E30"/>
    <w:rsid w:val="00432AF7"/>
    <w:rsid w:val="004342A5"/>
    <w:rsid w:val="0043621F"/>
    <w:rsid w:val="00436AF4"/>
    <w:rsid w:val="00436D58"/>
    <w:rsid w:val="00437066"/>
    <w:rsid w:val="00437998"/>
    <w:rsid w:val="004379D3"/>
    <w:rsid w:val="004406D0"/>
    <w:rsid w:val="004407FB"/>
    <w:rsid w:val="00441233"/>
    <w:rsid w:val="0044149E"/>
    <w:rsid w:val="00441512"/>
    <w:rsid w:val="00441873"/>
    <w:rsid w:val="00441F5D"/>
    <w:rsid w:val="00442241"/>
    <w:rsid w:val="004424D0"/>
    <w:rsid w:val="00442D09"/>
    <w:rsid w:val="004434AB"/>
    <w:rsid w:val="00443DFB"/>
    <w:rsid w:val="0044427D"/>
    <w:rsid w:val="0044493B"/>
    <w:rsid w:val="00444C0A"/>
    <w:rsid w:val="00444CD2"/>
    <w:rsid w:val="0044510F"/>
    <w:rsid w:val="00445E9A"/>
    <w:rsid w:val="00446573"/>
    <w:rsid w:val="0044696A"/>
    <w:rsid w:val="004469FF"/>
    <w:rsid w:val="0045026B"/>
    <w:rsid w:val="004503FD"/>
    <w:rsid w:val="00450BA1"/>
    <w:rsid w:val="00450E38"/>
    <w:rsid w:val="0045124F"/>
    <w:rsid w:val="004515EC"/>
    <w:rsid w:val="0045181C"/>
    <w:rsid w:val="00451AE9"/>
    <w:rsid w:val="00451DFC"/>
    <w:rsid w:val="00453895"/>
    <w:rsid w:val="004540FE"/>
    <w:rsid w:val="00454176"/>
    <w:rsid w:val="004548A5"/>
    <w:rsid w:val="00454B0F"/>
    <w:rsid w:val="004553EB"/>
    <w:rsid w:val="00455D28"/>
    <w:rsid w:val="00455D9A"/>
    <w:rsid w:val="004562BC"/>
    <w:rsid w:val="004562F1"/>
    <w:rsid w:val="004567EA"/>
    <w:rsid w:val="00456A9B"/>
    <w:rsid w:val="0045708B"/>
    <w:rsid w:val="00460233"/>
    <w:rsid w:val="004619CC"/>
    <w:rsid w:val="00461A62"/>
    <w:rsid w:val="00461E36"/>
    <w:rsid w:val="0046392A"/>
    <w:rsid w:val="0046451D"/>
    <w:rsid w:val="00464A3F"/>
    <w:rsid w:val="00464A7E"/>
    <w:rsid w:val="004652F8"/>
    <w:rsid w:val="00465B3E"/>
    <w:rsid w:val="00465C0D"/>
    <w:rsid w:val="00465DED"/>
    <w:rsid w:val="004662D1"/>
    <w:rsid w:val="00466945"/>
    <w:rsid w:val="00466ED5"/>
    <w:rsid w:val="00467388"/>
    <w:rsid w:val="00470261"/>
    <w:rsid w:val="00470367"/>
    <w:rsid w:val="004705C5"/>
    <w:rsid w:val="00470934"/>
    <w:rsid w:val="00470AE5"/>
    <w:rsid w:val="0047124D"/>
    <w:rsid w:val="00471CC8"/>
    <w:rsid w:val="00471F5C"/>
    <w:rsid w:val="00473546"/>
    <w:rsid w:val="0047365F"/>
    <w:rsid w:val="00474CD6"/>
    <w:rsid w:val="004751E7"/>
    <w:rsid w:val="0047562B"/>
    <w:rsid w:val="00475D1D"/>
    <w:rsid w:val="00477276"/>
    <w:rsid w:val="004776B9"/>
    <w:rsid w:val="00477C17"/>
    <w:rsid w:val="004813C6"/>
    <w:rsid w:val="004818F7"/>
    <w:rsid w:val="00481B7C"/>
    <w:rsid w:val="00482DF6"/>
    <w:rsid w:val="0048578C"/>
    <w:rsid w:val="00485872"/>
    <w:rsid w:val="00485EA4"/>
    <w:rsid w:val="004868AB"/>
    <w:rsid w:val="00486C08"/>
    <w:rsid w:val="0048757E"/>
    <w:rsid w:val="00487C54"/>
    <w:rsid w:val="00487F2E"/>
    <w:rsid w:val="00490561"/>
    <w:rsid w:val="0049059F"/>
    <w:rsid w:val="00492CA8"/>
    <w:rsid w:val="00493018"/>
    <w:rsid w:val="004932D3"/>
    <w:rsid w:val="00493783"/>
    <w:rsid w:val="00493EFE"/>
    <w:rsid w:val="004940C3"/>
    <w:rsid w:val="004945B1"/>
    <w:rsid w:val="00494C12"/>
    <w:rsid w:val="0049523D"/>
    <w:rsid w:val="00495625"/>
    <w:rsid w:val="00496420"/>
    <w:rsid w:val="00496B30"/>
    <w:rsid w:val="00496C58"/>
    <w:rsid w:val="004975A9"/>
    <w:rsid w:val="004977A8"/>
    <w:rsid w:val="00497E2B"/>
    <w:rsid w:val="004A002C"/>
    <w:rsid w:val="004A0AD0"/>
    <w:rsid w:val="004A0F14"/>
    <w:rsid w:val="004A1565"/>
    <w:rsid w:val="004A1D55"/>
    <w:rsid w:val="004A262B"/>
    <w:rsid w:val="004A2B58"/>
    <w:rsid w:val="004A2E82"/>
    <w:rsid w:val="004A3080"/>
    <w:rsid w:val="004A33CF"/>
    <w:rsid w:val="004A3D79"/>
    <w:rsid w:val="004A4862"/>
    <w:rsid w:val="004A4E10"/>
    <w:rsid w:val="004A565E"/>
    <w:rsid w:val="004A59A4"/>
    <w:rsid w:val="004A6E06"/>
    <w:rsid w:val="004A73C9"/>
    <w:rsid w:val="004A7475"/>
    <w:rsid w:val="004A7F95"/>
    <w:rsid w:val="004B261D"/>
    <w:rsid w:val="004B35DD"/>
    <w:rsid w:val="004B6062"/>
    <w:rsid w:val="004B7F2B"/>
    <w:rsid w:val="004C067A"/>
    <w:rsid w:val="004C1447"/>
    <w:rsid w:val="004C262D"/>
    <w:rsid w:val="004C2758"/>
    <w:rsid w:val="004C3CB6"/>
    <w:rsid w:val="004C57D7"/>
    <w:rsid w:val="004C586A"/>
    <w:rsid w:val="004C6477"/>
    <w:rsid w:val="004C6F5B"/>
    <w:rsid w:val="004C7132"/>
    <w:rsid w:val="004C725E"/>
    <w:rsid w:val="004C73AB"/>
    <w:rsid w:val="004C77BC"/>
    <w:rsid w:val="004D032D"/>
    <w:rsid w:val="004D03B3"/>
    <w:rsid w:val="004D05E3"/>
    <w:rsid w:val="004D0729"/>
    <w:rsid w:val="004D07D8"/>
    <w:rsid w:val="004D10AE"/>
    <w:rsid w:val="004D176E"/>
    <w:rsid w:val="004D1F1A"/>
    <w:rsid w:val="004D241E"/>
    <w:rsid w:val="004D36B7"/>
    <w:rsid w:val="004D411E"/>
    <w:rsid w:val="004D591C"/>
    <w:rsid w:val="004D5B92"/>
    <w:rsid w:val="004D5ED0"/>
    <w:rsid w:val="004D6A22"/>
    <w:rsid w:val="004D6CA1"/>
    <w:rsid w:val="004D6F8E"/>
    <w:rsid w:val="004D7070"/>
    <w:rsid w:val="004D7151"/>
    <w:rsid w:val="004D7D6F"/>
    <w:rsid w:val="004D7DAB"/>
    <w:rsid w:val="004E019A"/>
    <w:rsid w:val="004E05BE"/>
    <w:rsid w:val="004E0BF6"/>
    <w:rsid w:val="004E0D9C"/>
    <w:rsid w:val="004E10C4"/>
    <w:rsid w:val="004E1BC0"/>
    <w:rsid w:val="004E2860"/>
    <w:rsid w:val="004E345A"/>
    <w:rsid w:val="004E3F06"/>
    <w:rsid w:val="004E4394"/>
    <w:rsid w:val="004E52D5"/>
    <w:rsid w:val="004E59C7"/>
    <w:rsid w:val="004E5C61"/>
    <w:rsid w:val="004E67CC"/>
    <w:rsid w:val="004E6BED"/>
    <w:rsid w:val="004F0090"/>
    <w:rsid w:val="004F0094"/>
    <w:rsid w:val="004F091C"/>
    <w:rsid w:val="004F10DF"/>
    <w:rsid w:val="004F1279"/>
    <w:rsid w:val="004F1DD7"/>
    <w:rsid w:val="004F266B"/>
    <w:rsid w:val="004F2CF9"/>
    <w:rsid w:val="004F3163"/>
    <w:rsid w:val="004F3E76"/>
    <w:rsid w:val="004F4097"/>
    <w:rsid w:val="004F4B8F"/>
    <w:rsid w:val="004F5901"/>
    <w:rsid w:val="004F59D0"/>
    <w:rsid w:val="004F5B1F"/>
    <w:rsid w:val="004F644E"/>
    <w:rsid w:val="004F76DE"/>
    <w:rsid w:val="004F797F"/>
    <w:rsid w:val="004F7E38"/>
    <w:rsid w:val="0050043A"/>
    <w:rsid w:val="00500875"/>
    <w:rsid w:val="005011A8"/>
    <w:rsid w:val="0050193A"/>
    <w:rsid w:val="00501956"/>
    <w:rsid w:val="00501E03"/>
    <w:rsid w:val="00501E5A"/>
    <w:rsid w:val="00501EB7"/>
    <w:rsid w:val="00502668"/>
    <w:rsid w:val="0050276C"/>
    <w:rsid w:val="005027F7"/>
    <w:rsid w:val="0050367F"/>
    <w:rsid w:val="00503E1C"/>
    <w:rsid w:val="00503FE5"/>
    <w:rsid w:val="00504068"/>
    <w:rsid w:val="00504889"/>
    <w:rsid w:val="005049EE"/>
    <w:rsid w:val="00504F17"/>
    <w:rsid w:val="00505297"/>
    <w:rsid w:val="0050563F"/>
    <w:rsid w:val="0050650A"/>
    <w:rsid w:val="00507045"/>
    <w:rsid w:val="00507643"/>
    <w:rsid w:val="00507FA4"/>
    <w:rsid w:val="005100BF"/>
    <w:rsid w:val="00510424"/>
    <w:rsid w:val="00510D49"/>
    <w:rsid w:val="0051105A"/>
    <w:rsid w:val="0051110D"/>
    <w:rsid w:val="00511D21"/>
    <w:rsid w:val="005120FE"/>
    <w:rsid w:val="00512690"/>
    <w:rsid w:val="00512B7A"/>
    <w:rsid w:val="00512CCA"/>
    <w:rsid w:val="00512EFD"/>
    <w:rsid w:val="005134DC"/>
    <w:rsid w:val="0051352C"/>
    <w:rsid w:val="00513896"/>
    <w:rsid w:val="00513998"/>
    <w:rsid w:val="0051453F"/>
    <w:rsid w:val="00514823"/>
    <w:rsid w:val="00514E08"/>
    <w:rsid w:val="00515523"/>
    <w:rsid w:val="00516294"/>
    <w:rsid w:val="00516640"/>
    <w:rsid w:val="00516987"/>
    <w:rsid w:val="00517097"/>
    <w:rsid w:val="00517439"/>
    <w:rsid w:val="005174ED"/>
    <w:rsid w:val="00517982"/>
    <w:rsid w:val="00517F8B"/>
    <w:rsid w:val="005202AA"/>
    <w:rsid w:val="00520894"/>
    <w:rsid w:val="00520A35"/>
    <w:rsid w:val="00521376"/>
    <w:rsid w:val="0052173E"/>
    <w:rsid w:val="00521B62"/>
    <w:rsid w:val="00521FE3"/>
    <w:rsid w:val="00522FA1"/>
    <w:rsid w:val="00523995"/>
    <w:rsid w:val="00523B53"/>
    <w:rsid w:val="00523BBD"/>
    <w:rsid w:val="0052405C"/>
    <w:rsid w:val="005241B2"/>
    <w:rsid w:val="00524351"/>
    <w:rsid w:val="00524414"/>
    <w:rsid w:val="005244D3"/>
    <w:rsid w:val="00524818"/>
    <w:rsid w:val="00524D1C"/>
    <w:rsid w:val="00524D26"/>
    <w:rsid w:val="00525027"/>
    <w:rsid w:val="005265E5"/>
    <w:rsid w:val="005266E1"/>
    <w:rsid w:val="00527307"/>
    <w:rsid w:val="00527637"/>
    <w:rsid w:val="00527E4A"/>
    <w:rsid w:val="00530122"/>
    <w:rsid w:val="00530202"/>
    <w:rsid w:val="00530617"/>
    <w:rsid w:val="00530B1B"/>
    <w:rsid w:val="005313D4"/>
    <w:rsid w:val="005316D5"/>
    <w:rsid w:val="00531C5E"/>
    <w:rsid w:val="00532A52"/>
    <w:rsid w:val="00532FBE"/>
    <w:rsid w:val="005352B6"/>
    <w:rsid w:val="00535772"/>
    <w:rsid w:val="005360B6"/>
    <w:rsid w:val="00536139"/>
    <w:rsid w:val="0053616B"/>
    <w:rsid w:val="00536AB7"/>
    <w:rsid w:val="0053785A"/>
    <w:rsid w:val="00540796"/>
    <w:rsid w:val="005408EA"/>
    <w:rsid w:val="00540B90"/>
    <w:rsid w:val="00541618"/>
    <w:rsid w:val="005418F9"/>
    <w:rsid w:val="00541F2C"/>
    <w:rsid w:val="005422F4"/>
    <w:rsid w:val="005426BA"/>
    <w:rsid w:val="0054330F"/>
    <w:rsid w:val="00543654"/>
    <w:rsid w:val="005438BB"/>
    <w:rsid w:val="005439CF"/>
    <w:rsid w:val="00543AB5"/>
    <w:rsid w:val="005448D4"/>
    <w:rsid w:val="005459D3"/>
    <w:rsid w:val="00545B7C"/>
    <w:rsid w:val="00545D4C"/>
    <w:rsid w:val="00545FC1"/>
    <w:rsid w:val="00546C0C"/>
    <w:rsid w:val="00547260"/>
    <w:rsid w:val="00547A02"/>
    <w:rsid w:val="00547A8E"/>
    <w:rsid w:val="00547D3F"/>
    <w:rsid w:val="00550163"/>
    <w:rsid w:val="00550FF4"/>
    <w:rsid w:val="00551A35"/>
    <w:rsid w:val="00552287"/>
    <w:rsid w:val="005531EF"/>
    <w:rsid w:val="0055408C"/>
    <w:rsid w:val="00555289"/>
    <w:rsid w:val="00555AEF"/>
    <w:rsid w:val="00556DFE"/>
    <w:rsid w:val="00557BE8"/>
    <w:rsid w:val="00560452"/>
    <w:rsid w:val="0056097F"/>
    <w:rsid w:val="00560E39"/>
    <w:rsid w:val="005622D6"/>
    <w:rsid w:val="00562AD4"/>
    <w:rsid w:val="00563583"/>
    <w:rsid w:val="005635DB"/>
    <w:rsid w:val="00563722"/>
    <w:rsid w:val="00563E78"/>
    <w:rsid w:val="00564CC4"/>
    <w:rsid w:val="00565126"/>
    <w:rsid w:val="0056554D"/>
    <w:rsid w:val="0056605B"/>
    <w:rsid w:val="005660CD"/>
    <w:rsid w:val="00566509"/>
    <w:rsid w:val="00566BEE"/>
    <w:rsid w:val="005677FA"/>
    <w:rsid w:val="005705DB"/>
    <w:rsid w:val="005709EF"/>
    <w:rsid w:val="0057109F"/>
    <w:rsid w:val="00571971"/>
    <w:rsid w:val="005721D9"/>
    <w:rsid w:val="00572770"/>
    <w:rsid w:val="00572A16"/>
    <w:rsid w:val="00572D02"/>
    <w:rsid w:val="005731E7"/>
    <w:rsid w:val="00573353"/>
    <w:rsid w:val="00573836"/>
    <w:rsid w:val="00573C96"/>
    <w:rsid w:val="00574200"/>
    <w:rsid w:val="00574266"/>
    <w:rsid w:val="00574539"/>
    <w:rsid w:val="00574776"/>
    <w:rsid w:val="00574ADD"/>
    <w:rsid w:val="00574BF4"/>
    <w:rsid w:val="00575FD0"/>
    <w:rsid w:val="00576547"/>
    <w:rsid w:val="005766D7"/>
    <w:rsid w:val="00576ED0"/>
    <w:rsid w:val="00576F87"/>
    <w:rsid w:val="005800A3"/>
    <w:rsid w:val="00580E5C"/>
    <w:rsid w:val="00581587"/>
    <w:rsid w:val="00581F5A"/>
    <w:rsid w:val="00582B82"/>
    <w:rsid w:val="00582EF6"/>
    <w:rsid w:val="00583464"/>
    <w:rsid w:val="00583A9B"/>
    <w:rsid w:val="00585D80"/>
    <w:rsid w:val="00586A60"/>
    <w:rsid w:val="0058774E"/>
    <w:rsid w:val="00587847"/>
    <w:rsid w:val="00587868"/>
    <w:rsid w:val="00587E0C"/>
    <w:rsid w:val="00591025"/>
    <w:rsid w:val="00591555"/>
    <w:rsid w:val="00592E85"/>
    <w:rsid w:val="00592F69"/>
    <w:rsid w:val="00593557"/>
    <w:rsid w:val="005935DB"/>
    <w:rsid w:val="0059385F"/>
    <w:rsid w:val="005946F1"/>
    <w:rsid w:val="00595BF2"/>
    <w:rsid w:val="00597E2F"/>
    <w:rsid w:val="005A02B7"/>
    <w:rsid w:val="005A07C9"/>
    <w:rsid w:val="005A10EF"/>
    <w:rsid w:val="005A12C1"/>
    <w:rsid w:val="005A12E3"/>
    <w:rsid w:val="005A1307"/>
    <w:rsid w:val="005A1548"/>
    <w:rsid w:val="005A1D55"/>
    <w:rsid w:val="005A371D"/>
    <w:rsid w:val="005A385F"/>
    <w:rsid w:val="005A4642"/>
    <w:rsid w:val="005A4851"/>
    <w:rsid w:val="005A4B6B"/>
    <w:rsid w:val="005A5344"/>
    <w:rsid w:val="005A579A"/>
    <w:rsid w:val="005A5C02"/>
    <w:rsid w:val="005A6614"/>
    <w:rsid w:val="005A66D1"/>
    <w:rsid w:val="005A708D"/>
    <w:rsid w:val="005A7559"/>
    <w:rsid w:val="005A7587"/>
    <w:rsid w:val="005A7A5A"/>
    <w:rsid w:val="005B1ADB"/>
    <w:rsid w:val="005B1C58"/>
    <w:rsid w:val="005B2A88"/>
    <w:rsid w:val="005B342A"/>
    <w:rsid w:val="005B37AA"/>
    <w:rsid w:val="005B4418"/>
    <w:rsid w:val="005B4B65"/>
    <w:rsid w:val="005B5529"/>
    <w:rsid w:val="005B645D"/>
    <w:rsid w:val="005B663F"/>
    <w:rsid w:val="005B6B95"/>
    <w:rsid w:val="005B6F4F"/>
    <w:rsid w:val="005B707A"/>
    <w:rsid w:val="005B7160"/>
    <w:rsid w:val="005B73A6"/>
    <w:rsid w:val="005B768C"/>
    <w:rsid w:val="005C0EE2"/>
    <w:rsid w:val="005C160D"/>
    <w:rsid w:val="005C1691"/>
    <w:rsid w:val="005C283A"/>
    <w:rsid w:val="005C33DE"/>
    <w:rsid w:val="005C3571"/>
    <w:rsid w:val="005C3DAD"/>
    <w:rsid w:val="005C403A"/>
    <w:rsid w:val="005C4C1F"/>
    <w:rsid w:val="005C5F97"/>
    <w:rsid w:val="005C6799"/>
    <w:rsid w:val="005C7036"/>
    <w:rsid w:val="005C7053"/>
    <w:rsid w:val="005D0181"/>
    <w:rsid w:val="005D1B22"/>
    <w:rsid w:val="005D1F87"/>
    <w:rsid w:val="005D247E"/>
    <w:rsid w:val="005D2797"/>
    <w:rsid w:val="005D2821"/>
    <w:rsid w:val="005D29AB"/>
    <w:rsid w:val="005D2AD9"/>
    <w:rsid w:val="005D383B"/>
    <w:rsid w:val="005D487B"/>
    <w:rsid w:val="005D569E"/>
    <w:rsid w:val="005D6A20"/>
    <w:rsid w:val="005D75A8"/>
    <w:rsid w:val="005D7F63"/>
    <w:rsid w:val="005D7FD7"/>
    <w:rsid w:val="005E0134"/>
    <w:rsid w:val="005E01D6"/>
    <w:rsid w:val="005E0D2C"/>
    <w:rsid w:val="005E0FBF"/>
    <w:rsid w:val="005E10AA"/>
    <w:rsid w:val="005E1A94"/>
    <w:rsid w:val="005E1E5E"/>
    <w:rsid w:val="005E2578"/>
    <w:rsid w:val="005E320C"/>
    <w:rsid w:val="005E3644"/>
    <w:rsid w:val="005E43D7"/>
    <w:rsid w:val="005E43D9"/>
    <w:rsid w:val="005E4D2B"/>
    <w:rsid w:val="005E4DFD"/>
    <w:rsid w:val="005E4E92"/>
    <w:rsid w:val="005E5326"/>
    <w:rsid w:val="005E5E26"/>
    <w:rsid w:val="005E5F05"/>
    <w:rsid w:val="005E60DE"/>
    <w:rsid w:val="005E6788"/>
    <w:rsid w:val="005E778F"/>
    <w:rsid w:val="005E78C9"/>
    <w:rsid w:val="005E78D5"/>
    <w:rsid w:val="005F0DF2"/>
    <w:rsid w:val="005F1192"/>
    <w:rsid w:val="005F1569"/>
    <w:rsid w:val="005F1684"/>
    <w:rsid w:val="005F186F"/>
    <w:rsid w:val="005F2A09"/>
    <w:rsid w:val="005F354D"/>
    <w:rsid w:val="005F41E6"/>
    <w:rsid w:val="005F5C60"/>
    <w:rsid w:val="005F5D4D"/>
    <w:rsid w:val="005F65D7"/>
    <w:rsid w:val="005F7277"/>
    <w:rsid w:val="0060015E"/>
    <w:rsid w:val="00600FF2"/>
    <w:rsid w:val="0060107B"/>
    <w:rsid w:val="00601744"/>
    <w:rsid w:val="00601EEB"/>
    <w:rsid w:val="0060324A"/>
    <w:rsid w:val="00603B00"/>
    <w:rsid w:val="00604156"/>
    <w:rsid w:val="006041F6"/>
    <w:rsid w:val="00604586"/>
    <w:rsid w:val="00604591"/>
    <w:rsid w:val="00604A3E"/>
    <w:rsid w:val="00604E98"/>
    <w:rsid w:val="00605593"/>
    <w:rsid w:val="0060751C"/>
    <w:rsid w:val="00607D49"/>
    <w:rsid w:val="00607E9C"/>
    <w:rsid w:val="00610586"/>
    <w:rsid w:val="00610A0E"/>
    <w:rsid w:val="00611ED2"/>
    <w:rsid w:val="00613239"/>
    <w:rsid w:val="00614D9F"/>
    <w:rsid w:val="0061600A"/>
    <w:rsid w:val="00616417"/>
    <w:rsid w:val="0061657A"/>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7AAB"/>
    <w:rsid w:val="00627B99"/>
    <w:rsid w:val="00627E79"/>
    <w:rsid w:val="006300C1"/>
    <w:rsid w:val="006304B1"/>
    <w:rsid w:val="00631533"/>
    <w:rsid w:val="00631EC7"/>
    <w:rsid w:val="0063209E"/>
    <w:rsid w:val="006335B0"/>
    <w:rsid w:val="00633D19"/>
    <w:rsid w:val="00633D42"/>
    <w:rsid w:val="00634056"/>
    <w:rsid w:val="00634CAD"/>
    <w:rsid w:val="00634E82"/>
    <w:rsid w:val="006363FA"/>
    <w:rsid w:val="0063655E"/>
    <w:rsid w:val="00636979"/>
    <w:rsid w:val="00636B5D"/>
    <w:rsid w:val="006372D5"/>
    <w:rsid w:val="006379A7"/>
    <w:rsid w:val="00637EA1"/>
    <w:rsid w:val="00640237"/>
    <w:rsid w:val="0064124F"/>
    <w:rsid w:val="00641AB6"/>
    <w:rsid w:val="00642173"/>
    <w:rsid w:val="00642997"/>
    <w:rsid w:val="00642BFD"/>
    <w:rsid w:val="006436D0"/>
    <w:rsid w:val="00643F7D"/>
    <w:rsid w:val="006453A3"/>
    <w:rsid w:val="00645BC8"/>
    <w:rsid w:val="00645DD3"/>
    <w:rsid w:val="0064650B"/>
    <w:rsid w:val="00646B2F"/>
    <w:rsid w:val="00646FF5"/>
    <w:rsid w:val="00647CD3"/>
    <w:rsid w:val="0065022E"/>
    <w:rsid w:val="0065047A"/>
    <w:rsid w:val="006510E7"/>
    <w:rsid w:val="00651D1E"/>
    <w:rsid w:val="006524CF"/>
    <w:rsid w:val="00652AB2"/>
    <w:rsid w:val="006532AB"/>
    <w:rsid w:val="006539B3"/>
    <w:rsid w:val="00653DB2"/>
    <w:rsid w:val="00654F65"/>
    <w:rsid w:val="006556B0"/>
    <w:rsid w:val="0065588A"/>
    <w:rsid w:val="00655983"/>
    <w:rsid w:val="00656065"/>
    <w:rsid w:val="00656AE4"/>
    <w:rsid w:val="006571CF"/>
    <w:rsid w:val="0065748E"/>
    <w:rsid w:val="00657934"/>
    <w:rsid w:val="00657A63"/>
    <w:rsid w:val="006604AF"/>
    <w:rsid w:val="006612B7"/>
    <w:rsid w:val="00661497"/>
    <w:rsid w:val="00661503"/>
    <w:rsid w:val="006617A5"/>
    <w:rsid w:val="00661EB0"/>
    <w:rsid w:val="0066235E"/>
    <w:rsid w:val="00662523"/>
    <w:rsid w:val="00662B0D"/>
    <w:rsid w:val="00663E53"/>
    <w:rsid w:val="006644CF"/>
    <w:rsid w:val="00666308"/>
    <w:rsid w:val="00666BB7"/>
    <w:rsid w:val="00666C4C"/>
    <w:rsid w:val="00667518"/>
    <w:rsid w:val="00670342"/>
    <w:rsid w:val="00670C82"/>
    <w:rsid w:val="00670D33"/>
    <w:rsid w:val="00671921"/>
    <w:rsid w:val="00671AFA"/>
    <w:rsid w:val="006722F6"/>
    <w:rsid w:val="006725F0"/>
    <w:rsid w:val="00672A00"/>
    <w:rsid w:val="0067332F"/>
    <w:rsid w:val="00674A25"/>
    <w:rsid w:val="00674DCE"/>
    <w:rsid w:val="00675104"/>
    <w:rsid w:val="006755EE"/>
    <w:rsid w:val="00675A8E"/>
    <w:rsid w:val="00675D1F"/>
    <w:rsid w:val="00676955"/>
    <w:rsid w:val="00676D3E"/>
    <w:rsid w:val="00677048"/>
    <w:rsid w:val="0068046C"/>
    <w:rsid w:val="006812C0"/>
    <w:rsid w:val="00682313"/>
    <w:rsid w:val="006828B7"/>
    <w:rsid w:val="00683085"/>
    <w:rsid w:val="0068387C"/>
    <w:rsid w:val="00683942"/>
    <w:rsid w:val="00683ACE"/>
    <w:rsid w:val="00683E1A"/>
    <w:rsid w:val="0068574F"/>
    <w:rsid w:val="00686222"/>
    <w:rsid w:val="0068634C"/>
    <w:rsid w:val="00686C68"/>
    <w:rsid w:val="00686F04"/>
    <w:rsid w:val="00686F62"/>
    <w:rsid w:val="00687043"/>
    <w:rsid w:val="00690B64"/>
    <w:rsid w:val="00691F51"/>
    <w:rsid w:val="006922DF"/>
    <w:rsid w:val="00692328"/>
    <w:rsid w:val="0069241A"/>
    <w:rsid w:val="00693531"/>
    <w:rsid w:val="006935B9"/>
    <w:rsid w:val="00694848"/>
    <w:rsid w:val="00695224"/>
    <w:rsid w:val="006953B6"/>
    <w:rsid w:val="00695AF5"/>
    <w:rsid w:val="00696667"/>
    <w:rsid w:val="00696EA4"/>
    <w:rsid w:val="00697A24"/>
    <w:rsid w:val="00697C1D"/>
    <w:rsid w:val="006A0902"/>
    <w:rsid w:val="006A0DC0"/>
    <w:rsid w:val="006A104A"/>
    <w:rsid w:val="006A158C"/>
    <w:rsid w:val="006A189A"/>
    <w:rsid w:val="006A1938"/>
    <w:rsid w:val="006A1BD9"/>
    <w:rsid w:val="006A1D13"/>
    <w:rsid w:val="006A20E5"/>
    <w:rsid w:val="006A231D"/>
    <w:rsid w:val="006A231F"/>
    <w:rsid w:val="006A256B"/>
    <w:rsid w:val="006A2F27"/>
    <w:rsid w:val="006A333F"/>
    <w:rsid w:val="006A33B2"/>
    <w:rsid w:val="006A38CC"/>
    <w:rsid w:val="006A48DE"/>
    <w:rsid w:val="006A4A68"/>
    <w:rsid w:val="006A5013"/>
    <w:rsid w:val="006A5734"/>
    <w:rsid w:val="006A610B"/>
    <w:rsid w:val="006A6598"/>
    <w:rsid w:val="006A6C76"/>
    <w:rsid w:val="006A75E1"/>
    <w:rsid w:val="006A7DA2"/>
    <w:rsid w:val="006B09B1"/>
    <w:rsid w:val="006B1298"/>
    <w:rsid w:val="006B1923"/>
    <w:rsid w:val="006B1CFA"/>
    <w:rsid w:val="006B260C"/>
    <w:rsid w:val="006B2E18"/>
    <w:rsid w:val="006B3D4C"/>
    <w:rsid w:val="006B445B"/>
    <w:rsid w:val="006B541F"/>
    <w:rsid w:val="006B5DC9"/>
    <w:rsid w:val="006B65F2"/>
    <w:rsid w:val="006B66F8"/>
    <w:rsid w:val="006B6C8C"/>
    <w:rsid w:val="006B6CDF"/>
    <w:rsid w:val="006B71C3"/>
    <w:rsid w:val="006B7604"/>
    <w:rsid w:val="006B77FE"/>
    <w:rsid w:val="006B7A32"/>
    <w:rsid w:val="006C0088"/>
    <w:rsid w:val="006C01F1"/>
    <w:rsid w:val="006C0CC8"/>
    <w:rsid w:val="006C0EE3"/>
    <w:rsid w:val="006C1D0E"/>
    <w:rsid w:val="006C1FFC"/>
    <w:rsid w:val="006C2185"/>
    <w:rsid w:val="006C2192"/>
    <w:rsid w:val="006C2237"/>
    <w:rsid w:val="006C2A33"/>
    <w:rsid w:val="006C3391"/>
    <w:rsid w:val="006C3C53"/>
    <w:rsid w:val="006C3CBA"/>
    <w:rsid w:val="006C3E30"/>
    <w:rsid w:val="006C3E96"/>
    <w:rsid w:val="006C4AC7"/>
    <w:rsid w:val="006C511D"/>
    <w:rsid w:val="006C5552"/>
    <w:rsid w:val="006C5F50"/>
    <w:rsid w:val="006D0435"/>
    <w:rsid w:val="006D05EF"/>
    <w:rsid w:val="006D0878"/>
    <w:rsid w:val="006D0BDD"/>
    <w:rsid w:val="006D0CB8"/>
    <w:rsid w:val="006D0CDA"/>
    <w:rsid w:val="006D133B"/>
    <w:rsid w:val="006D150F"/>
    <w:rsid w:val="006D2028"/>
    <w:rsid w:val="006D2762"/>
    <w:rsid w:val="006D2A1D"/>
    <w:rsid w:val="006D32D2"/>
    <w:rsid w:val="006D33A7"/>
    <w:rsid w:val="006D41C9"/>
    <w:rsid w:val="006D5920"/>
    <w:rsid w:val="006D59CA"/>
    <w:rsid w:val="006D6A01"/>
    <w:rsid w:val="006D776D"/>
    <w:rsid w:val="006D7DAF"/>
    <w:rsid w:val="006D7E04"/>
    <w:rsid w:val="006E0126"/>
    <w:rsid w:val="006E0848"/>
    <w:rsid w:val="006E11AC"/>
    <w:rsid w:val="006E28B4"/>
    <w:rsid w:val="006E42A9"/>
    <w:rsid w:val="006E4C76"/>
    <w:rsid w:val="006E5C0D"/>
    <w:rsid w:val="006E67A9"/>
    <w:rsid w:val="006E6FF8"/>
    <w:rsid w:val="006E7584"/>
    <w:rsid w:val="006F0B48"/>
    <w:rsid w:val="006F1D0E"/>
    <w:rsid w:val="006F1F52"/>
    <w:rsid w:val="006F2368"/>
    <w:rsid w:val="006F2601"/>
    <w:rsid w:val="006F2B93"/>
    <w:rsid w:val="006F2C93"/>
    <w:rsid w:val="006F4258"/>
    <w:rsid w:val="006F4A3B"/>
    <w:rsid w:val="006F4B32"/>
    <w:rsid w:val="006F6278"/>
    <w:rsid w:val="006F6F4D"/>
    <w:rsid w:val="006F7BB8"/>
    <w:rsid w:val="00701022"/>
    <w:rsid w:val="0070184D"/>
    <w:rsid w:val="00701DDF"/>
    <w:rsid w:val="00702247"/>
    <w:rsid w:val="007033F1"/>
    <w:rsid w:val="00704CBD"/>
    <w:rsid w:val="00705148"/>
    <w:rsid w:val="0070597A"/>
    <w:rsid w:val="007059E9"/>
    <w:rsid w:val="00705DC2"/>
    <w:rsid w:val="0070655B"/>
    <w:rsid w:val="00706FFC"/>
    <w:rsid w:val="00707536"/>
    <w:rsid w:val="00707A84"/>
    <w:rsid w:val="00707DE3"/>
    <w:rsid w:val="00710292"/>
    <w:rsid w:val="00714054"/>
    <w:rsid w:val="00714083"/>
    <w:rsid w:val="007157B2"/>
    <w:rsid w:val="00716559"/>
    <w:rsid w:val="00716825"/>
    <w:rsid w:val="007205F0"/>
    <w:rsid w:val="0072127E"/>
    <w:rsid w:val="007215B3"/>
    <w:rsid w:val="0072271B"/>
    <w:rsid w:val="00723C90"/>
    <w:rsid w:val="0072460F"/>
    <w:rsid w:val="00724702"/>
    <w:rsid w:val="00724AD9"/>
    <w:rsid w:val="00725268"/>
    <w:rsid w:val="007258FF"/>
    <w:rsid w:val="00725968"/>
    <w:rsid w:val="00725CA4"/>
    <w:rsid w:val="00725EFC"/>
    <w:rsid w:val="007264FB"/>
    <w:rsid w:val="00727237"/>
    <w:rsid w:val="00730B23"/>
    <w:rsid w:val="00731614"/>
    <w:rsid w:val="007325D2"/>
    <w:rsid w:val="00732A5E"/>
    <w:rsid w:val="00733153"/>
    <w:rsid w:val="0073339B"/>
    <w:rsid w:val="00733B22"/>
    <w:rsid w:val="00733FF7"/>
    <w:rsid w:val="007356DE"/>
    <w:rsid w:val="00735C72"/>
    <w:rsid w:val="007367CA"/>
    <w:rsid w:val="00736C6D"/>
    <w:rsid w:val="007377B5"/>
    <w:rsid w:val="00737C0A"/>
    <w:rsid w:val="00740187"/>
    <w:rsid w:val="0074160D"/>
    <w:rsid w:val="00741C58"/>
    <w:rsid w:val="00741C5E"/>
    <w:rsid w:val="00743262"/>
    <w:rsid w:val="00744153"/>
    <w:rsid w:val="007444BF"/>
    <w:rsid w:val="007444FA"/>
    <w:rsid w:val="00744BE0"/>
    <w:rsid w:val="0074533B"/>
    <w:rsid w:val="00745BD2"/>
    <w:rsid w:val="00746164"/>
    <w:rsid w:val="007463BC"/>
    <w:rsid w:val="00746A22"/>
    <w:rsid w:val="00746AEF"/>
    <w:rsid w:val="00746F94"/>
    <w:rsid w:val="00746FB8"/>
    <w:rsid w:val="00747C97"/>
    <w:rsid w:val="00747CEF"/>
    <w:rsid w:val="0075028B"/>
    <w:rsid w:val="00750D85"/>
    <w:rsid w:val="00750D90"/>
    <w:rsid w:val="00751041"/>
    <w:rsid w:val="00751196"/>
    <w:rsid w:val="00751C20"/>
    <w:rsid w:val="00752B74"/>
    <w:rsid w:val="00752E07"/>
    <w:rsid w:val="00752FEA"/>
    <w:rsid w:val="00753B52"/>
    <w:rsid w:val="00753F35"/>
    <w:rsid w:val="0075523F"/>
    <w:rsid w:val="00755530"/>
    <w:rsid w:val="00755E79"/>
    <w:rsid w:val="007566DE"/>
    <w:rsid w:val="00756F86"/>
    <w:rsid w:val="0075777A"/>
    <w:rsid w:val="0076013E"/>
    <w:rsid w:val="007645ED"/>
    <w:rsid w:val="00765002"/>
    <w:rsid w:val="0076501C"/>
    <w:rsid w:val="007675F7"/>
    <w:rsid w:val="0077091F"/>
    <w:rsid w:val="00771266"/>
    <w:rsid w:val="00772036"/>
    <w:rsid w:val="0077203D"/>
    <w:rsid w:val="00772114"/>
    <w:rsid w:val="00772150"/>
    <w:rsid w:val="007721E3"/>
    <w:rsid w:val="00775850"/>
    <w:rsid w:val="00776534"/>
    <w:rsid w:val="007768AE"/>
    <w:rsid w:val="00776F7B"/>
    <w:rsid w:val="00777322"/>
    <w:rsid w:val="00777C1D"/>
    <w:rsid w:val="00777E1B"/>
    <w:rsid w:val="00780D57"/>
    <w:rsid w:val="00780F67"/>
    <w:rsid w:val="007811DE"/>
    <w:rsid w:val="007818C5"/>
    <w:rsid w:val="00781EF6"/>
    <w:rsid w:val="00781F40"/>
    <w:rsid w:val="00782CE7"/>
    <w:rsid w:val="00782F5F"/>
    <w:rsid w:val="00784306"/>
    <w:rsid w:val="00784450"/>
    <w:rsid w:val="00784DDD"/>
    <w:rsid w:val="00785434"/>
    <w:rsid w:val="007854AB"/>
    <w:rsid w:val="00785789"/>
    <w:rsid w:val="007857B5"/>
    <w:rsid w:val="00785F9C"/>
    <w:rsid w:val="00786820"/>
    <w:rsid w:val="00786D03"/>
    <w:rsid w:val="007874E8"/>
    <w:rsid w:val="00787E46"/>
    <w:rsid w:val="00790B36"/>
    <w:rsid w:val="00790C65"/>
    <w:rsid w:val="007914C4"/>
    <w:rsid w:val="007919AA"/>
    <w:rsid w:val="00792891"/>
    <w:rsid w:val="00794258"/>
    <w:rsid w:val="00794997"/>
    <w:rsid w:val="0079543C"/>
    <w:rsid w:val="00795707"/>
    <w:rsid w:val="007958A2"/>
    <w:rsid w:val="00795A32"/>
    <w:rsid w:val="00795C4E"/>
    <w:rsid w:val="007970DC"/>
    <w:rsid w:val="00797438"/>
    <w:rsid w:val="00797A25"/>
    <w:rsid w:val="00797EDC"/>
    <w:rsid w:val="007A03B1"/>
    <w:rsid w:val="007A0520"/>
    <w:rsid w:val="007A0605"/>
    <w:rsid w:val="007A0E19"/>
    <w:rsid w:val="007A0E2F"/>
    <w:rsid w:val="007A10E6"/>
    <w:rsid w:val="007A1136"/>
    <w:rsid w:val="007A241F"/>
    <w:rsid w:val="007A26FB"/>
    <w:rsid w:val="007A2E07"/>
    <w:rsid w:val="007A3506"/>
    <w:rsid w:val="007A4153"/>
    <w:rsid w:val="007A424B"/>
    <w:rsid w:val="007A46C9"/>
    <w:rsid w:val="007A4983"/>
    <w:rsid w:val="007A501A"/>
    <w:rsid w:val="007A530D"/>
    <w:rsid w:val="007A5CB7"/>
    <w:rsid w:val="007A5CE6"/>
    <w:rsid w:val="007A6113"/>
    <w:rsid w:val="007A6DFA"/>
    <w:rsid w:val="007A6F5D"/>
    <w:rsid w:val="007A7B86"/>
    <w:rsid w:val="007B1A47"/>
    <w:rsid w:val="007B1DED"/>
    <w:rsid w:val="007B2741"/>
    <w:rsid w:val="007B3EEC"/>
    <w:rsid w:val="007B3F83"/>
    <w:rsid w:val="007B3FFF"/>
    <w:rsid w:val="007B47BA"/>
    <w:rsid w:val="007B4B17"/>
    <w:rsid w:val="007B62F5"/>
    <w:rsid w:val="007B7A1F"/>
    <w:rsid w:val="007B7ACF"/>
    <w:rsid w:val="007C07D2"/>
    <w:rsid w:val="007C0C41"/>
    <w:rsid w:val="007C0E51"/>
    <w:rsid w:val="007C0F7B"/>
    <w:rsid w:val="007C12FC"/>
    <w:rsid w:val="007C1A56"/>
    <w:rsid w:val="007C1BD2"/>
    <w:rsid w:val="007C22A2"/>
    <w:rsid w:val="007C2322"/>
    <w:rsid w:val="007C2370"/>
    <w:rsid w:val="007C44C4"/>
    <w:rsid w:val="007C4B16"/>
    <w:rsid w:val="007C573D"/>
    <w:rsid w:val="007C5EB7"/>
    <w:rsid w:val="007D02AD"/>
    <w:rsid w:val="007D0368"/>
    <w:rsid w:val="007D04E6"/>
    <w:rsid w:val="007D06EE"/>
    <w:rsid w:val="007D0D57"/>
    <w:rsid w:val="007D1D33"/>
    <w:rsid w:val="007D2656"/>
    <w:rsid w:val="007D27C9"/>
    <w:rsid w:val="007D2C1F"/>
    <w:rsid w:val="007D2D2D"/>
    <w:rsid w:val="007D3809"/>
    <w:rsid w:val="007D3ABD"/>
    <w:rsid w:val="007D3E32"/>
    <w:rsid w:val="007D3F81"/>
    <w:rsid w:val="007D45FE"/>
    <w:rsid w:val="007D4A85"/>
    <w:rsid w:val="007D4BBF"/>
    <w:rsid w:val="007D52F4"/>
    <w:rsid w:val="007D53E8"/>
    <w:rsid w:val="007D5CFE"/>
    <w:rsid w:val="007D5FFC"/>
    <w:rsid w:val="007D6907"/>
    <w:rsid w:val="007D7965"/>
    <w:rsid w:val="007E03E4"/>
    <w:rsid w:val="007E0EDD"/>
    <w:rsid w:val="007E0F1F"/>
    <w:rsid w:val="007E1165"/>
    <w:rsid w:val="007E1EBF"/>
    <w:rsid w:val="007E21CA"/>
    <w:rsid w:val="007E24F9"/>
    <w:rsid w:val="007E2D10"/>
    <w:rsid w:val="007E31D2"/>
    <w:rsid w:val="007E3300"/>
    <w:rsid w:val="007E3601"/>
    <w:rsid w:val="007E3899"/>
    <w:rsid w:val="007E4431"/>
    <w:rsid w:val="007E479E"/>
    <w:rsid w:val="007E5533"/>
    <w:rsid w:val="007E5555"/>
    <w:rsid w:val="007E5691"/>
    <w:rsid w:val="007E56DD"/>
    <w:rsid w:val="007E614B"/>
    <w:rsid w:val="007E6353"/>
    <w:rsid w:val="007E637E"/>
    <w:rsid w:val="007E7BB8"/>
    <w:rsid w:val="007E7BEA"/>
    <w:rsid w:val="007F0400"/>
    <w:rsid w:val="007F040C"/>
    <w:rsid w:val="007F0A9F"/>
    <w:rsid w:val="007F1B06"/>
    <w:rsid w:val="007F215B"/>
    <w:rsid w:val="007F2594"/>
    <w:rsid w:val="007F268D"/>
    <w:rsid w:val="007F2907"/>
    <w:rsid w:val="007F2930"/>
    <w:rsid w:val="007F2AD8"/>
    <w:rsid w:val="007F2BEA"/>
    <w:rsid w:val="007F3346"/>
    <w:rsid w:val="007F345B"/>
    <w:rsid w:val="007F36BA"/>
    <w:rsid w:val="007F3731"/>
    <w:rsid w:val="007F497F"/>
    <w:rsid w:val="007F5019"/>
    <w:rsid w:val="007F5124"/>
    <w:rsid w:val="007F53C0"/>
    <w:rsid w:val="007F577C"/>
    <w:rsid w:val="007F6AC2"/>
    <w:rsid w:val="00801AB1"/>
    <w:rsid w:val="00801EA6"/>
    <w:rsid w:val="00802C82"/>
    <w:rsid w:val="008033B8"/>
    <w:rsid w:val="008033C1"/>
    <w:rsid w:val="00803689"/>
    <w:rsid w:val="00803DDC"/>
    <w:rsid w:val="00803EBA"/>
    <w:rsid w:val="0080498C"/>
    <w:rsid w:val="008049DB"/>
    <w:rsid w:val="0080557B"/>
    <w:rsid w:val="00805B7B"/>
    <w:rsid w:val="00805D34"/>
    <w:rsid w:val="00806393"/>
    <w:rsid w:val="00806D7C"/>
    <w:rsid w:val="00806FF0"/>
    <w:rsid w:val="00810A80"/>
    <w:rsid w:val="00811009"/>
    <w:rsid w:val="00812CAB"/>
    <w:rsid w:val="00812D0A"/>
    <w:rsid w:val="00813405"/>
    <w:rsid w:val="0081357E"/>
    <w:rsid w:val="00813C9D"/>
    <w:rsid w:val="00814F99"/>
    <w:rsid w:val="00815C51"/>
    <w:rsid w:val="00816BEF"/>
    <w:rsid w:val="0081722B"/>
    <w:rsid w:val="008179EA"/>
    <w:rsid w:val="00817F99"/>
    <w:rsid w:val="0082025A"/>
    <w:rsid w:val="00820DCE"/>
    <w:rsid w:val="00820DEF"/>
    <w:rsid w:val="008210EA"/>
    <w:rsid w:val="00821B46"/>
    <w:rsid w:val="008222AD"/>
    <w:rsid w:val="00822512"/>
    <w:rsid w:val="00822561"/>
    <w:rsid w:val="008225F9"/>
    <w:rsid w:val="00822D3C"/>
    <w:rsid w:val="00822FFE"/>
    <w:rsid w:val="00823691"/>
    <w:rsid w:val="008239AF"/>
    <w:rsid w:val="008254A4"/>
    <w:rsid w:val="008275A6"/>
    <w:rsid w:val="00827773"/>
    <w:rsid w:val="00827B06"/>
    <w:rsid w:val="00827E2A"/>
    <w:rsid w:val="00830148"/>
    <w:rsid w:val="00830AF2"/>
    <w:rsid w:val="00830BFC"/>
    <w:rsid w:val="00830EAB"/>
    <w:rsid w:val="008310D2"/>
    <w:rsid w:val="00831F24"/>
    <w:rsid w:val="00832458"/>
    <w:rsid w:val="00832601"/>
    <w:rsid w:val="00832DD9"/>
    <w:rsid w:val="00832EE1"/>
    <w:rsid w:val="00833A00"/>
    <w:rsid w:val="0083687A"/>
    <w:rsid w:val="0083775C"/>
    <w:rsid w:val="008400CE"/>
    <w:rsid w:val="00841487"/>
    <w:rsid w:val="008415DF"/>
    <w:rsid w:val="0084170D"/>
    <w:rsid w:val="00841F99"/>
    <w:rsid w:val="0084293B"/>
    <w:rsid w:val="00842ACC"/>
    <w:rsid w:val="00842BD7"/>
    <w:rsid w:val="008430B9"/>
    <w:rsid w:val="00843A6E"/>
    <w:rsid w:val="008443F1"/>
    <w:rsid w:val="00844AC8"/>
    <w:rsid w:val="0084510F"/>
    <w:rsid w:val="0084544D"/>
    <w:rsid w:val="008454E1"/>
    <w:rsid w:val="00845E68"/>
    <w:rsid w:val="008460C4"/>
    <w:rsid w:val="008469B2"/>
    <w:rsid w:val="00847032"/>
    <w:rsid w:val="008472DB"/>
    <w:rsid w:val="008476CA"/>
    <w:rsid w:val="0084776B"/>
    <w:rsid w:val="00850E57"/>
    <w:rsid w:val="0085101E"/>
    <w:rsid w:val="00852470"/>
    <w:rsid w:val="008524EA"/>
    <w:rsid w:val="00852846"/>
    <w:rsid w:val="008538E8"/>
    <w:rsid w:val="00854CBF"/>
    <w:rsid w:val="00855CB8"/>
    <w:rsid w:val="00856618"/>
    <w:rsid w:val="008566CA"/>
    <w:rsid w:val="008568C5"/>
    <w:rsid w:val="00856B2E"/>
    <w:rsid w:val="008576E8"/>
    <w:rsid w:val="00862342"/>
    <w:rsid w:val="00862D18"/>
    <w:rsid w:val="008632E4"/>
    <w:rsid w:val="008638FB"/>
    <w:rsid w:val="00864BA7"/>
    <w:rsid w:val="00864FA0"/>
    <w:rsid w:val="00864FD5"/>
    <w:rsid w:val="00867216"/>
    <w:rsid w:val="0086743B"/>
    <w:rsid w:val="0087014B"/>
    <w:rsid w:val="00870347"/>
    <w:rsid w:val="00870CEF"/>
    <w:rsid w:val="0087154B"/>
    <w:rsid w:val="00871579"/>
    <w:rsid w:val="00871B86"/>
    <w:rsid w:val="00872962"/>
    <w:rsid w:val="008729E8"/>
    <w:rsid w:val="008731BF"/>
    <w:rsid w:val="0087367B"/>
    <w:rsid w:val="0087379B"/>
    <w:rsid w:val="00873A05"/>
    <w:rsid w:val="00873C79"/>
    <w:rsid w:val="008742B8"/>
    <w:rsid w:val="008745FB"/>
    <w:rsid w:val="00874903"/>
    <w:rsid w:val="00874AFA"/>
    <w:rsid w:val="00874BE6"/>
    <w:rsid w:val="00874BEF"/>
    <w:rsid w:val="00874C43"/>
    <w:rsid w:val="00875044"/>
    <w:rsid w:val="008752CF"/>
    <w:rsid w:val="008752D5"/>
    <w:rsid w:val="00875D1B"/>
    <w:rsid w:val="00876093"/>
    <w:rsid w:val="008774B2"/>
    <w:rsid w:val="008815C0"/>
    <w:rsid w:val="0088250C"/>
    <w:rsid w:val="008832BB"/>
    <w:rsid w:val="00884182"/>
    <w:rsid w:val="008844CC"/>
    <w:rsid w:val="00884DE8"/>
    <w:rsid w:val="0088512A"/>
    <w:rsid w:val="00885F38"/>
    <w:rsid w:val="008864C3"/>
    <w:rsid w:val="00886B83"/>
    <w:rsid w:val="00887AA2"/>
    <w:rsid w:val="008900AB"/>
    <w:rsid w:val="00890CC0"/>
    <w:rsid w:val="00891630"/>
    <w:rsid w:val="008916E6"/>
    <w:rsid w:val="00891B0F"/>
    <w:rsid w:val="0089263D"/>
    <w:rsid w:val="008926B9"/>
    <w:rsid w:val="00892BD6"/>
    <w:rsid w:val="00892CA6"/>
    <w:rsid w:val="008935B1"/>
    <w:rsid w:val="00894579"/>
    <w:rsid w:val="008959FD"/>
    <w:rsid w:val="00895C6B"/>
    <w:rsid w:val="00896D0A"/>
    <w:rsid w:val="0089751D"/>
    <w:rsid w:val="00897A46"/>
    <w:rsid w:val="00897F8F"/>
    <w:rsid w:val="008A0126"/>
    <w:rsid w:val="008A07C5"/>
    <w:rsid w:val="008A0954"/>
    <w:rsid w:val="008A0D61"/>
    <w:rsid w:val="008A241B"/>
    <w:rsid w:val="008A2A96"/>
    <w:rsid w:val="008A3F58"/>
    <w:rsid w:val="008A4D01"/>
    <w:rsid w:val="008A531F"/>
    <w:rsid w:val="008A596A"/>
    <w:rsid w:val="008A5DAC"/>
    <w:rsid w:val="008A636F"/>
    <w:rsid w:val="008A6F31"/>
    <w:rsid w:val="008A7065"/>
    <w:rsid w:val="008A78FE"/>
    <w:rsid w:val="008A79F4"/>
    <w:rsid w:val="008A7EC2"/>
    <w:rsid w:val="008B11DE"/>
    <w:rsid w:val="008B1807"/>
    <w:rsid w:val="008B2637"/>
    <w:rsid w:val="008B2706"/>
    <w:rsid w:val="008B2FB4"/>
    <w:rsid w:val="008B3114"/>
    <w:rsid w:val="008B319C"/>
    <w:rsid w:val="008B3E6B"/>
    <w:rsid w:val="008B4A88"/>
    <w:rsid w:val="008B5768"/>
    <w:rsid w:val="008B591C"/>
    <w:rsid w:val="008B5B1F"/>
    <w:rsid w:val="008B5F93"/>
    <w:rsid w:val="008B5FD5"/>
    <w:rsid w:val="008B63BB"/>
    <w:rsid w:val="008B65E7"/>
    <w:rsid w:val="008B6948"/>
    <w:rsid w:val="008B6DA0"/>
    <w:rsid w:val="008B6E0E"/>
    <w:rsid w:val="008B71AE"/>
    <w:rsid w:val="008B761D"/>
    <w:rsid w:val="008C0190"/>
    <w:rsid w:val="008C01FF"/>
    <w:rsid w:val="008C0A9D"/>
    <w:rsid w:val="008C17E1"/>
    <w:rsid w:val="008C32C7"/>
    <w:rsid w:val="008C455A"/>
    <w:rsid w:val="008C4A4A"/>
    <w:rsid w:val="008C4CA8"/>
    <w:rsid w:val="008C4EDA"/>
    <w:rsid w:val="008C5305"/>
    <w:rsid w:val="008C5566"/>
    <w:rsid w:val="008C562A"/>
    <w:rsid w:val="008C5863"/>
    <w:rsid w:val="008C6D7A"/>
    <w:rsid w:val="008C7124"/>
    <w:rsid w:val="008C713E"/>
    <w:rsid w:val="008C76FE"/>
    <w:rsid w:val="008C7B9B"/>
    <w:rsid w:val="008D0D6B"/>
    <w:rsid w:val="008D0E73"/>
    <w:rsid w:val="008D0EAD"/>
    <w:rsid w:val="008D14B9"/>
    <w:rsid w:val="008D1648"/>
    <w:rsid w:val="008D2745"/>
    <w:rsid w:val="008D2A84"/>
    <w:rsid w:val="008D4D1D"/>
    <w:rsid w:val="008D5D67"/>
    <w:rsid w:val="008D5F2F"/>
    <w:rsid w:val="008D6448"/>
    <w:rsid w:val="008D7E7E"/>
    <w:rsid w:val="008E02FA"/>
    <w:rsid w:val="008E1922"/>
    <w:rsid w:val="008E1CD3"/>
    <w:rsid w:val="008E1F25"/>
    <w:rsid w:val="008E202D"/>
    <w:rsid w:val="008E27CB"/>
    <w:rsid w:val="008E2AE3"/>
    <w:rsid w:val="008E449D"/>
    <w:rsid w:val="008E57B4"/>
    <w:rsid w:val="008E58A8"/>
    <w:rsid w:val="008E5DD0"/>
    <w:rsid w:val="008E6374"/>
    <w:rsid w:val="008E6791"/>
    <w:rsid w:val="008E72A7"/>
    <w:rsid w:val="008E7C43"/>
    <w:rsid w:val="008F04AE"/>
    <w:rsid w:val="008F0682"/>
    <w:rsid w:val="008F06E3"/>
    <w:rsid w:val="008F0D7F"/>
    <w:rsid w:val="008F247C"/>
    <w:rsid w:val="008F2C96"/>
    <w:rsid w:val="008F349F"/>
    <w:rsid w:val="008F3767"/>
    <w:rsid w:val="008F3AB4"/>
    <w:rsid w:val="008F432B"/>
    <w:rsid w:val="008F43F9"/>
    <w:rsid w:val="008F4452"/>
    <w:rsid w:val="008F4F69"/>
    <w:rsid w:val="008F4FFD"/>
    <w:rsid w:val="008F53DF"/>
    <w:rsid w:val="008F6E39"/>
    <w:rsid w:val="00900473"/>
    <w:rsid w:val="009005B3"/>
    <w:rsid w:val="00900ED9"/>
    <w:rsid w:val="009013F6"/>
    <w:rsid w:val="00901880"/>
    <w:rsid w:val="009018CE"/>
    <w:rsid w:val="00901D16"/>
    <w:rsid w:val="00901EB2"/>
    <w:rsid w:val="00902AA5"/>
    <w:rsid w:val="009044CE"/>
    <w:rsid w:val="00904F14"/>
    <w:rsid w:val="0090562E"/>
    <w:rsid w:val="00905A66"/>
    <w:rsid w:val="00905DB4"/>
    <w:rsid w:val="00906446"/>
    <w:rsid w:val="00906459"/>
    <w:rsid w:val="00906C94"/>
    <w:rsid w:val="00911100"/>
    <w:rsid w:val="009130F8"/>
    <w:rsid w:val="00913494"/>
    <w:rsid w:val="009134BC"/>
    <w:rsid w:val="00913699"/>
    <w:rsid w:val="00913C46"/>
    <w:rsid w:val="00913F80"/>
    <w:rsid w:val="009144AB"/>
    <w:rsid w:val="00914654"/>
    <w:rsid w:val="00914F50"/>
    <w:rsid w:val="009152A9"/>
    <w:rsid w:val="00915CC4"/>
    <w:rsid w:val="0091602F"/>
    <w:rsid w:val="00916161"/>
    <w:rsid w:val="00916292"/>
    <w:rsid w:val="00916BE3"/>
    <w:rsid w:val="009175C2"/>
    <w:rsid w:val="0091789A"/>
    <w:rsid w:val="00917BAD"/>
    <w:rsid w:val="00917D64"/>
    <w:rsid w:val="0092251C"/>
    <w:rsid w:val="009226C5"/>
    <w:rsid w:val="009229C9"/>
    <w:rsid w:val="0092357A"/>
    <w:rsid w:val="0092402B"/>
    <w:rsid w:val="00924588"/>
    <w:rsid w:val="00924A9F"/>
    <w:rsid w:val="00925042"/>
    <w:rsid w:val="009251E0"/>
    <w:rsid w:val="00925E8E"/>
    <w:rsid w:val="009269BD"/>
    <w:rsid w:val="00926AA3"/>
    <w:rsid w:val="009303D6"/>
    <w:rsid w:val="00930B44"/>
    <w:rsid w:val="00931225"/>
    <w:rsid w:val="0093126B"/>
    <w:rsid w:val="0093128F"/>
    <w:rsid w:val="00931CCE"/>
    <w:rsid w:val="00931D72"/>
    <w:rsid w:val="00932288"/>
    <w:rsid w:val="00932774"/>
    <w:rsid w:val="00933023"/>
    <w:rsid w:val="00933603"/>
    <w:rsid w:val="009350DA"/>
    <w:rsid w:val="0093570B"/>
    <w:rsid w:val="009357E4"/>
    <w:rsid w:val="009362C2"/>
    <w:rsid w:val="0093646B"/>
    <w:rsid w:val="00937522"/>
    <w:rsid w:val="0093791B"/>
    <w:rsid w:val="009401AB"/>
    <w:rsid w:val="00940D6C"/>
    <w:rsid w:val="00941303"/>
    <w:rsid w:val="0094165E"/>
    <w:rsid w:val="00941FD2"/>
    <w:rsid w:val="009429B6"/>
    <w:rsid w:val="009443AE"/>
    <w:rsid w:val="00944B51"/>
    <w:rsid w:val="00944BA6"/>
    <w:rsid w:val="00944CFB"/>
    <w:rsid w:val="00944F50"/>
    <w:rsid w:val="00945022"/>
    <w:rsid w:val="00945199"/>
    <w:rsid w:val="009457AA"/>
    <w:rsid w:val="00945A29"/>
    <w:rsid w:val="00945BA0"/>
    <w:rsid w:val="00946797"/>
    <w:rsid w:val="00946800"/>
    <w:rsid w:val="00946822"/>
    <w:rsid w:val="00947C03"/>
    <w:rsid w:val="009511EB"/>
    <w:rsid w:val="00951479"/>
    <w:rsid w:val="00951870"/>
    <w:rsid w:val="00951EE6"/>
    <w:rsid w:val="00953D69"/>
    <w:rsid w:val="00954226"/>
    <w:rsid w:val="00954658"/>
    <w:rsid w:val="00956153"/>
    <w:rsid w:val="009561B4"/>
    <w:rsid w:val="009565AE"/>
    <w:rsid w:val="00956AA3"/>
    <w:rsid w:val="009574B7"/>
    <w:rsid w:val="009605F6"/>
    <w:rsid w:val="009611D3"/>
    <w:rsid w:val="0096138E"/>
    <w:rsid w:val="00962193"/>
    <w:rsid w:val="009627CF"/>
    <w:rsid w:val="00962A11"/>
    <w:rsid w:val="00962E7D"/>
    <w:rsid w:val="0096406A"/>
    <w:rsid w:val="00964A4F"/>
    <w:rsid w:val="00964D10"/>
    <w:rsid w:val="00965153"/>
    <w:rsid w:val="00965371"/>
    <w:rsid w:val="00965468"/>
    <w:rsid w:val="00965874"/>
    <w:rsid w:val="00965E71"/>
    <w:rsid w:val="009667F1"/>
    <w:rsid w:val="009668D3"/>
    <w:rsid w:val="009670C2"/>
    <w:rsid w:val="00970100"/>
    <w:rsid w:val="0097040B"/>
    <w:rsid w:val="00972177"/>
    <w:rsid w:val="00973222"/>
    <w:rsid w:val="00973DF4"/>
    <w:rsid w:val="00974624"/>
    <w:rsid w:val="00975087"/>
    <w:rsid w:val="00975C59"/>
    <w:rsid w:val="00975DEE"/>
    <w:rsid w:val="00976215"/>
    <w:rsid w:val="00976309"/>
    <w:rsid w:val="0097700C"/>
    <w:rsid w:val="009773D6"/>
    <w:rsid w:val="00977A8A"/>
    <w:rsid w:val="00977C0C"/>
    <w:rsid w:val="009808B3"/>
    <w:rsid w:val="0098149C"/>
    <w:rsid w:val="00982626"/>
    <w:rsid w:val="00982DCA"/>
    <w:rsid w:val="00983210"/>
    <w:rsid w:val="009833D1"/>
    <w:rsid w:val="0098376A"/>
    <w:rsid w:val="00983F50"/>
    <w:rsid w:val="0098413C"/>
    <w:rsid w:val="0098560B"/>
    <w:rsid w:val="0098605C"/>
    <w:rsid w:val="0098675C"/>
    <w:rsid w:val="00987290"/>
    <w:rsid w:val="009872EB"/>
    <w:rsid w:val="009876EE"/>
    <w:rsid w:val="00987AA2"/>
    <w:rsid w:val="00987B8C"/>
    <w:rsid w:val="00987CEE"/>
    <w:rsid w:val="00990C19"/>
    <w:rsid w:val="00991530"/>
    <w:rsid w:val="009916DA"/>
    <w:rsid w:val="00991D80"/>
    <w:rsid w:val="00991EA5"/>
    <w:rsid w:val="009920AC"/>
    <w:rsid w:val="00992B33"/>
    <w:rsid w:val="009945E8"/>
    <w:rsid w:val="00994FC7"/>
    <w:rsid w:val="009959BD"/>
    <w:rsid w:val="00995E92"/>
    <w:rsid w:val="00996363"/>
    <w:rsid w:val="009964CD"/>
    <w:rsid w:val="00997309"/>
    <w:rsid w:val="00997DE4"/>
    <w:rsid w:val="009A0338"/>
    <w:rsid w:val="009A055F"/>
    <w:rsid w:val="009A0F7D"/>
    <w:rsid w:val="009A1344"/>
    <w:rsid w:val="009A1365"/>
    <w:rsid w:val="009A14FA"/>
    <w:rsid w:val="009A20BC"/>
    <w:rsid w:val="009A24FB"/>
    <w:rsid w:val="009A26E1"/>
    <w:rsid w:val="009A2CF1"/>
    <w:rsid w:val="009A363C"/>
    <w:rsid w:val="009A3C08"/>
    <w:rsid w:val="009A4AA5"/>
    <w:rsid w:val="009A55FF"/>
    <w:rsid w:val="009A57CD"/>
    <w:rsid w:val="009A5D5A"/>
    <w:rsid w:val="009A5DEE"/>
    <w:rsid w:val="009A6277"/>
    <w:rsid w:val="009A6783"/>
    <w:rsid w:val="009A73C8"/>
    <w:rsid w:val="009A76E5"/>
    <w:rsid w:val="009A7788"/>
    <w:rsid w:val="009A7AFF"/>
    <w:rsid w:val="009A7D13"/>
    <w:rsid w:val="009B0472"/>
    <w:rsid w:val="009B0773"/>
    <w:rsid w:val="009B0DA6"/>
    <w:rsid w:val="009B1362"/>
    <w:rsid w:val="009B1A87"/>
    <w:rsid w:val="009B1B04"/>
    <w:rsid w:val="009B21EE"/>
    <w:rsid w:val="009B2247"/>
    <w:rsid w:val="009B2576"/>
    <w:rsid w:val="009B297F"/>
    <w:rsid w:val="009B298D"/>
    <w:rsid w:val="009B31C1"/>
    <w:rsid w:val="009B3D52"/>
    <w:rsid w:val="009B4548"/>
    <w:rsid w:val="009B4699"/>
    <w:rsid w:val="009B4E55"/>
    <w:rsid w:val="009B55EE"/>
    <w:rsid w:val="009B5882"/>
    <w:rsid w:val="009B6644"/>
    <w:rsid w:val="009B69BA"/>
    <w:rsid w:val="009C0631"/>
    <w:rsid w:val="009C1008"/>
    <w:rsid w:val="009C1AFF"/>
    <w:rsid w:val="009C218C"/>
    <w:rsid w:val="009C21E3"/>
    <w:rsid w:val="009C222F"/>
    <w:rsid w:val="009C25F1"/>
    <w:rsid w:val="009C2C60"/>
    <w:rsid w:val="009C3B12"/>
    <w:rsid w:val="009C3EC8"/>
    <w:rsid w:val="009C4186"/>
    <w:rsid w:val="009C47F5"/>
    <w:rsid w:val="009C59C1"/>
    <w:rsid w:val="009C6134"/>
    <w:rsid w:val="009C7301"/>
    <w:rsid w:val="009C749C"/>
    <w:rsid w:val="009C788F"/>
    <w:rsid w:val="009C7ACB"/>
    <w:rsid w:val="009C7EF2"/>
    <w:rsid w:val="009D135A"/>
    <w:rsid w:val="009D16E4"/>
    <w:rsid w:val="009D1A50"/>
    <w:rsid w:val="009D2F15"/>
    <w:rsid w:val="009D321C"/>
    <w:rsid w:val="009D32F7"/>
    <w:rsid w:val="009D3F25"/>
    <w:rsid w:val="009D4A53"/>
    <w:rsid w:val="009D4B3F"/>
    <w:rsid w:val="009D500B"/>
    <w:rsid w:val="009D5228"/>
    <w:rsid w:val="009D57AF"/>
    <w:rsid w:val="009D5899"/>
    <w:rsid w:val="009D5EFF"/>
    <w:rsid w:val="009D60D2"/>
    <w:rsid w:val="009D648F"/>
    <w:rsid w:val="009D737C"/>
    <w:rsid w:val="009D7683"/>
    <w:rsid w:val="009D7811"/>
    <w:rsid w:val="009D7E70"/>
    <w:rsid w:val="009D7EC6"/>
    <w:rsid w:val="009E0313"/>
    <w:rsid w:val="009E1E04"/>
    <w:rsid w:val="009E1FF9"/>
    <w:rsid w:val="009E4179"/>
    <w:rsid w:val="009E4732"/>
    <w:rsid w:val="009E59F4"/>
    <w:rsid w:val="009E5C5E"/>
    <w:rsid w:val="009E5D79"/>
    <w:rsid w:val="009E7266"/>
    <w:rsid w:val="009E7D74"/>
    <w:rsid w:val="009F0190"/>
    <w:rsid w:val="009F047C"/>
    <w:rsid w:val="009F0F0E"/>
    <w:rsid w:val="009F1217"/>
    <w:rsid w:val="009F1D5A"/>
    <w:rsid w:val="009F1DEF"/>
    <w:rsid w:val="009F2418"/>
    <w:rsid w:val="009F2588"/>
    <w:rsid w:val="009F36C5"/>
    <w:rsid w:val="009F3CE4"/>
    <w:rsid w:val="009F3D5F"/>
    <w:rsid w:val="009F51A2"/>
    <w:rsid w:val="009F5F4C"/>
    <w:rsid w:val="009F6D94"/>
    <w:rsid w:val="009F7480"/>
    <w:rsid w:val="009F7689"/>
    <w:rsid w:val="00A00170"/>
    <w:rsid w:val="00A00BB2"/>
    <w:rsid w:val="00A013B0"/>
    <w:rsid w:val="00A017CD"/>
    <w:rsid w:val="00A01E51"/>
    <w:rsid w:val="00A04494"/>
    <w:rsid w:val="00A04EC8"/>
    <w:rsid w:val="00A0546E"/>
    <w:rsid w:val="00A0551C"/>
    <w:rsid w:val="00A05BB8"/>
    <w:rsid w:val="00A06295"/>
    <w:rsid w:val="00A06427"/>
    <w:rsid w:val="00A07156"/>
    <w:rsid w:val="00A076BA"/>
    <w:rsid w:val="00A121A7"/>
    <w:rsid w:val="00A12416"/>
    <w:rsid w:val="00A125BD"/>
    <w:rsid w:val="00A12C45"/>
    <w:rsid w:val="00A136C6"/>
    <w:rsid w:val="00A136CE"/>
    <w:rsid w:val="00A13755"/>
    <w:rsid w:val="00A13A89"/>
    <w:rsid w:val="00A13AA8"/>
    <w:rsid w:val="00A13FE3"/>
    <w:rsid w:val="00A14158"/>
    <w:rsid w:val="00A14256"/>
    <w:rsid w:val="00A146AA"/>
    <w:rsid w:val="00A14BAC"/>
    <w:rsid w:val="00A14D5C"/>
    <w:rsid w:val="00A154F9"/>
    <w:rsid w:val="00A15D6B"/>
    <w:rsid w:val="00A1666B"/>
    <w:rsid w:val="00A16DD2"/>
    <w:rsid w:val="00A16FBE"/>
    <w:rsid w:val="00A170A7"/>
    <w:rsid w:val="00A17BA4"/>
    <w:rsid w:val="00A207DC"/>
    <w:rsid w:val="00A20CEB"/>
    <w:rsid w:val="00A21118"/>
    <w:rsid w:val="00A22977"/>
    <w:rsid w:val="00A232E0"/>
    <w:rsid w:val="00A23A82"/>
    <w:rsid w:val="00A241F9"/>
    <w:rsid w:val="00A24437"/>
    <w:rsid w:val="00A252B6"/>
    <w:rsid w:val="00A25FFF"/>
    <w:rsid w:val="00A2607B"/>
    <w:rsid w:val="00A27980"/>
    <w:rsid w:val="00A27A38"/>
    <w:rsid w:val="00A27C3C"/>
    <w:rsid w:val="00A27D03"/>
    <w:rsid w:val="00A27DB4"/>
    <w:rsid w:val="00A303A5"/>
    <w:rsid w:val="00A30430"/>
    <w:rsid w:val="00A30E89"/>
    <w:rsid w:val="00A314A0"/>
    <w:rsid w:val="00A31ADE"/>
    <w:rsid w:val="00A31C7D"/>
    <w:rsid w:val="00A320DB"/>
    <w:rsid w:val="00A3249C"/>
    <w:rsid w:val="00A32A75"/>
    <w:rsid w:val="00A33C93"/>
    <w:rsid w:val="00A3410E"/>
    <w:rsid w:val="00A3522A"/>
    <w:rsid w:val="00A35ACD"/>
    <w:rsid w:val="00A35AFF"/>
    <w:rsid w:val="00A36A84"/>
    <w:rsid w:val="00A370B4"/>
    <w:rsid w:val="00A37836"/>
    <w:rsid w:val="00A406E6"/>
    <w:rsid w:val="00A41B17"/>
    <w:rsid w:val="00A421B2"/>
    <w:rsid w:val="00A4292D"/>
    <w:rsid w:val="00A42E17"/>
    <w:rsid w:val="00A4329A"/>
    <w:rsid w:val="00A4334A"/>
    <w:rsid w:val="00A43DB0"/>
    <w:rsid w:val="00A443E2"/>
    <w:rsid w:val="00A450A0"/>
    <w:rsid w:val="00A45961"/>
    <w:rsid w:val="00A45B2B"/>
    <w:rsid w:val="00A46B6F"/>
    <w:rsid w:val="00A47C6D"/>
    <w:rsid w:val="00A50E22"/>
    <w:rsid w:val="00A5145B"/>
    <w:rsid w:val="00A51586"/>
    <w:rsid w:val="00A52936"/>
    <w:rsid w:val="00A52EE9"/>
    <w:rsid w:val="00A53746"/>
    <w:rsid w:val="00A54141"/>
    <w:rsid w:val="00A541FD"/>
    <w:rsid w:val="00A54589"/>
    <w:rsid w:val="00A54811"/>
    <w:rsid w:val="00A54BD8"/>
    <w:rsid w:val="00A54CB9"/>
    <w:rsid w:val="00A551E5"/>
    <w:rsid w:val="00A55987"/>
    <w:rsid w:val="00A560B3"/>
    <w:rsid w:val="00A56340"/>
    <w:rsid w:val="00A57688"/>
    <w:rsid w:val="00A57A69"/>
    <w:rsid w:val="00A57F82"/>
    <w:rsid w:val="00A60351"/>
    <w:rsid w:val="00A607BD"/>
    <w:rsid w:val="00A608B7"/>
    <w:rsid w:val="00A60FE1"/>
    <w:rsid w:val="00A61836"/>
    <w:rsid w:val="00A61853"/>
    <w:rsid w:val="00A618C6"/>
    <w:rsid w:val="00A622E3"/>
    <w:rsid w:val="00A62436"/>
    <w:rsid w:val="00A62A4D"/>
    <w:rsid w:val="00A62CC5"/>
    <w:rsid w:val="00A6317B"/>
    <w:rsid w:val="00A63184"/>
    <w:rsid w:val="00A639B1"/>
    <w:rsid w:val="00A63DF1"/>
    <w:rsid w:val="00A6410C"/>
    <w:rsid w:val="00A6435A"/>
    <w:rsid w:val="00A647CD"/>
    <w:rsid w:val="00A6560B"/>
    <w:rsid w:val="00A65C42"/>
    <w:rsid w:val="00A65EF7"/>
    <w:rsid w:val="00A66396"/>
    <w:rsid w:val="00A671D1"/>
    <w:rsid w:val="00A67879"/>
    <w:rsid w:val="00A67EF5"/>
    <w:rsid w:val="00A7218B"/>
    <w:rsid w:val="00A7234D"/>
    <w:rsid w:val="00A72852"/>
    <w:rsid w:val="00A72E28"/>
    <w:rsid w:val="00A732BA"/>
    <w:rsid w:val="00A74454"/>
    <w:rsid w:val="00A754DD"/>
    <w:rsid w:val="00A75510"/>
    <w:rsid w:val="00A75723"/>
    <w:rsid w:val="00A75E47"/>
    <w:rsid w:val="00A766AD"/>
    <w:rsid w:val="00A76961"/>
    <w:rsid w:val="00A76BFB"/>
    <w:rsid w:val="00A8122B"/>
    <w:rsid w:val="00A81726"/>
    <w:rsid w:val="00A81A20"/>
    <w:rsid w:val="00A81B8D"/>
    <w:rsid w:val="00A81EC8"/>
    <w:rsid w:val="00A82EDC"/>
    <w:rsid w:val="00A82F09"/>
    <w:rsid w:val="00A8326D"/>
    <w:rsid w:val="00A83DDC"/>
    <w:rsid w:val="00A83F37"/>
    <w:rsid w:val="00A84018"/>
    <w:rsid w:val="00A84AF3"/>
    <w:rsid w:val="00A84BED"/>
    <w:rsid w:val="00A8536F"/>
    <w:rsid w:val="00A85511"/>
    <w:rsid w:val="00A857C4"/>
    <w:rsid w:val="00A85CD9"/>
    <w:rsid w:val="00A85E27"/>
    <w:rsid w:val="00A86D6F"/>
    <w:rsid w:val="00A86E3E"/>
    <w:rsid w:val="00A87BAE"/>
    <w:rsid w:val="00A9015D"/>
    <w:rsid w:val="00A90976"/>
    <w:rsid w:val="00A90B03"/>
    <w:rsid w:val="00A913A1"/>
    <w:rsid w:val="00A91ACB"/>
    <w:rsid w:val="00A92584"/>
    <w:rsid w:val="00A925DB"/>
    <w:rsid w:val="00A93DC6"/>
    <w:rsid w:val="00A94354"/>
    <w:rsid w:val="00A94796"/>
    <w:rsid w:val="00A94CEF"/>
    <w:rsid w:val="00A9501F"/>
    <w:rsid w:val="00A951AC"/>
    <w:rsid w:val="00A951C2"/>
    <w:rsid w:val="00A95452"/>
    <w:rsid w:val="00A95EE0"/>
    <w:rsid w:val="00A96B79"/>
    <w:rsid w:val="00A96EF6"/>
    <w:rsid w:val="00A97CF6"/>
    <w:rsid w:val="00AA096E"/>
    <w:rsid w:val="00AA1293"/>
    <w:rsid w:val="00AA14C3"/>
    <w:rsid w:val="00AA188D"/>
    <w:rsid w:val="00AA3EDF"/>
    <w:rsid w:val="00AA4239"/>
    <w:rsid w:val="00AA4D46"/>
    <w:rsid w:val="00AA5361"/>
    <w:rsid w:val="00AA54AE"/>
    <w:rsid w:val="00AA6816"/>
    <w:rsid w:val="00AA69E5"/>
    <w:rsid w:val="00AA7322"/>
    <w:rsid w:val="00AA75CE"/>
    <w:rsid w:val="00AB023A"/>
    <w:rsid w:val="00AB0C43"/>
    <w:rsid w:val="00AB1098"/>
    <w:rsid w:val="00AB173C"/>
    <w:rsid w:val="00AB188D"/>
    <w:rsid w:val="00AB1B38"/>
    <w:rsid w:val="00AB217D"/>
    <w:rsid w:val="00AB2581"/>
    <w:rsid w:val="00AB2643"/>
    <w:rsid w:val="00AB27C6"/>
    <w:rsid w:val="00AB3031"/>
    <w:rsid w:val="00AB3379"/>
    <w:rsid w:val="00AB3F05"/>
    <w:rsid w:val="00AB4013"/>
    <w:rsid w:val="00AB462F"/>
    <w:rsid w:val="00AB4BB5"/>
    <w:rsid w:val="00AB4C0D"/>
    <w:rsid w:val="00AB557D"/>
    <w:rsid w:val="00AB6477"/>
    <w:rsid w:val="00AB6533"/>
    <w:rsid w:val="00AB689D"/>
    <w:rsid w:val="00AB6EB6"/>
    <w:rsid w:val="00AB7675"/>
    <w:rsid w:val="00AB7AA7"/>
    <w:rsid w:val="00AB7E48"/>
    <w:rsid w:val="00AC070D"/>
    <w:rsid w:val="00AC1A14"/>
    <w:rsid w:val="00AC2A94"/>
    <w:rsid w:val="00AC322C"/>
    <w:rsid w:val="00AC33E2"/>
    <w:rsid w:val="00AC3674"/>
    <w:rsid w:val="00AC4423"/>
    <w:rsid w:val="00AC4A20"/>
    <w:rsid w:val="00AC4FEA"/>
    <w:rsid w:val="00AC5213"/>
    <w:rsid w:val="00AC53F3"/>
    <w:rsid w:val="00AC56B3"/>
    <w:rsid w:val="00AC584E"/>
    <w:rsid w:val="00AC5B6E"/>
    <w:rsid w:val="00AC5E1A"/>
    <w:rsid w:val="00AC7B80"/>
    <w:rsid w:val="00AD0A32"/>
    <w:rsid w:val="00AD1442"/>
    <w:rsid w:val="00AD14AB"/>
    <w:rsid w:val="00AD1B73"/>
    <w:rsid w:val="00AD20ED"/>
    <w:rsid w:val="00AD20FA"/>
    <w:rsid w:val="00AD2CBD"/>
    <w:rsid w:val="00AD2DED"/>
    <w:rsid w:val="00AD2F04"/>
    <w:rsid w:val="00AD2FE7"/>
    <w:rsid w:val="00AD30DD"/>
    <w:rsid w:val="00AD3BC2"/>
    <w:rsid w:val="00AD4264"/>
    <w:rsid w:val="00AD4434"/>
    <w:rsid w:val="00AD53AA"/>
    <w:rsid w:val="00AD72BC"/>
    <w:rsid w:val="00AD79BF"/>
    <w:rsid w:val="00AD7C84"/>
    <w:rsid w:val="00AE03CE"/>
    <w:rsid w:val="00AE07E1"/>
    <w:rsid w:val="00AE1170"/>
    <w:rsid w:val="00AE1D52"/>
    <w:rsid w:val="00AE2133"/>
    <w:rsid w:val="00AE43F4"/>
    <w:rsid w:val="00AE4550"/>
    <w:rsid w:val="00AE5099"/>
    <w:rsid w:val="00AE50D3"/>
    <w:rsid w:val="00AE597B"/>
    <w:rsid w:val="00AE5A64"/>
    <w:rsid w:val="00AE606A"/>
    <w:rsid w:val="00AE7312"/>
    <w:rsid w:val="00AF013B"/>
    <w:rsid w:val="00AF0A66"/>
    <w:rsid w:val="00AF0CF8"/>
    <w:rsid w:val="00AF218F"/>
    <w:rsid w:val="00AF262C"/>
    <w:rsid w:val="00AF381C"/>
    <w:rsid w:val="00AF415A"/>
    <w:rsid w:val="00AF4288"/>
    <w:rsid w:val="00AF44F2"/>
    <w:rsid w:val="00AF4950"/>
    <w:rsid w:val="00AF53AB"/>
    <w:rsid w:val="00AF53BA"/>
    <w:rsid w:val="00AF69B4"/>
    <w:rsid w:val="00AF717B"/>
    <w:rsid w:val="00B00415"/>
    <w:rsid w:val="00B00CD0"/>
    <w:rsid w:val="00B00D77"/>
    <w:rsid w:val="00B0117B"/>
    <w:rsid w:val="00B011BD"/>
    <w:rsid w:val="00B01283"/>
    <w:rsid w:val="00B0153C"/>
    <w:rsid w:val="00B02A46"/>
    <w:rsid w:val="00B035B9"/>
    <w:rsid w:val="00B03EBB"/>
    <w:rsid w:val="00B04DD4"/>
    <w:rsid w:val="00B0530B"/>
    <w:rsid w:val="00B05993"/>
    <w:rsid w:val="00B060CD"/>
    <w:rsid w:val="00B0686C"/>
    <w:rsid w:val="00B06E97"/>
    <w:rsid w:val="00B077F2"/>
    <w:rsid w:val="00B102AD"/>
    <w:rsid w:val="00B10681"/>
    <w:rsid w:val="00B10B50"/>
    <w:rsid w:val="00B116D4"/>
    <w:rsid w:val="00B1238A"/>
    <w:rsid w:val="00B134E7"/>
    <w:rsid w:val="00B13A79"/>
    <w:rsid w:val="00B14B59"/>
    <w:rsid w:val="00B14FC0"/>
    <w:rsid w:val="00B159F7"/>
    <w:rsid w:val="00B16524"/>
    <w:rsid w:val="00B165E7"/>
    <w:rsid w:val="00B16E86"/>
    <w:rsid w:val="00B17315"/>
    <w:rsid w:val="00B20364"/>
    <w:rsid w:val="00B20661"/>
    <w:rsid w:val="00B2130C"/>
    <w:rsid w:val="00B215D0"/>
    <w:rsid w:val="00B21EDE"/>
    <w:rsid w:val="00B226A9"/>
    <w:rsid w:val="00B2300D"/>
    <w:rsid w:val="00B230F6"/>
    <w:rsid w:val="00B23139"/>
    <w:rsid w:val="00B232D6"/>
    <w:rsid w:val="00B23368"/>
    <w:rsid w:val="00B23539"/>
    <w:rsid w:val="00B23551"/>
    <w:rsid w:val="00B24DC8"/>
    <w:rsid w:val="00B25335"/>
    <w:rsid w:val="00B2556A"/>
    <w:rsid w:val="00B25FA0"/>
    <w:rsid w:val="00B26391"/>
    <w:rsid w:val="00B26A06"/>
    <w:rsid w:val="00B27AD5"/>
    <w:rsid w:val="00B27F3D"/>
    <w:rsid w:val="00B30E74"/>
    <w:rsid w:val="00B3108F"/>
    <w:rsid w:val="00B3114E"/>
    <w:rsid w:val="00B3148D"/>
    <w:rsid w:val="00B31CC5"/>
    <w:rsid w:val="00B32AD4"/>
    <w:rsid w:val="00B33D79"/>
    <w:rsid w:val="00B33E3B"/>
    <w:rsid w:val="00B33F59"/>
    <w:rsid w:val="00B34483"/>
    <w:rsid w:val="00B34DAE"/>
    <w:rsid w:val="00B359E3"/>
    <w:rsid w:val="00B365CA"/>
    <w:rsid w:val="00B36CA1"/>
    <w:rsid w:val="00B379C8"/>
    <w:rsid w:val="00B40514"/>
    <w:rsid w:val="00B41014"/>
    <w:rsid w:val="00B41534"/>
    <w:rsid w:val="00B4154B"/>
    <w:rsid w:val="00B41784"/>
    <w:rsid w:val="00B42E68"/>
    <w:rsid w:val="00B43910"/>
    <w:rsid w:val="00B4420E"/>
    <w:rsid w:val="00B45669"/>
    <w:rsid w:val="00B46554"/>
    <w:rsid w:val="00B466F0"/>
    <w:rsid w:val="00B467BB"/>
    <w:rsid w:val="00B47E3B"/>
    <w:rsid w:val="00B50892"/>
    <w:rsid w:val="00B511ED"/>
    <w:rsid w:val="00B51602"/>
    <w:rsid w:val="00B51F21"/>
    <w:rsid w:val="00B52540"/>
    <w:rsid w:val="00B53C34"/>
    <w:rsid w:val="00B53F0D"/>
    <w:rsid w:val="00B5455A"/>
    <w:rsid w:val="00B5657A"/>
    <w:rsid w:val="00B56B84"/>
    <w:rsid w:val="00B57961"/>
    <w:rsid w:val="00B57C56"/>
    <w:rsid w:val="00B61614"/>
    <w:rsid w:val="00B61672"/>
    <w:rsid w:val="00B61B8F"/>
    <w:rsid w:val="00B61EEB"/>
    <w:rsid w:val="00B62488"/>
    <w:rsid w:val="00B628A4"/>
    <w:rsid w:val="00B62D2F"/>
    <w:rsid w:val="00B63293"/>
    <w:rsid w:val="00B64774"/>
    <w:rsid w:val="00B64E06"/>
    <w:rsid w:val="00B65CB5"/>
    <w:rsid w:val="00B65D4A"/>
    <w:rsid w:val="00B668FC"/>
    <w:rsid w:val="00B66B65"/>
    <w:rsid w:val="00B70F06"/>
    <w:rsid w:val="00B70FEF"/>
    <w:rsid w:val="00B7145B"/>
    <w:rsid w:val="00B71881"/>
    <w:rsid w:val="00B718FB"/>
    <w:rsid w:val="00B721B5"/>
    <w:rsid w:val="00B72FA4"/>
    <w:rsid w:val="00B7374F"/>
    <w:rsid w:val="00B74500"/>
    <w:rsid w:val="00B74AFB"/>
    <w:rsid w:val="00B7547E"/>
    <w:rsid w:val="00B754EA"/>
    <w:rsid w:val="00B75A04"/>
    <w:rsid w:val="00B7605A"/>
    <w:rsid w:val="00B768AD"/>
    <w:rsid w:val="00B76D77"/>
    <w:rsid w:val="00B7702D"/>
    <w:rsid w:val="00B774E3"/>
    <w:rsid w:val="00B7761D"/>
    <w:rsid w:val="00B77BCD"/>
    <w:rsid w:val="00B77E2A"/>
    <w:rsid w:val="00B8050E"/>
    <w:rsid w:val="00B80BF0"/>
    <w:rsid w:val="00B80E48"/>
    <w:rsid w:val="00B810CD"/>
    <w:rsid w:val="00B81196"/>
    <w:rsid w:val="00B81393"/>
    <w:rsid w:val="00B81607"/>
    <w:rsid w:val="00B81787"/>
    <w:rsid w:val="00B8280A"/>
    <w:rsid w:val="00B83638"/>
    <w:rsid w:val="00B839BC"/>
    <w:rsid w:val="00B84738"/>
    <w:rsid w:val="00B84B83"/>
    <w:rsid w:val="00B8517C"/>
    <w:rsid w:val="00B853F9"/>
    <w:rsid w:val="00B860D7"/>
    <w:rsid w:val="00B86158"/>
    <w:rsid w:val="00B868DC"/>
    <w:rsid w:val="00B92342"/>
    <w:rsid w:val="00B92412"/>
    <w:rsid w:val="00B92971"/>
    <w:rsid w:val="00B92D1A"/>
    <w:rsid w:val="00B93445"/>
    <w:rsid w:val="00B93720"/>
    <w:rsid w:val="00B938AB"/>
    <w:rsid w:val="00B939A1"/>
    <w:rsid w:val="00B93B87"/>
    <w:rsid w:val="00B9431E"/>
    <w:rsid w:val="00B9465D"/>
    <w:rsid w:val="00B9473D"/>
    <w:rsid w:val="00B94881"/>
    <w:rsid w:val="00B9517B"/>
    <w:rsid w:val="00B95517"/>
    <w:rsid w:val="00B95C12"/>
    <w:rsid w:val="00B961F1"/>
    <w:rsid w:val="00B96885"/>
    <w:rsid w:val="00B96C4E"/>
    <w:rsid w:val="00B973E7"/>
    <w:rsid w:val="00B979CC"/>
    <w:rsid w:val="00B97C50"/>
    <w:rsid w:val="00BA0AC7"/>
    <w:rsid w:val="00BA1434"/>
    <w:rsid w:val="00BA3212"/>
    <w:rsid w:val="00BA3B4B"/>
    <w:rsid w:val="00BA40BE"/>
    <w:rsid w:val="00BA467B"/>
    <w:rsid w:val="00BA4D41"/>
    <w:rsid w:val="00BA57F5"/>
    <w:rsid w:val="00BA58BB"/>
    <w:rsid w:val="00BA67FC"/>
    <w:rsid w:val="00BA6B8E"/>
    <w:rsid w:val="00BA70FF"/>
    <w:rsid w:val="00BA711E"/>
    <w:rsid w:val="00BA7285"/>
    <w:rsid w:val="00BA7BE8"/>
    <w:rsid w:val="00BB08F7"/>
    <w:rsid w:val="00BB0BA7"/>
    <w:rsid w:val="00BB0CA1"/>
    <w:rsid w:val="00BB133D"/>
    <w:rsid w:val="00BB1924"/>
    <w:rsid w:val="00BB26EB"/>
    <w:rsid w:val="00BB2C15"/>
    <w:rsid w:val="00BB37AA"/>
    <w:rsid w:val="00BB3C8A"/>
    <w:rsid w:val="00BB4049"/>
    <w:rsid w:val="00BB5E0A"/>
    <w:rsid w:val="00BB7AF7"/>
    <w:rsid w:val="00BC00C1"/>
    <w:rsid w:val="00BC0230"/>
    <w:rsid w:val="00BC0688"/>
    <w:rsid w:val="00BC1478"/>
    <w:rsid w:val="00BC1BFE"/>
    <w:rsid w:val="00BC2264"/>
    <w:rsid w:val="00BC2C3A"/>
    <w:rsid w:val="00BC3982"/>
    <w:rsid w:val="00BC3B6C"/>
    <w:rsid w:val="00BC3CE2"/>
    <w:rsid w:val="00BC3E3B"/>
    <w:rsid w:val="00BC52DE"/>
    <w:rsid w:val="00BC69C6"/>
    <w:rsid w:val="00BC7956"/>
    <w:rsid w:val="00BD0288"/>
    <w:rsid w:val="00BD02E6"/>
    <w:rsid w:val="00BD065D"/>
    <w:rsid w:val="00BD0CF8"/>
    <w:rsid w:val="00BD0DDA"/>
    <w:rsid w:val="00BD1469"/>
    <w:rsid w:val="00BD154F"/>
    <w:rsid w:val="00BD1AFC"/>
    <w:rsid w:val="00BD1E2C"/>
    <w:rsid w:val="00BD1FF6"/>
    <w:rsid w:val="00BD2256"/>
    <w:rsid w:val="00BD24B6"/>
    <w:rsid w:val="00BD3080"/>
    <w:rsid w:val="00BD3124"/>
    <w:rsid w:val="00BD316A"/>
    <w:rsid w:val="00BD33EC"/>
    <w:rsid w:val="00BD3A94"/>
    <w:rsid w:val="00BD4CF5"/>
    <w:rsid w:val="00BD5C38"/>
    <w:rsid w:val="00BD6C08"/>
    <w:rsid w:val="00BD72A6"/>
    <w:rsid w:val="00BD762F"/>
    <w:rsid w:val="00BD7A8E"/>
    <w:rsid w:val="00BD7D70"/>
    <w:rsid w:val="00BE0529"/>
    <w:rsid w:val="00BE09C7"/>
    <w:rsid w:val="00BE12EF"/>
    <w:rsid w:val="00BE1AA5"/>
    <w:rsid w:val="00BE1BBB"/>
    <w:rsid w:val="00BE2ACB"/>
    <w:rsid w:val="00BE3013"/>
    <w:rsid w:val="00BE367D"/>
    <w:rsid w:val="00BE3CB6"/>
    <w:rsid w:val="00BE4035"/>
    <w:rsid w:val="00BE4239"/>
    <w:rsid w:val="00BE4A58"/>
    <w:rsid w:val="00BE4B70"/>
    <w:rsid w:val="00BE4C67"/>
    <w:rsid w:val="00BE5120"/>
    <w:rsid w:val="00BE5756"/>
    <w:rsid w:val="00BE576D"/>
    <w:rsid w:val="00BE59E5"/>
    <w:rsid w:val="00BE64BF"/>
    <w:rsid w:val="00BE654A"/>
    <w:rsid w:val="00BE6653"/>
    <w:rsid w:val="00BE7783"/>
    <w:rsid w:val="00BE7B46"/>
    <w:rsid w:val="00BF02D4"/>
    <w:rsid w:val="00BF0724"/>
    <w:rsid w:val="00BF15B9"/>
    <w:rsid w:val="00BF1896"/>
    <w:rsid w:val="00BF324E"/>
    <w:rsid w:val="00BF329F"/>
    <w:rsid w:val="00BF3D79"/>
    <w:rsid w:val="00BF3DDC"/>
    <w:rsid w:val="00BF4674"/>
    <w:rsid w:val="00BF47B7"/>
    <w:rsid w:val="00BF5020"/>
    <w:rsid w:val="00BF55BA"/>
    <w:rsid w:val="00BF58F2"/>
    <w:rsid w:val="00BF590D"/>
    <w:rsid w:val="00BF63BD"/>
    <w:rsid w:val="00BF6637"/>
    <w:rsid w:val="00BF756C"/>
    <w:rsid w:val="00BF7870"/>
    <w:rsid w:val="00BF794A"/>
    <w:rsid w:val="00BF7E92"/>
    <w:rsid w:val="00C017D4"/>
    <w:rsid w:val="00C023E0"/>
    <w:rsid w:val="00C024DF"/>
    <w:rsid w:val="00C028F9"/>
    <w:rsid w:val="00C02F52"/>
    <w:rsid w:val="00C0308D"/>
    <w:rsid w:val="00C035A7"/>
    <w:rsid w:val="00C0387C"/>
    <w:rsid w:val="00C04A2A"/>
    <w:rsid w:val="00C04FA3"/>
    <w:rsid w:val="00C051F1"/>
    <w:rsid w:val="00C05216"/>
    <w:rsid w:val="00C05754"/>
    <w:rsid w:val="00C0586E"/>
    <w:rsid w:val="00C05C1A"/>
    <w:rsid w:val="00C05F6F"/>
    <w:rsid w:val="00C06021"/>
    <w:rsid w:val="00C06091"/>
    <w:rsid w:val="00C06AFA"/>
    <w:rsid w:val="00C077A9"/>
    <w:rsid w:val="00C10D34"/>
    <w:rsid w:val="00C11612"/>
    <w:rsid w:val="00C11B8C"/>
    <w:rsid w:val="00C12101"/>
    <w:rsid w:val="00C1230F"/>
    <w:rsid w:val="00C12EC3"/>
    <w:rsid w:val="00C13810"/>
    <w:rsid w:val="00C13934"/>
    <w:rsid w:val="00C13B21"/>
    <w:rsid w:val="00C14234"/>
    <w:rsid w:val="00C14C9F"/>
    <w:rsid w:val="00C155CC"/>
    <w:rsid w:val="00C15941"/>
    <w:rsid w:val="00C15A4A"/>
    <w:rsid w:val="00C160D1"/>
    <w:rsid w:val="00C168BD"/>
    <w:rsid w:val="00C16E20"/>
    <w:rsid w:val="00C16F02"/>
    <w:rsid w:val="00C170CD"/>
    <w:rsid w:val="00C2047B"/>
    <w:rsid w:val="00C20A4F"/>
    <w:rsid w:val="00C215BB"/>
    <w:rsid w:val="00C21801"/>
    <w:rsid w:val="00C2304D"/>
    <w:rsid w:val="00C236EB"/>
    <w:rsid w:val="00C23BE9"/>
    <w:rsid w:val="00C24016"/>
    <w:rsid w:val="00C24904"/>
    <w:rsid w:val="00C2541E"/>
    <w:rsid w:val="00C25F86"/>
    <w:rsid w:val="00C2649C"/>
    <w:rsid w:val="00C26623"/>
    <w:rsid w:val="00C26685"/>
    <w:rsid w:val="00C26D74"/>
    <w:rsid w:val="00C2701E"/>
    <w:rsid w:val="00C27850"/>
    <w:rsid w:val="00C30824"/>
    <w:rsid w:val="00C30AA8"/>
    <w:rsid w:val="00C30F87"/>
    <w:rsid w:val="00C31BF8"/>
    <w:rsid w:val="00C3273C"/>
    <w:rsid w:val="00C3307F"/>
    <w:rsid w:val="00C33F77"/>
    <w:rsid w:val="00C348FF"/>
    <w:rsid w:val="00C34CC3"/>
    <w:rsid w:val="00C34F30"/>
    <w:rsid w:val="00C363E7"/>
    <w:rsid w:val="00C3640A"/>
    <w:rsid w:val="00C36F96"/>
    <w:rsid w:val="00C37086"/>
    <w:rsid w:val="00C3796D"/>
    <w:rsid w:val="00C4057F"/>
    <w:rsid w:val="00C40753"/>
    <w:rsid w:val="00C40815"/>
    <w:rsid w:val="00C40B89"/>
    <w:rsid w:val="00C40B90"/>
    <w:rsid w:val="00C41BEB"/>
    <w:rsid w:val="00C427A2"/>
    <w:rsid w:val="00C42E64"/>
    <w:rsid w:val="00C43C61"/>
    <w:rsid w:val="00C441C2"/>
    <w:rsid w:val="00C4421D"/>
    <w:rsid w:val="00C47B24"/>
    <w:rsid w:val="00C50040"/>
    <w:rsid w:val="00C507A3"/>
    <w:rsid w:val="00C5183A"/>
    <w:rsid w:val="00C51B9C"/>
    <w:rsid w:val="00C51BEC"/>
    <w:rsid w:val="00C521AE"/>
    <w:rsid w:val="00C52B13"/>
    <w:rsid w:val="00C53591"/>
    <w:rsid w:val="00C547CC"/>
    <w:rsid w:val="00C54A87"/>
    <w:rsid w:val="00C55428"/>
    <w:rsid w:val="00C55DE1"/>
    <w:rsid w:val="00C56373"/>
    <w:rsid w:val="00C56A7A"/>
    <w:rsid w:val="00C56BC5"/>
    <w:rsid w:val="00C57185"/>
    <w:rsid w:val="00C572FF"/>
    <w:rsid w:val="00C57683"/>
    <w:rsid w:val="00C57991"/>
    <w:rsid w:val="00C60B64"/>
    <w:rsid w:val="00C60D23"/>
    <w:rsid w:val="00C615B8"/>
    <w:rsid w:val="00C61AFD"/>
    <w:rsid w:val="00C62D67"/>
    <w:rsid w:val="00C6356B"/>
    <w:rsid w:val="00C652E2"/>
    <w:rsid w:val="00C653FB"/>
    <w:rsid w:val="00C65CBF"/>
    <w:rsid w:val="00C66375"/>
    <w:rsid w:val="00C667D0"/>
    <w:rsid w:val="00C66AD7"/>
    <w:rsid w:val="00C66E3C"/>
    <w:rsid w:val="00C67EA5"/>
    <w:rsid w:val="00C70107"/>
    <w:rsid w:val="00C70E36"/>
    <w:rsid w:val="00C71279"/>
    <w:rsid w:val="00C71351"/>
    <w:rsid w:val="00C71A08"/>
    <w:rsid w:val="00C72625"/>
    <w:rsid w:val="00C7271D"/>
    <w:rsid w:val="00C72B6C"/>
    <w:rsid w:val="00C73FAB"/>
    <w:rsid w:val="00C747DA"/>
    <w:rsid w:val="00C74CF6"/>
    <w:rsid w:val="00C75A01"/>
    <w:rsid w:val="00C75BCA"/>
    <w:rsid w:val="00C75C66"/>
    <w:rsid w:val="00C75DB6"/>
    <w:rsid w:val="00C76E04"/>
    <w:rsid w:val="00C76FB0"/>
    <w:rsid w:val="00C81278"/>
    <w:rsid w:val="00C81A2C"/>
    <w:rsid w:val="00C82647"/>
    <w:rsid w:val="00C8285E"/>
    <w:rsid w:val="00C82F2D"/>
    <w:rsid w:val="00C83260"/>
    <w:rsid w:val="00C836F0"/>
    <w:rsid w:val="00C8398B"/>
    <w:rsid w:val="00C84318"/>
    <w:rsid w:val="00C856BE"/>
    <w:rsid w:val="00C85F2C"/>
    <w:rsid w:val="00C8734C"/>
    <w:rsid w:val="00C87A9E"/>
    <w:rsid w:val="00C91633"/>
    <w:rsid w:val="00C9382C"/>
    <w:rsid w:val="00C94C71"/>
    <w:rsid w:val="00C94F15"/>
    <w:rsid w:val="00C954BD"/>
    <w:rsid w:val="00C95615"/>
    <w:rsid w:val="00C97517"/>
    <w:rsid w:val="00C97CC0"/>
    <w:rsid w:val="00C97D75"/>
    <w:rsid w:val="00CA0261"/>
    <w:rsid w:val="00CA04BA"/>
    <w:rsid w:val="00CA136D"/>
    <w:rsid w:val="00CA147B"/>
    <w:rsid w:val="00CA1DF5"/>
    <w:rsid w:val="00CA2400"/>
    <w:rsid w:val="00CA24A1"/>
    <w:rsid w:val="00CA2D7A"/>
    <w:rsid w:val="00CA41B5"/>
    <w:rsid w:val="00CA47F5"/>
    <w:rsid w:val="00CA4CA2"/>
    <w:rsid w:val="00CA5103"/>
    <w:rsid w:val="00CA5368"/>
    <w:rsid w:val="00CA6310"/>
    <w:rsid w:val="00CA6FE5"/>
    <w:rsid w:val="00CB0113"/>
    <w:rsid w:val="00CB058C"/>
    <w:rsid w:val="00CB0BE4"/>
    <w:rsid w:val="00CB0DD0"/>
    <w:rsid w:val="00CB121D"/>
    <w:rsid w:val="00CB14A4"/>
    <w:rsid w:val="00CB2CCA"/>
    <w:rsid w:val="00CB30D0"/>
    <w:rsid w:val="00CB3502"/>
    <w:rsid w:val="00CB37A5"/>
    <w:rsid w:val="00CB3C01"/>
    <w:rsid w:val="00CB3EBC"/>
    <w:rsid w:val="00CB44B7"/>
    <w:rsid w:val="00CB493B"/>
    <w:rsid w:val="00CB4EC9"/>
    <w:rsid w:val="00CB5187"/>
    <w:rsid w:val="00CB5256"/>
    <w:rsid w:val="00CB570A"/>
    <w:rsid w:val="00CB679C"/>
    <w:rsid w:val="00CB6A84"/>
    <w:rsid w:val="00CB6A85"/>
    <w:rsid w:val="00CB7121"/>
    <w:rsid w:val="00CB7364"/>
    <w:rsid w:val="00CB768E"/>
    <w:rsid w:val="00CB7B4A"/>
    <w:rsid w:val="00CB7C4A"/>
    <w:rsid w:val="00CB7ECC"/>
    <w:rsid w:val="00CC0B1E"/>
    <w:rsid w:val="00CC0C76"/>
    <w:rsid w:val="00CC1475"/>
    <w:rsid w:val="00CC1DED"/>
    <w:rsid w:val="00CC319E"/>
    <w:rsid w:val="00CC340A"/>
    <w:rsid w:val="00CC36E9"/>
    <w:rsid w:val="00CC597B"/>
    <w:rsid w:val="00CC5AA0"/>
    <w:rsid w:val="00CC669A"/>
    <w:rsid w:val="00CC75B6"/>
    <w:rsid w:val="00CC779B"/>
    <w:rsid w:val="00CD28B2"/>
    <w:rsid w:val="00CD2DD0"/>
    <w:rsid w:val="00CD33EE"/>
    <w:rsid w:val="00CD3776"/>
    <w:rsid w:val="00CD4D65"/>
    <w:rsid w:val="00CD5120"/>
    <w:rsid w:val="00CD55B1"/>
    <w:rsid w:val="00CD648D"/>
    <w:rsid w:val="00CD6B80"/>
    <w:rsid w:val="00CD7616"/>
    <w:rsid w:val="00CD775A"/>
    <w:rsid w:val="00CE01B5"/>
    <w:rsid w:val="00CE021F"/>
    <w:rsid w:val="00CE0765"/>
    <w:rsid w:val="00CE0959"/>
    <w:rsid w:val="00CE0B98"/>
    <w:rsid w:val="00CE2312"/>
    <w:rsid w:val="00CE336E"/>
    <w:rsid w:val="00CE384F"/>
    <w:rsid w:val="00CE3CDF"/>
    <w:rsid w:val="00CE3D08"/>
    <w:rsid w:val="00CE3E07"/>
    <w:rsid w:val="00CE455E"/>
    <w:rsid w:val="00CE68A3"/>
    <w:rsid w:val="00CE79A8"/>
    <w:rsid w:val="00CE7E34"/>
    <w:rsid w:val="00CF0639"/>
    <w:rsid w:val="00CF0AE5"/>
    <w:rsid w:val="00CF12B7"/>
    <w:rsid w:val="00CF14A0"/>
    <w:rsid w:val="00CF19DF"/>
    <w:rsid w:val="00CF1F8D"/>
    <w:rsid w:val="00CF2172"/>
    <w:rsid w:val="00CF25F6"/>
    <w:rsid w:val="00CF2BBB"/>
    <w:rsid w:val="00CF366B"/>
    <w:rsid w:val="00CF3B6C"/>
    <w:rsid w:val="00CF4810"/>
    <w:rsid w:val="00CF4D38"/>
    <w:rsid w:val="00CF4F1F"/>
    <w:rsid w:val="00CF4F47"/>
    <w:rsid w:val="00CF5030"/>
    <w:rsid w:val="00CF6A40"/>
    <w:rsid w:val="00CF6ED0"/>
    <w:rsid w:val="00CF7193"/>
    <w:rsid w:val="00D00511"/>
    <w:rsid w:val="00D005B4"/>
    <w:rsid w:val="00D00784"/>
    <w:rsid w:val="00D00BC5"/>
    <w:rsid w:val="00D00D4D"/>
    <w:rsid w:val="00D01549"/>
    <w:rsid w:val="00D019EA"/>
    <w:rsid w:val="00D01AD1"/>
    <w:rsid w:val="00D02277"/>
    <w:rsid w:val="00D022F4"/>
    <w:rsid w:val="00D02BB4"/>
    <w:rsid w:val="00D03128"/>
    <w:rsid w:val="00D033C8"/>
    <w:rsid w:val="00D03B43"/>
    <w:rsid w:val="00D03C14"/>
    <w:rsid w:val="00D046B2"/>
    <w:rsid w:val="00D04B2D"/>
    <w:rsid w:val="00D04C84"/>
    <w:rsid w:val="00D052B0"/>
    <w:rsid w:val="00D053AF"/>
    <w:rsid w:val="00D058FD"/>
    <w:rsid w:val="00D05F86"/>
    <w:rsid w:val="00D06433"/>
    <w:rsid w:val="00D070BE"/>
    <w:rsid w:val="00D07169"/>
    <w:rsid w:val="00D07583"/>
    <w:rsid w:val="00D0769F"/>
    <w:rsid w:val="00D07C40"/>
    <w:rsid w:val="00D102A5"/>
    <w:rsid w:val="00D109FA"/>
    <w:rsid w:val="00D10F4D"/>
    <w:rsid w:val="00D10F85"/>
    <w:rsid w:val="00D111EF"/>
    <w:rsid w:val="00D11712"/>
    <w:rsid w:val="00D11EC0"/>
    <w:rsid w:val="00D120D2"/>
    <w:rsid w:val="00D13294"/>
    <w:rsid w:val="00D13A91"/>
    <w:rsid w:val="00D13CB3"/>
    <w:rsid w:val="00D14D12"/>
    <w:rsid w:val="00D171C8"/>
    <w:rsid w:val="00D20137"/>
    <w:rsid w:val="00D208E6"/>
    <w:rsid w:val="00D2190E"/>
    <w:rsid w:val="00D21A55"/>
    <w:rsid w:val="00D22651"/>
    <w:rsid w:val="00D23AD0"/>
    <w:rsid w:val="00D23B0A"/>
    <w:rsid w:val="00D23E23"/>
    <w:rsid w:val="00D24239"/>
    <w:rsid w:val="00D24BAF"/>
    <w:rsid w:val="00D24C26"/>
    <w:rsid w:val="00D255C6"/>
    <w:rsid w:val="00D2620A"/>
    <w:rsid w:val="00D27091"/>
    <w:rsid w:val="00D277EE"/>
    <w:rsid w:val="00D27D59"/>
    <w:rsid w:val="00D309DD"/>
    <w:rsid w:val="00D30C66"/>
    <w:rsid w:val="00D30ECB"/>
    <w:rsid w:val="00D31163"/>
    <w:rsid w:val="00D31D60"/>
    <w:rsid w:val="00D3238A"/>
    <w:rsid w:val="00D3330C"/>
    <w:rsid w:val="00D3330E"/>
    <w:rsid w:val="00D3349D"/>
    <w:rsid w:val="00D33682"/>
    <w:rsid w:val="00D34598"/>
    <w:rsid w:val="00D3511A"/>
    <w:rsid w:val="00D35572"/>
    <w:rsid w:val="00D35F28"/>
    <w:rsid w:val="00D36458"/>
    <w:rsid w:val="00D3672A"/>
    <w:rsid w:val="00D368A2"/>
    <w:rsid w:val="00D368FF"/>
    <w:rsid w:val="00D369D2"/>
    <w:rsid w:val="00D36D8E"/>
    <w:rsid w:val="00D374D1"/>
    <w:rsid w:val="00D37596"/>
    <w:rsid w:val="00D37899"/>
    <w:rsid w:val="00D37FCE"/>
    <w:rsid w:val="00D40238"/>
    <w:rsid w:val="00D40D79"/>
    <w:rsid w:val="00D4117C"/>
    <w:rsid w:val="00D41258"/>
    <w:rsid w:val="00D43430"/>
    <w:rsid w:val="00D439C3"/>
    <w:rsid w:val="00D449C6"/>
    <w:rsid w:val="00D44A3B"/>
    <w:rsid w:val="00D451A0"/>
    <w:rsid w:val="00D451C2"/>
    <w:rsid w:val="00D45385"/>
    <w:rsid w:val="00D45C34"/>
    <w:rsid w:val="00D4777F"/>
    <w:rsid w:val="00D478D3"/>
    <w:rsid w:val="00D5062B"/>
    <w:rsid w:val="00D50B46"/>
    <w:rsid w:val="00D51867"/>
    <w:rsid w:val="00D519DD"/>
    <w:rsid w:val="00D51AD4"/>
    <w:rsid w:val="00D53414"/>
    <w:rsid w:val="00D54B76"/>
    <w:rsid w:val="00D54E08"/>
    <w:rsid w:val="00D5508A"/>
    <w:rsid w:val="00D55828"/>
    <w:rsid w:val="00D55C1D"/>
    <w:rsid w:val="00D56305"/>
    <w:rsid w:val="00D566F1"/>
    <w:rsid w:val="00D57388"/>
    <w:rsid w:val="00D61A0D"/>
    <w:rsid w:val="00D63F0E"/>
    <w:rsid w:val="00D63F45"/>
    <w:rsid w:val="00D64048"/>
    <w:rsid w:val="00D645A6"/>
    <w:rsid w:val="00D64E9D"/>
    <w:rsid w:val="00D65A11"/>
    <w:rsid w:val="00D65B91"/>
    <w:rsid w:val="00D662C7"/>
    <w:rsid w:val="00D66CD5"/>
    <w:rsid w:val="00D67145"/>
    <w:rsid w:val="00D70FF2"/>
    <w:rsid w:val="00D7160F"/>
    <w:rsid w:val="00D7197E"/>
    <w:rsid w:val="00D726FD"/>
    <w:rsid w:val="00D72C26"/>
    <w:rsid w:val="00D73288"/>
    <w:rsid w:val="00D73686"/>
    <w:rsid w:val="00D7371E"/>
    <w:rsid w:val="00D741DB"/>
    <w:rsid w:val="00D742A0"/>
    <w:rsid w:val="00D74E88"/>
    <w:rsid w:val="00D75216"/>
    <w:rsid w:val="00D756A7"/>
    <w:rsid w:val="00D75D33"/>
    <w:rsid w:val="00D75E56"/>
    <w:rsid w:val="00D763AE"/>
    <w:rsid w:val="00D76CD8"/>
    <w:rsid w:val="00D76F2E"/>
    <w:rsid w:val="00D77919"/>
    <w:rsid w:val="00D779D4"/>
    <w:rsid w:val="00D8158C"/>
    <w:rsid w:val="00D8359E"/>
    <w:rsid w:val="00D85096"/>
    <w:rsid w:val="00D857FE"/>
    <w:rsid w:val="00D86F69"/>
    <w:rsid w:val="00D86F82"/>
    <w:rsid w:val="00D87458"/>
    <w:rsid w:val="00D901F7"/>
    <w:rsid w:val="00D90311"/>
    <w:rsid w:val="00D907F2"/>
    <w:rsid w:val="00D913F3"/>
    <w:rsid w:val="00D915FF"/>
    <w:rsid w:val="00D91CC6"/>
    <w:rsid w:val="00D92BBF"/>
    <w:rsid w:val="00D933F6"/>
    <w:rsid w:val="00D93F68"/>
    <w:rsid w:val="00D94010"/>
    <w:rsid w:val="00D948C4"/>
    <w:rsid w:val="00D94E85"/>
    <w:rsid w:val="00D962CF"/>
    <w:rsid w:val="00D9652E"/>
    <w:rsid w:val="00D96531"/>
    <w:rsid w:val="00D96E0B"/>
    <w:rsid w:val="00D97CEB"/>
    <w:rsid w:val="00DA0A11"/>
    <w:rsid w:val="00DA0F56"/>
    <w:rsid w:val="00DA26B3"/>
    <w:rsid w:val="00DA2FCF"/>
    <w:rsid w:val="00DA3113"/>
    <w:rsid w:val="00DA3199"/>
    <w:rsid w:val="00DA38EC"/>
    <w:rsid w:val="00DA3AAC"/>
    <w:rsid w:val="00DA3F40"/>
    <w:rsid w:val="00DA435A"/>
    <w:rsid w:val="00DA43EB"/>
    <w:rsid w:val="00DA465F"/>
    <w:rsid w:val="00DA4823"/>
    <w:rsid w:val="00DA4E2E"/>
    <w:rsid w:val="00DA518C"/>
    <w:rsid w:val="00DA5B16"/>
    <w:rsid w:val="00DA654C"/>
    <w:rsid w:val="00DA77DE"/>
    <w:rsid w:val="00DA7C18"/>
    <w:rsid w:val="00DB0A0F"/>
    <w:rsid w:val="00DB2AEF"/>
    <w:rsid w:val="00DB2B51"/>
    <w:rsid w:val="00DB341C"/>
    <w:rsid w:val="00DB4525"/>
    <w:rsid w:val="00DB47A5"/>
    <w:rsid w:val="00DB4D17"/>
    <w:rsid w:val="00DB55E1"/>
    <w:rsid w:val="00DB5EDA"/>
    <w:rsid w:val="00DB7CED"/>
    <w:rsid w:val="00DC09FC"/>
    <w:rsid w:val="00DC102C"/>
    <w:rsid w:val="00DC1EC8"/>
    <w:rsid w:val="00DC2E18"/>
    <w:rsid w:val="00DC2FA0"/>
    <w:rsid w:val="00DC30FE"/>
    <w:rsid w:val="00DC3512"/>
    <w:rsid w:val="00DC385E"/>
    <w:rsid w:val="00DC3EC8"/>
    <w:rsid w:val="00DC4068"/>
    <w:rsid w:val="00DC4145"/>
    <w:rsid w:val="00DC493B"/>
    <w:rsid w:val="00DC759F"/>
    <w:rsid w:val="00DD0B51"/>
    <w:rsid w:val="00DD0BE6"/>
    <w:rsid w:val="00DD1707"/>
    <w:rsid w:val="00DD1C59"/>
    <w:rsid w:val="00DD23B0"/>
    <w:rsid w:val="00DD2FD9"/>
    <w:rsid w:val="00DD3272"/>
    <w:rsid w:val="00DD3467"/>
    <w:rsid w:val="00DD45B5"/>
    <w:rsid w:val="00DD474F"/>
    <w:rsid w:val="00DD4A1A"/>
    <w:rsid w:val="00DD52FC"/>
    <w:rsid w:val="00DD5516"/>
    <w:rsid w:val="00DD5C3A"/>
    <w:rsid w:val="00DD64C8"/>
    <w:rsid w:val="00DD674D"/>
    <w:rsid w:val="00DD701C"/>
    <w:rsid w:val="00DD7DA4"/>
    <w:rsid w:val="00DE017D"/>
    <w:rsid w:val="00DE0CC3"/>
    <w:rsid w:val="00DE0F83"/>
    <w:rsid w:val="00DE2C73"/>
    <w:rsid w:val="00DE3136"/>
    <w:rsid w:val="00DE39F4"/>
    <w:rsid w:val="00DE39F8"/>
    <w:rsid w:val="00DE3A27"/>
    <w:rsid w:val="00DE3A6B"/>
    <w:rsid w:val="00DE3C7D"/>
    <w:rsid w:val="00DE4965"/>
    <w:rsid w:val="00DE4EA8"/>
    <w:rsid w:val="00DE50FD"/>
    <w:rsid w:val="00DE5854"/>
    <w:rsid w:val="00DE587D"/>
    <w:rsid w:val="00DE6805"/>
    <w:rsid w:val="00DE7807"/>
    <w:rsid w:val="00DE7C25"/>
    <w:rsid w:val="00DF0D0A"/>
    <w:rsid w:val="00DF1211"/>
    <w:rsid w:val="00DF1385"/>
    <w:rsid w:val="00DF1FB9"/>
    <w:rsid w:val="00DF2469"/>
    <w:rsid w:val="00DF2EB3"/>
    <w:rsid w:val="00DF316E"/>
    <w:rsid w:val="00DF3626"/>
    <w:rsid w:val="00DF3FC2"/>
    <w:rsid w:val="00DF58E5"/>
    <w:rsid w:val="00DF7634"/>
    <w:rsid w:val="00DF79E1"/>
    <w:rsid w:val="00E000D0"/>
    <w:rsid w:val="00E00F2E"/>
    <w:rsid w:val="00E01525"/>
    <w:rsid w:val="00E0160E"/>
    <w:rsid w:val="00E0186E"/>
    <w:rsid w:val="00E01FE1"/>
    <w:rsid w:val="00E024B2"/>
    <w:rsid w:val="00E025CC"/>
    <w:rsid w:val="00E02FCC"/>
    <w:rsid w:val="00E03063"/>
    <w:rsid w:val="00E036B3"/>
    <w:rsid w:val="00E03797"/>
    <w:rsid w:val="00E057EA"/>
    <w:rsid w:val="00E05BBB"/>
    <w:rsid w:val="00E06FAA"/>
    <w:rsid w:val="00E07AA2"/>
    <w:rsid w:val="00E1015B"/>
    <w:rsid w:val="00E106AE"/>
    <w:rsid w:val="00E10723"/>
    <w:rsid w:val="00E10E5A"/>
    <w:rsid w:val="00E11A5C"/>
    <w:rsid w:val="00E1223A"/>
    <w:rsid w:val="00E122A9"/>
    <w:rsid w:val="00E12ABE"/>
    <w:rsid w:val="00E1415F"/>
    <w:rsid w:val="00E15683"/>
    <w:rsid w:val="00E1603D"/>
    <w:rsid w:val="00E171AC"/>
    <w:rsid w:val="00E1784D"/>
    <w:rsid w:val="00E20A95"/>
    <w:rsid w:val="00E20E02"/>
    <w:rsid w:val="00E21BD1"/>
    <w:rsid w:val="00E2282E"/>
    <w:rsid w:val="00E2294D"/>
    <w:rsid w:val="00E2297A"/>
    <w:rsid w:val="00E229C1"/>
    <w:rsid w:val="00E22C09"/>
    <w:rsid w:val="00E2339C"/>
    <w:rsid w:val="00E238C8"/>
    <w:rsid w:val="00E239E9"/>
    <w:rsid w:val="00E23FAE"/>
    <w:rsid w:val="00E26416"/>
    <w:rsid w:val="00E2796A"/>
    <w:rsid w:val="00E30003"/>
    <w:rsid w:val="00E31053"/>
    <w:rsid w:val="00E313CE"/>
    <w:rsid w:val="00E31F09"/>
    <w:rsid w:val="00E320DB"/>
    <w:rsid w:val="00E32733"/>
    <w:rsid w:val="00E32DB0"/>
    <w:rsid w:val="00E331D5"/>
    <w:rsid w:val="00E33AB2"/>
    <w:rsid w:val="00E33E69"/>
    <w:rsid w:val="00E3493A"/>
    <w:rsid w:val="00E3497F"/>
    <w:rsid w:val="00E34E6A"/>
    <w:rsid w:val="00E34F1E"/>
    <w:rsid w:val="00E35F0A"/>
    <w:rsid w:val="00E36245"/>
    <w:rsid w:val="00E363CF"/>
    <w:rsid w:val="00E36D49"/>
    <w:rsid w:val="00E36E14"/>
    <w:rsid w:val="00E408E9"/>
    <w:rsid w:val="00E418F1"/>
    <w:rsid w:val="00E41C29"/>
    <w:rsid w:val="00E4238A"/>
    <w:rsid w:val="00E423EE"/>
    <w:rsid w:val="00E4324D"/>
    <w:rsid w:val="00E43812"/>
    <w:rsid w:val="00E4443F"/>
    <w:rsid w:val="00E44935"/>
    <w:rsid w:val="00E4579A"/>
    <w:rsid w:val="00E46771"/>
    <w:rsid w:val="00E46E0B"/>
    <w:rsid w:val="00E471ED"/>
    <w:rsid w:val="00E478DA"/>
    <w:rsid w:val="00E479FF"/>
    <w:rsid w:val="00E5076A"/>
    <w:rsid w:val="00E50E1F"/>
    <w:rsid w:val="00E52538"/>
    <w:rsid w:val="00E528AD"/>
    <w:rsid w:val="00E52A22"/>
    <w:rsid w:val="00E53041"/>
    <w:rsid w:val="00E535C2"/>
    <w:rsid w:val="00E53728"/>
    <w:rsid w:val="00E53914"/>
    <w:rsid w:val="00E540D5"/>
    <w:rsid w:val="00E54A4F"/>
    <w:rsid w:val="00E564BC"/>
    <w:rsid w:val="00E5696B"/>
    <w:rsid w:val="00E60221"/>
    <w:rsid w:val="00E6098E"/>
    <w:rsid w:val="00E60A5A"/>
    <w:rsid w:val="00E61389"/>
    <w:rsid w:val="00E61780"/>
    <w:rsid w:val="00E6301A"/>
    <w:rsid w:val="00E649E1"/>
    <w:rsid w:val="00E65663"/>
    <w:rsid w:val="00E661DB"/>
    <w:rsid w:val="00E66781"/>
    <w:rsid w:val="00E66C88"/>
    <w:rsid w:val="00E67BA3"/>
    <w:rsid w:val="00E67D73"/>
    <w:rsid w:val="00E67D7A"/>
    <w:rsid w:val="00E71086"/>
    <w:rsid w:val="00E71B32"/>
    <w:rsid w:val="00E72079"/>
    <w:rsid w:val="00E72E8F"/>
    <w:rsid w:val="00E72F98"/>
    <w:rsid w:val="00E736AA"/>
    <w:rsid w:val="00E7391F"/>
    <w:rsid w:val="00E745BB"/>
    <w:rsid w:val="00E75BEC"/>
    <w:rsid w:val="00E7632F"/>
    <w:rsid w:val="00E767E3"/>
    <w:rsid w:val="00E777A5"/>
    <w:rsid w:val="00E77BF3"/>
    <w:rsid w:val="00E77E32"/>
    <w:rsid w:val="00E800B4"/>
    <w:rsid w:val="00E809C8"/>
    <w:rsid w:val="00E80EE9"/>
    <w:rsid w:val="00E8173D"/>
    <w:rsid w:val="00E81907"/>
    <w:rsid w:val="00E81B11"/>
    <w:rsid w:val="00E825D5"/>
    <w:rsid w:val="00E82FC8"/>
    <w:rsid w:val="00E8339E"/>
    <w:rsid w:val="00E834BF"/>
    <w:rsid w:val="00E83987"/>
    <w:rsid w:val="00E84CC4"/>
    <w:rsid w:val="00E87BD5"/>
    <w:rsid w:val="00E87C5D"/>
    <w:rsid w:val="00E90B12"/>
    <w:rsid w:val="00E91E57"/>
    <w:rsid w:val="00E921EF"/>
    <w:rsid w:val="00E92BF5"/>
    <w:rsid w:val="00E95897"/>
    <w:rsid w:val="00E95C12"/>
    <w:rsid w:val="00E95DDA"/>
    <w:rsid w:val="00E972A2"/>
    <w:rsid w:val="00EA0243"/>
    <w:rsid w:val="00EA03AA"/>
    <w:rsid w:val="00EA0837"/>
    <w:rsid w:val="00EA12EA"/>
    <w:rsid w:val="00EA141E"/>
    <w:rsid w:val="00EA1B41"/>
    <w:rsid w:val="00EA1DF6"/>
    <w:rsid w:val="00EA2134"/>
    <w:rsid w:val="00EA23AC"/>
    <w:rsid w:val="00EA2B29"/>
    <w:rsid w:val="00EA2BF9"/>
    <w:rsid w:val="00EA2C90"/>
    <w:rsid w:val="00EA35FC"/>
    <w:rsid w:val="00EA3942"/>
    <w:rsid w:val="00EA3F5C"/>
    <w:rsid w:val="00EA5A78"/>
    <w:rsid w:val="00EA5DE5"/>
    <w:rsid w:val="00EA71D3"/>
    <w:rsid w:val="00EA7791"/>
    <w:rsid w:val="00EB051D"/>
    <w:rsid w:val="00EB1072"/>
    <w:rsid w:val="00EB1A14"/>
    <w:rsid w:val="00EB2610"/>
    <w:rsid w:val="00EB2A87"/>
    <w:rsid w:val="00EB2D92"/>
    <w:rsid w:val="00EB3229"/>
    <w:rsid w:val="00EB341F"/>
    <w:rsid w:val="00EB43C4"/>
    <w:rsid w:val="00EB5C2A"/>
    <w:rsid w:val="00EB686E"/>
    <w:rsid w:val="00EB6974"/>
    <w:rsid w:val="00EB6D6E"/>
    <w:rsid w:val="00EB7570"/>
    <w:rsid w:val="00EB76BD"/>
    <w:rsid w:val="00EC05A9"/>
    <w:rsid w:val="00EC07EF"/>
    <w:rsid w:val="00EC2103"/>
    <w:rsid w:val="00EC27C8"/>
    <w:rsid w:val="00EC2BE5"/>
    <w:rsid w:val="00EC2CCA"/>
    <w:rsid w:val="00EC2E57"/>
    <w:rsid w:val="00EC2E71"/>
    <w:rsid w:val="00EC4BC3"/>
    <w:rsid w:val="00EC4D53"/>
    <w:rsid w:val="00EC5347"/>
    <w:rsid w:val="00EC5FAC"/>
    <w:rsid w:val="00EC6B91"/>
    <w:rsid w:val="00EC7652"/>
    <w:rsid w:val="00EC766D"/>
    <w:rsid w:val="00EC7835"/>
    <w:rsid w:val="00ED05EB"/>
    <w:rsid w:val="00ED0D53"/>
    <w:rsid w:val="00ED0ED2"/>
    <w:rsid w:val="00ED25BD"/>
    <w:rsid w:val="00ED3605"/>
    <w:rsid w:val="00ED3CE8"/>
    <w:rsid w:val="00ED47E4"/>
    <w:rsid w:val="00ED4B01"/>
    <w:rsid w:val="00ED5511"/>
    <w:rsid w:val="00ED58AD"/>
    <w:rsid w:val="00ED5E13"/>
    <w:rsid w:val="00ED6524"/>
    <w:rsid w:val="00ED6A91"/>
    <w:rsid w:val="00ED6C71"/>
    <w:rsid w:val="00ED71AE"/>
    <w:rsid w:val="00ED73A4"/>
    <w:rsid w:val="00ED7D8F"/>
    <w:rsid w:val="00EE1A53"/>
    <w:rsid w:val="00EE1BEE"/>
    <w:rsid w:val="00EE22A7"/>
    <w:rsid w:val="00EE3627"/>
    <w:rsid w:val="00EE4D2B"/>
    <w:rsid w:val="00EE559E"/>
    <w:rsid w:val="00EE5D97"/>
    <w:rsid w:val="00EE5DE3"/>
    <w:rsid w:val="00EE6288"/>
    <w:rsid w:val="00EE66AD"/>
    <w:rsid w:val="00EE66D4"/>
    <w:rsid w:val="00EE6B64"/>
    <w:rsid w:val="00EE6C36"/>
    <w:rsid w:val="00EE6F5D"/>
    <w:rsid w:val="00EE725D"/>
    <w:rsid w:val="00EF00D3"/>
    <w:rsid w:val="00EF0280"/>
    <w:rsid w:val="00EF12CC"/>
    <w:rsid w:val="00EF1613"/>
    <w:rsid w:val="00EF2355"/>
    <w:rsid w:val="00EF3011"/>
    <w:rsid w:val="00EF3786"/>
    <w:rsid w:val="00EF3793"/>
    <w:rsid w:val="00EF3BE1"/>
    <w:rsid w:val="00EF41A1"/>
    <w:rsid w:val="00EF4351"/>
    <w:rsid w:val="00EF4927"/>
    <w:rsid w:val="00EF4B23"/>
    <w:rsid w:val="00EF5363"/>
    <w:rsid w:val="00EF5387"/>
    <w:rsid w:val="00EF59F2"/>
    <w:rsid w:val="00EF622F"/>
    <w:rsid w:val="00EF6E4E"/>
    <w:rsid w:val="00EF713B"/>
    <w:rsid w:val="00EF780A"/>
    <w:rsid w:val="00EF7B3E"/>
    <w:rsid w:val="00F0026E"/>
    <w:rsid w:val="00F0069B"/>
    <w:rsid w:val="00F01D44"/>
    <w:rsid w:val="00F01F24"/>
    <w:rsid w:val="00F02BF0"/>
    <w:rsid w:val="00F03C49"/>
    <w:rsid w:val="00F03F33"/>
    <w:rsid w:val="00F0432C"/>
    <w:rsid w:val="00F04516"/>
    <w:rsid w:val="00F07A6D"/>
    <w:rsid w:val="00F1097C"/>
    <w:rsid w:val="00F121F0"/>
    <w:rsid w:val="00F123F4"/>
    <w:rsid w:val="00F12F63"/>
    <w:rsid w:val="00F1310D"/>
    <w:rsid w:val="00F13971"/>
    <w:rsid w:val="00F14133"/>
    <w:rsid w:val="00F144D6"/>
    <w:rsid w:val="00F14C5F"/>
    <w:rsid w:val="00F14FC4"/>
    <w:rsid w:val="00F1511E"/>
    <w:rsid w:val="00F15860"/>
    <w:rsid w:val="00F15A42"/>
    <w:rsid w:val="00F15DA5"/>
    <w:rsid w:val="00F16108"/>
    <w:rsid w:val="00F16136"/>
    <w:rsid w:val="00F16D91"/>
    <w:rsid w:val="00F1705F"/>
    <w:rsid w:val="00F173F4"/>
    <w:rsid w:val="00F201FD"/>
    <w:rsid w:val="00F2085A"/>
    <w:rsid w:val="00F2166C"/>
    <w:rsid w:val="00F2199B"/>
    <w:rsid w:val="00F2227C"/>
    <w:rsid w:val="00F23548"/>
    <w:rsid w:val="00F2359A"/>
    <w:rsid w:val="00F2404C"/>
    <w:rsid w:val="00F2429E"/>
    <w:rsid w:val="00F25371"/>
    <w:rsid w:val="00F25545"/>
    <w:rsid w:val="00F26340"/>
    <w:rsid w:val="00F265B9"/>
    <w:rsid w:val="00F266AA"/>
    <w:rsid w:val="00F2685A"/>
    <w:rsid w:val="00F2701E"/>
    <w:rsid w:val="00F27557"/>
    <w:rsid w:val="00F27661"/>
    <w:rsid w:val="00F27FFD"/>
    <w:rsid w:val="00F3079C"/>
    <w:rsid w:val="00F3223F"/>
    <w:rsid w:val="00F3267F"/>
    <w:rsid w:val="00F33779"/>
    <w:rsid w:val="00F33B9C"/>
    <w:rsid w:val="00F340F6"/>
    <w:rsid w:val="00F34129"/>
    <w:rsid w:val="00F3424C"/>
    <w:rsid w:val="00F354AA"/>
    <w:rsid w:val="00F3604D"/>
    <w:rsid w:val="00F3659C"/>
    <w:rsid w:val="00F37037"/>
    <w:rsid w:val="00F373AE"/>
    <w:rsid w:val="00F3771F"/>
    <w:rsid w:val="00F37869"/>
    <w:rsid w:val="00F37A08"/>
    <w:rsid w:val="00F37BB9"/>
    <w:rsid w:val="00F406EC"/>
    <w:rsid w:val="00F40B80"/>
    <w:rsid w:val="00F41B49"/>
    <w:rsid w:val="00F423F0"/>
    <w:rsid w:val="00F42726"/>
    <w:rsid w:val="00F42C78"/>
    <w:rsid w:val="00F43C32"/>
    <w:rsid w:val="00F44601"/>
    <w:rsid w:val="00F453B6"/>
    <w:rsid w:val="00F4568C"/>
    <w:rsid w:val="00F45854"/>
    <w:rsid w:val="00F45D0C"/>
    <w:rsid w:val="00F468F2"/>
    <w:rsid w:val="00F4697F"/>
    <w:rsid w:val="00F46B56"/>
    <w:rsid w:val="00F46D54"/>
    <w:rsid w:val="00F50DC4"/>
    <w:rsid w:val="00F524C0"/>
    <w:rsid w:val="00F52A72"/>
    <w:rsid w:val="00F53548"/>
    <w:rsid w:val="00F548BE"/>
    <w:rsid w:val="00F5528F"/>
    <w:rsid w:val="00F567D9"/>
    <w:rsid w:val="00F568B3"/>
    <w:rsid w:val="00F568CD"/>
    <w:rsid w:val="00F569C2"/>
    <w:rsid w:val="00F56AE4"/>
    <w:rsid w:val="00F57C62"/>
    <w:rsid w:val="00F57FC5"/>
    <w:rsid w:val="00F6000C"/>
    <w:rsid w:val="00F61269"/>
    <w:rsid w:val="00F61EFA"/>
    <w:rsid w:val="00F62DFC"/>
    <w:rsid w:val="00F62F58"/>
    <w:rsid w:val="00F6362F"/>
    <w:rsid w:val="00F6381A"/>
    <w:rsid w:val="00F64983"/>
    <w:rsid w:val="00F65403"/>
    <w:rsid w:val="00F658BB"/>
    <w:rsid w:val="00F6598F"/>
    <w:rsid w:val="00F65FF3"/>
    <w:rsid w:val="00F66292"/>
    <w:rsid w:val="00F6694F"/>
    <w:rsid w:val="00F67026"/>
    <w:rsid w:val="00F70012"/>
    <w:rsid w:val="00F702ED"/>
    <w:rsid w:val="00F7048F"/>
    <w:rsid w:val="00F70A5D"/>
    <w:rsid w:val="00F70D04"/>
    <w:rsid w:val="00F71756"/>
    <w:rsid w:val="00F717ED"/>
    <w:rsid w:val="00F722AD"/>
    <w:rsid w:val="00F72E37"/>
    <w:rsid w:val="00F72ED6"/>
    <w:rsid w:val="00F72EDE"/>
    <w:rsid w:val="00F73F4D"/>
    <w:rsid w:val="00F748DB"/>
    <w:rsid w:val="00F7494B"/>
    <w:rsid w:val="00F74B62"/>
    <w:rsid w:val="00F74E67"/>
    <w:rsid w:val="00F75BD6"/>
    <w:rsid w:val="00F76257"/>
    <w:rsid w:val="00F765FF"/>
    <w:rsid w:val="00F76B38"/>
    <w:rsid w:val="00F76DA5"/>
    <w:rsid w:val="00F76F1C"/>
    <w:rsid w:val="00F76FC2"/>
    <w:rsid w:val="00F770EF"/>
    <w:rsid w:val="00F775E1"/>
    <w:rsid w:val="00F77672"/>
    <w:rsid w:val="00F7791F"/>
    <w:rsid w:val="00F77BDA"/>
    <w:rsid w:val="00F77EC2"/>
    <w:rsid w:val="00F808A8"/>
    <w:rsid w:val="00F80E09"/>
    <w:rsid w:val="00F812FC"/>
    <w:rsid w:val="00F81687"/>
    <w:rsid w:val="00F81CE3"/>
    <w:rsid w:val="00F81D23"/>
    <w:rsid w:val="00F82060"/>
    <w:rsid w:val="00F820BF"/>
    <w:rsid w:val="00F83B27"/>
    <w:rsid w:val="00F83E60"/>
    <w:rsid w:val="00F83FD9"/>
    <w:rsid w:val="00F84289"/>
    <w:rsid w:val="00F84293"/>
    <w:rsid w:val="00F857D6"/>
    <w:rsid w:val="00F87193"/>
    <w:rsid w:val="00F8722D"/>
    <w:rsid w:val="00F87F99"/>
    <w:rsid w:val="00F87FCA"/>
    <w:rsid w:val="00F902E6"/>
    <w:rsid w:val="00F9196A"/>
    <w:rsid w:val="00F92621"/>
    <w:rsid w:val="00F92790"/>
    <w:rsid w:val="00F92920"/>
    <w:rsid w:val="00F92ACA"/>
    <w:rsid w:val="00F92E7C"/>
    <w:rsid w:val="00F92EAB"/>
    <w:rsid w:val="00F93083"/>
    <w:rsid w:val="00F930D9"/>
    <w:rsid w:val="00F93EEE"/>
    <w:rsid w:val="00F954CA"/>
    <w:rsid w:val="00F96280"/>
    <w:rsid w:val="00F96E84"/>
    <w:rsid w:val="00F97914"/>
    <w:rsid w:val="00FA01D4"/>
    <w:rsid w:val="00FA084F"/>
    <w:rsid w:val="00FA2BD7"/>
    <w:rsid w:val="00FA30F5"/>
    <w:rsid w:val="00FA3BAD"/>
    <w:rsid w:val="00FA3F06"/>
    <w:rsid w:val="00FA416A"/>
    <w:rsid w:val="00FA4744"/>
    <w:rsid w:val="00FA62E0"/>
    <w:rsid w:val="00FA63D3"/>
    <w:rsid w:val="00FA6741"/>
    <w:rsid w:val="00FA6DE6"/>
    <w:rsid w:val="00FA6F37"/>
    <w:rsid w:val="00FA6FA7"/>
    <w:rsid w:val="00FB0862"/>
    <w:rsid w:val="00FB119A"/>
    <w:rsid w:val="00FB1431"/>
    <w:rsid w:val="00FB181F"/>
    <w:rsid w:val="00FB1918"/>
    <w:rsid w:val="00FB1AE8"/>
    <w:rsid w:val="00FB1D7A"/>
    <w:rsid w:val="00FB24C0"/>
    <w:rsid w:val="00FB286E"/>
    <w:rsid w:val="00FB2A18"/>
    <w:rsid w:val="00FB3F9C"/>
    <w:rsid w:val="00FB4206"/>
    <w:rsid w:val="00FB4D9A"/>
    <w:rsid w:val="00FB526E"/>
    <w:rsid w:val="00FB5CF6"/>
    <w:rsid w:val="00FB6C8D"/>
    <w:rsid w:val="00FB6D76"/>
    <w:rsid w:val="00FB6F8F"/>
    <w:rsid w:val="00FB7430"/>
    <w:rsid w:val="00FB7450"/>
    <w:rsid w:val="00FB7968"/>
    <w:rsid w:val="00FC0562"/>
    <w:rsid w:val="00FC0EFA"/>
    <w:rsid w:val="00FC1079"/>
    <w:rsid w:val="00FC1327"/>
    <w:rsid w:val="00FC1533"/>
    <w:rsid w:val="00FC1B8F"/>
    <w:rsid w:val="00FC1BE4"/>
    <w:rsid w:val="00FC1D4B"/>
    <w:rsid w:val="00FC201C"/>
    <w:rsid w:val="00FC242A"/>
    <w:rsid w:val="00FC2580"/>
    <w:rsid w:val="00FC314B"/>
    <w:rsid w:val="00FC39CA"/>
    <w:rsid w:val="00FC3AE8"/>
    <w:rsid w:val="00FC3C18"/>
    <w:rsid w:val="00FC4A41"/>
    <w:rsid w:val="00FC5E6F"/>
    <w:rsid w:val="00FC7615"/>
    <w:rsid w:val="00FC7785"/>
    <w:rsid w:val="00FC7F4D"/>
    <w:rsid w:val="00FD058E"/>
    <w:rsid w:val="00FD05BC"/>
    <w:rsid w:val="00FD0E60"/>
    <w:rsid w:val="00FD2102"/>
    <w:rsid w:val="00FD2718"/>
    <w:rsid w:val="00FD3889"/>
    <w:rsid w:val="00FD45D6"/>
    <w:rsid w:val="00FD465C"/>
    <w:rsid w:val="00FD4D73"/>
    <w:rsid w:val="00FD562A"/>
    <w:rsid w:val="00FD6411"/>
    <w:rsid w:val="00FD64EF"/>
    <w:rsid w:val="00FD7771"/>
    <w:rsid w:val="00FE0294"/>
    <w:rsid w:val="00FE14D4"/>
    <w:rsid w:val="00FE18B4"/>
    <w:rsid w:val="00FE2F0E"/>
    <w:rsid w:val="00FE2F48"/>
    <w:rsid w:val="00FE357B"/>
    <w:rsid w:val="00FE37C2"/>
    <w:rsid w:val="00FE4F46"/>
    <w:rsid w:val="00FE5276"/>
    <w:rsid w:val="00FE563B"/>
    <w:rsid w:val="00FE5DA3"/>
    <w:rsid w:val="00FE66FB"/>
    <w:rsid w:val="00FE6997"/>
    <w:rsid w:val="00FE6FAA"/>
    <w:rsid w:val="00FE7053"/>
    <w:rsid w:val="00FE7884"/>
    <w:rsid w:val="00FE7D12"/>
    <w:rsid w:val="00FF3DBD"/>
    <w:rsid w:val="00FF4204"/>
    <w:rsid w:val="00FF4314"/>
    <w:rsid w:val="00FF456E"/>
    <w:rsid w:val="00FF4A19"/>
    <w:rsid w:val="00FF4CE2"/>
    <w:rsid w:val="00FF520E"/>
    <w:rsid w:val="00FF7533"/>
    <w:rsid w:val="00FF7BA6"/>
    <w:rsid w:val="00FF7C38"/>
    <w:rsid w:val="01F0299B"/>
    <w:rsid w:val="026E4F91"/>
    <w:rsid w:val="041D095D"/>
    <w:rsid w:val="05C87DB9"/>
    <w:rsid w:val="0961739E"/>
    <w:rsid w:val="098E6083"/>
    <w:rsid w:val="0B205B2B"/>
    <w:rsid w:val="0B782559"/>
    <w:rsid w:val="0D566BC9"/>
    <w:rsid w:val="0E180322"/>
    <w:rsid w:val="0E8C4995"/>
    <w:rsid w:val="0EF27BFB"/>
    <w:rsid w:val="0FBC50EF"/>
    <w:rsid w:val="115F3FD7"/>
    <w:rsid w:val="11A259DD"/>
    <w:rsid w:val="120474A0"/>
    <w:rsid w:val="12BF47E7"/>
    <w:rsid w:val="13102ABE"/>
    <w:rsid w:val="167D280D"/>
    <w:rsid w:val="17047766"/>
    <w:rsid w:val="17935895"/>
    <w:rsid w:val="17F52C18"/>
    <w:rsid w:val="1829356A"/>
    <w:rsid w:val="184530EF"/>
    <w:rsid w:val="185D6A10"/>
    <w:rsid w:val="19227A4B"/>
    <w:rsid w:val="1A401BFC"/>
    <w:rsid w:val="1B3E182A"/>
    <w:rsid w:val="1B4B5195"/>
    <w:rsid w:val="1C174C6F"/>
    <w:rsid w:val="1C7C020D"/>
    <w:rsid w:val="1C8F78BA"/>
    <w:rsid w:val="1C9B0D84"/>
    <w:rsid w:val="1CDD3F3B"/>
    <w:rsid w:val="1D4D6869"/>
    <w:rsid w:val="21760101"/>
    <w:rsid w:val="22B25284"/>
    <w:rsid w:val="22C07D9F"/>
    <w:rsid w:val="23056CBA"/>
    <w:rsid w:val="234C1E42"/>
    <w:rsid w:val="23C6059E"/>
    <w:rsid w:val="23C95079"/>
    <w:rsid w:val="24031A53"/>
    <w:rsid w:val="24307C26"/>
    <w:rsid w:val="248E5D4C"/>
    <w:rsid w:val="24C47897"/>
    <w:rsid w:val="24E337F8"/>
    <w:rsid w:val="258D3B57"/>
    <w:rsid w:val="262336EE"/>
    <w:rsid w:val="269E4C0C"/>
    <w:rsid w:val="27024D1A"/>
    <w:rsid w:val="2AD85037"/>
    <w:rsid w:val="2BD0253B"/>
    <w:rsid w:val="2C444480"/>
    <w:rsid w:val="2C564DC3"/>
    <w:rsid w:val="2D6C141D"/>
    <w:rsid w:val="2EB64B4B"/>
    <w:rsid w:val="2EBF6FC1"/>
    <w:rsid w:val="2EDB590A"/>
    <w:rsid w:val="2F0A29E3"/>
    <w:rsid w:val="30817D6A"/>
    <w:rsid w:val="3157114E"/>
    <w:rsid w:val="31C57BD7"/>
    <w:rsid w:val="31F2037F"/>
    <w:rsid w:val="329B11F6"/>
    <w:rsid w:val="336E087E"/>
    <w:rsid w:val="33C3087D"/>
    <w:rsid w:val="35961B12"/>
    <w:rsid w:val="364523AD"/>
    <w:rsid w:val="36700D38"/>
    <w:rsid w:val="36C4673D"/>
    <w:rsid w:val="37B10B63"/>
    <w:rsid w:val="37D17C49"/>
    <w:rsid w:val="390721D7"/>
    <w:rsid w:val="393B510C"/>
    <w:rsid w:val="393F4767"/>
    <w:rsid w:val="39A97E97"/>
    <w:rsid w:val="3A260C29"/>
    <w:rsid w:val="3B57268D"/>
    <w:rsid w:val="3B6176CE"/>
    <w:rsid w:val="3BF9504C"/>
    <w:rsid w:val="3CF11603"/>
    <w:rsid w:val="3D7507FB"/>
    <w:rsid w:val="3EB5127A"/>
    <w:rsid w:val="3F503E5E"/>
    <w:rsid w:val="3FC16214"/>
    <w:rsid w:val="41576FF8"/>
    <w:rsid w:val="41D9164E"/>
    <w:rsid w:val="41DD521D"/>
    <w:rsid w:val="423B7022"/>
    <w:rsid w:val="4389060E"/>
    <w:rsid w:val="43C8028A"/>
    <w:rsid w:val="43D51667"/>
    <w:rsid w:val="443B2C25"/>
    <w:rsid w:val="448421F1"/>
    <w:rsid w:val="45CE5034"/>
    <w:rsid w:val="45D37D9B"/>
    <w:rsid w:val="48194FD5"/>
    <w:rsid w:val="484514CB"/>
    <w:rsid w:val="48C86EE1"/>
    <w:rsid w:val="49FA6EF8"/>
    <w:rsid w:val="4A784961"/>
    <w:rsid w:val="4ACF3A3C"/>
    <w:rsid w:val="4B1700DF"/>
    <w:rsid w:val="4F0F6A19"/>
    <w:rsid w:val="51D10A66"/>
    <w:rsid w:val="528A390F"/>
    <w:rsid w:val="528C6991"/>
    <w:rsid w:val="534522C7"/>
    <w:rsid w:val="54054633"/>
    <w:rsid w:val="540605E4"/>
    <w:rsid w:val="547F0032"/>
    <w:rsid w:val="54A02A20"/>
    <w:rsid w:val="55C87B3E"/>
    <w:rsid w:val="57B64E06"/>
    <w:rsid w:val="58D67D8C"/>
    <w:rsid w:val="58E10577"/>
    <w:rsid w:val="59165EF7"/>
    <w:rsid w:val="59702A12"/>
    <w:rsid w:val="5AED2A9C"/>
    <w:rsid w:val="5BC746C9"/>
    <w:rsid w:val="5CC61F72"/>
    <w:rsid w:val="5CF206F7"/>
    <w:rsid w:val="5EA0340D"/>
    <w:rsid w:val="5ED66C3C"/>
    <w:rsid w:val="5FDD643B"/>
    <w:rsid w:val="60BA3E42"/>
    <w:rsid w:val="6194383B"/>
    <w:rsid w:val="61A14A39"/>
    <w:rsid w:val="61CB5375"/>
    <w:rsid w:val="623348CA"/>
    <w:rsid w:val="65CA685B"/>
    <w:rsid w:val="65CF34A7"/>
    <w:rsid w:val="65F660EF"/>
    <w:rsid w:val="6673798C"/>
    <w:rsid w:val="673905B6"/>
    <w:rsid w:val="681C3942"/>
    <w:rsid w:val="68460AAC"/>
    <w:rsid w:val="68AC1CFE"/>
    <w:rsid w:val="6BCD1DE6"/>
    <w:rsid w:val="6C505023"/>
    <w:rsid w:val="6D14299F"/>
    <w:rsid w:val="6D672A1E"/>
    <w:rsid w:val="6DC237D1"/>
    <w:rsid w:val="6F40725E"/>
    <w:rsid w:val="711172CF"/>
    <w:rsid w:val="71FD54DD"/>
    <w:rsid w:val="7410294D"/>
    <w:rsid w:val="76D71644"/>
    <w:rsid w:val="776C2FB6"/>
    <w:rsid w:val="79982284"/>
    <w:rsid w:val="7998662D"/>
    <w:rsid w:val="7A8C5878"/>
    <w:rsid w:val="7B471854"/>
    <w:rsid w:val="7C552333"/>
    <w:rsid w:val="7CA86C55"/>
    <w:rsid w:val="7CF019C1"/>
    <w:rsid w:val="7D461CAD"/>
    <w:rsid w:val="7E28286A"/>
    <w:rsid w:val="7E4515FE"/>
    <w:rsid w:val="7EAD59B2"/>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0"/>
    <w:qFormat/>
    <w:uiPriority w:val="0"/>
    <w:pPr>
      <w:spacing w:before="460" w:after="450" w:line="360" w:lineRule="auto"/>
      <w:jc w:val="center"/>
      <w:outlineLvl w:val="0"/>
    </w:pPr>
    <w:rPr>
      <w:rFonts w:eastAsiaTheme="minorEastAsia"/>
      <w:bCs w:val="0"/>
      <w:kern w:val="44"/>
      <w:sz w:val="44"/>
      <w:szCs w:val="28"/>
    </w:rPr>
  </w:style>
  <w:style w:type="paragraph" w:styleId="4">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3">
    <w:name w:val="heading 3"/>
    <w:basedOn w:val="1"/>
    <w:next w:val="1"/>
    <w:link w:val="59"/>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3"/>
    <w:qFormat/>
    <w:uiPriority w:val="0"/>
    <w:pPr>
      <w:ind w:firstLine="420" w:firstLineChars="200"/>
    </w:p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ind w:left="780" w:hanging="360"/>
    </w:pPr>
    <w:rPr>
      <w:szCs w:val="20"/>
    </w:rPr>
  </w:style>
  <w:style w:type="paragraph" w:styleId="14">
    <w:name w:val="List Bullet 4"/>
    <w:basedOn w:val="1"/>
    <w:qFormat/>
    <w:uiPriority w:val="0"/>
    <w:pPr>
      <w:tabs>
        <w:tab w:val="left" w:pos="425"/>
        <w:tab w:val="left" w:pos="1620"/>
      </w:tabs>
      <w:ind w:left="425" w:hanging="425"/>
    </w:pPr>
    <w:rPr>
      <w:szCs w:val="20"/>
    </w:rPr>
  </w:style>
  <w:style w:type="paragraph" w:styleId="15">
    <w:name w:val="caption"/>
    <w:basedOn w:val="1"/>
    <w:next w:val="1"/>
    <w:link w:val="297"/>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3"/>
    <w:qFormat/>
    <w:uiPriority w:val="0"/>
    <w:pPr>
      <w:shd w:val="clear" w:color="auto" w:fill="000080"/>
    </w:pPr>
  </w:style>
  <w:style w:type="paragraph" w:styleId="18">
    <w:name w:val="annotation text"/>
    <w:basedOn w:val="1"/>
    <w:link w:val="69"/>
    <w:qFormat/>
    <w:uiPriority w:val="0"/>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link w:val="71"/>
    <w:qFormat/>
    <w:uiPriority w:val="0"/>
    <w:pPr>
      <w:spacing w:after="120"/>
    </w:pPr>
  </w:style>
  <w:style w:type="paragraph" w:styleId="21">
    <w:name w:val="Body Text Indent"/>
    <w:basedOn w:val="1"/>
    <w:link w:val="74"/>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link w:val="75"/>
    <w:qFormat/>
    <w:uiPriority w:val="0"/>
    <w:rPr>
      <w:rFonts w:ascii="宋体" w:hAnsi="Courier New"/>
      <w:szCs w:val="20"/>
    </w:rPr>
  </w:style>
  <w:style w:type="paragraph" w:styleId="27">
    <w:name w:val="toc 8"/>
    <w:basedOn w:val="1"/>
    <w:next w:val="1"/>
    <w:qFormat/>
    <w:uiPriority w:val="0"/>
    <w:pPr>
      <w:ind w:left="1470"/>
      <w:jc w:val="left"/>
    </w:pPr>
    <w:rPr>
      <w:szCs w:val="21"/>
    </w:rPr>
  </w:style>
  <w:style w:type="paragraph" w:styleId="28">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qFormat/>
    <w:uiPriority w:val="0"/>
    <w:pPr>
      <w:spacing w:after="120" w:line="480" w:lineRule="auto"/>
      <w:ind w:left="420" w:leftChars="200"/>
    </w:pPr>
  </w:style>
  <w:style w:type="paragraph" w:styleId="30">
    <w:name w:val="Balloon Text"/>
    <w:basedOn w:val="1"/>
    <w:link w:val="77"/>
    <w:qFormat/>
    <w:uiPriority w:val="0"/>
    <w:rPr>
      <w:sz w:val="18"/>
      <w:szCs w:val="18"/>
    </w:rPr>
  </w:style>
  <w:style w:type="paragraph" w:styleId="31">
    <w:name w:val="footer"/>
    <w:basedOn w:val="1"/>
    <w:link w:val="78"/>
    <w:qFormat/>
    <w:uiPriority w:val="99"/>
    <w:pPr>
      <w:tabs>
        <w:tab w:val="center" w:pos="4153"/>
        <w:tab w:val="right" w:pos="8306"/>
      </w:tabs>
      <w:snapToGrid w:val="0"/>
      <w:jc w:val="left"/>
    </w:pPr>
    <w:rPr>
      <w:sz w:val="18"/>
      <w:szCs w:val="18"/>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qFormat/>
    <w:uiPriority w:val="0"/>
    <w:pPr>
      <w:ind w:left="630"/>
      <w:jc w:val="left"/>
    </w:pPr>
    <w:rPr>
      <w:szCs w:val="21"/>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footnote text"/>
    <w:basedOn w:val="1"/>
    <w:link w:val="463"/>
    <w:qFormat/>
    <w:uiPriority w:val="0"/>
    <w:pPr>
      <w:snapToGrid w:val="0"/>
      <w:jc w:val="left"/>
    </w:pPr>
    <w:rPr>
      <w:sz w:val="18"/>
      <w:szCs w:val="18"/>
    </w:rPr>
  </w:style>
  <w:style w:type="paragraph" w:styleId="39">
    <w:name w:val="toc 6"/>
    <w:basedOn w:val="1"/>
    <w:next w:val="1"/>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qFormat/>
    <w:uiPriority w:val="39"/>
    <w:pPr>
      <w:ind w:left="210"/>
      <w:jc w:val="left"/>
    </w:pPr>
    <w:rPr>
      <w:smallCaps/>
    </w:rPr>
  </w:style>
  <w:style w:type="paragraph" w:styleId="42">
    <w:name w:val="toc 9"/>
    <w:basedOn w:val="1"/>
    <w:next w:val="1"/>
    <w:qFormat/>
    <w:uiPriority w:val="0"/>
    <w:pPr>
      <w:ind w:left="1680"/>
      <w:jc w:val="left"/>
    </w:pPr>
    <w:rPr>
      <w:szCs w:val="21"/>
    </w:rPr>
  </w:style>
  <w:style w:type="paragraph" w:styleId="43">
    <w:name w:val="Body Text 2"/>
    <w:basedOn w:val="1"/>
    <w:link w:val="306"/>
    <w:qFormat/>
    <w:uiPriority w:val="0"/>
    <w:rPr>
      <w:sz w:val="28"/>
      <w:szCs w:val="20"/>
    </w:rPr>
  </w:style>
  <w:style w:type="paragraph" w:styleId="44">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kern w:val="0"/>
      <w:sz w:val="24"/>
    </w:rPr>
  </w:style>
  <w:style w:type="paragraph" w:styleId="46">
    <w:name w:val="Title"/>
    <w:basedOn w:val="1"/>
    <w:link w:val="81"/>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0"/>
    <w:qFormat/>
    <w:uiPriority w:val="0"/>
    <w:rPr>
      <w:b/>
      <w:bCs/>
    </w:rPr>
  </w:style>
  <w:style w:type="paragraph" w:styleId="48">
    <w:name w:val="Body Text First Indent"/>
    <w:basedOn w:val="20"/>
    <w:link w:val="72"/>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3"/>
    <w:qFormat/>
    <w:uiPriority w:val="0"/>
    <w:rPr>
      <w:b/>
      <w:bCs/>
      <w:kern w:val="2"/>
      <w:sz w:val="24"/>
      <w:szCs w:val="32"/>
    </w:rPr>
  </w:style>
  <w:style w:type="character" w:customStyle="1" w:styleId="60">
    <w:name w:val="标题 1 Char"/>
    <w:basedOn w:val="52"/>
    <w:link w:val="2"/>
    <w:qFormat/>
    <w:uiPriority w:val="0"/>
    <w:rPr>
      <w:rFonts w:eastAsiaTheme="minorEastAsia"/>
      <w:b/>
      <w:kern w:val="44"/>
      <w:sz w:val="44"/>
      <w:szCs w:val="28"/>
    </w:rPr>
  </w:style>
  <w:style w:type="character" w:customStyle="1" w:styleId="61">
    <w:name w:val="标题 2 Char"/>
    <w:basedOn w:val="52"/>
    <w:link w:val="4"/>
    <w:qFormat/>
    <w:uiPriority w:val="0"/>
    <w:rPr>
      <w:rFonts w:ascii="Arial" w:hAnsi="Arial" w:eastAsiaTheme="minorEastAsia"/>
      <w:b/>
      <w:bCs/>
      <w:kern w:val="2"/>
      <w:sz w:val="28"/>
      <w:szCs w:val="32"/>
    </w:rPr>
  </w:style>
  <w:style w:type="character" w:customStyle="1" w:styleId="62">
    <w:name w:val="标题 4 Char1"/>
    <w:basedOn w:val="52"/>
    <w:link w:val="5"/>
    <w:qFormat/>
    <w:uiPriority w:val="99"/>
    <w:rPr>
      <w:rFonts w:ascii="Arial" w:hAnsi="Arial" w:eastAsia="黑体"/>
      <w:b/>
      <w:bCs/>
      <w:kern w:val="2"/>
      <w:sz w:val="28"/>
      <w:szCs w:val="28"/>
    </w:rPr>
  </w:style>
  <w:style w:type="character" w:customStyle="1" w:styleId="63">
    <w:name w:val="正文缩进 Char"/>
    <w:link w:val="7"/>
    <w:qFormat/>
    <w:uiPriority w:val="0"/>
    <w:rPr>
      <w:rFonts w:eastAsia="宋体"/>
      <w:kern w:val="2"/>
      <w:sz w:val="21"/>
      <w:szCs w:val="24"/>
      <w:lang w:val="en-US" w:eastAsia="zh-CN" w:bidi="ar-SA"/>
    </w:rPr>
  </w:style>
  <w:style w:type="character" w:customStyle="1" w:styleId="64">
    <w:name w:val="标题 5 Char1"/>
    <w:basedOn w:val="52"/>
    <w:link w:val="6"/>
    <w:qFormat/>
    <w:uiPriority w:val="0"/>
    <w:rPr>
      <w:b/>
      <w:kern w:val="2"/>
      <w:sz w:val="28"/>
      <w:szCs w:val="24"/>
    </w:rPr>
  </w:style>
  <w:style w:type="character" w:customStyle="1" w:styleId="65">
    <w:name w:val="标题 6 Char1"/>
    <w:basedOn w:val="52"/>
    <w:link w:val="8"/>
    <w:qFormat/>
    <w:uiPriority w:val="9"/>
    <w:rPr>
      <w:rFonts w:ascii="Arial" w:hAnsi="Arial" w:eastAsia="黑体"/>
      <w:b/>
      <w:kern w:val="2"/>
      <w:sz w:val="24"/>
      <w:szCs w:val="24"/>
    </w:rPr>
  </w:style>
  <w:style w:type="character" w:customStyle="1" w:styleId="66">
    <w:name w:val="标题 7 Char1"/>
    <w:basedOn w:val="52"/>
    <w:link w:val="9"/>
    <w:qFormat/>
    <w:uiPriority w:val="9"/>
    <w:rPr>
      <w:b/>
      <w:kern w:val="2"/>
      <w:sz w:val="24"/>
      <w:szCs w:val="24"/>
    </w:rPr>
  </w:style>
  <w:style w:type="character" w:customStyle="1" w:styleId="67">
    <w:name w:val="标题 8 Char1"/>
    <w:basedOn w:val="52"/>
    <w:link w:val="10"/>
    <w:qFormat/>
    <w:uiPriority w:val="9"/>
    <w:rPr>
      <w:rFonts w:ascii="Arial" w:hAnsi="Arial" w:eastAsia="黑体"/>
      <w:kern w:val="2"/>
      <w:sz w:val="24"/>
      <w:szCs w:val="24"/>
    </w:rPr>
  </w:style>
  <w:style w:type="character" w:customStyle="1" w:styleId="68">
    <w:name w:val="标题 9 Char1"/>
    <w:basedOn w:val="52"/>
    <w:link w:val="11"/>
    <w:qFormat/>
    <w:uiPriority w:val="0"/>
    <w:rPr>
      <w:rFonts w:ascii="Arial" w:hAnsi="Arial" w:eastAsia="黑体"/>
      <w:kern w:val="2"/>
      <w:sz w:val="21"/>
      <w:szCs w:val="24"/>
    </w:rPr>
  </w:style>
  <w:style w:type="character" w:customStyle="1" w:styleId="69">
    <w:name w:val="批注文字 Char"/>
    <w:link w:val="18"/>
    <w:qFormat/>
    <w:uiPriority w:val="0"/>
    <w:rPr>
      <w:kern w:val="2"/>
      <w:sz w:val="21"/>
      <w:szCs w:val="24"/>
    </w:rPr>
  </w:style>
  <w:style w:type="character" w:customStyle="1" w:styleId="70">
    <w:name w:val="批注主题 Char"/>
    <w:basedOn w:val="69"/>
    <w:link w:val="47"/>
    <w:qFormat/>
    <w:uiPriority w:val="0"/>
    <w:rPr>
      <w:b/>
      <w:bCs/>
      <w:kern w:val="2"/>
      <w:sz w:val="21"/>
      <w:szCs w:val="24"/>
    </w:rPr>
  </w:style>
  <w:style w:type="character" w:customStyle="1" w:styleId="71">
    <w:name w:val="正文文本 Char"/>
    <w:basedOn w:val="52"/>
    <w:link w:val="20"/>
    <w:qFormat/>
    <w:uiPriority w:val="0"/>
    <w:rPr>
      <w:kern w:val="2"/>
      <w:sz w:val="21"/>
      <w:szCs w:val="24"/>
    </w:rPr>
  </w:style>
  <w:style w:type="character" w:customStyle="1" w:styleId="72">
    <w:name w:val="正文首行缩进 Char"/>
    <w:link w:val="48"/>
    <w:qFormat/>
    <w:uiPriority w:val="0"/>
    <w:rPr>
      <w:rFonts w:eastAsia="宋体"/>
      <w:kern w:val="2"/>
      <w:sz w:val="21"/>
      <w:szCs w:val="24"/>
      <w:lang w:val="en-US" w:eastAsia="zh-CN" w:bidi="ar-SA"/>
    </w:rPr>
  </w:style>
  <w:style w:type="character" w:customStyle="1" w:styleId="73">
    <w:name w:val="文档结构图 Char"/>
    <w:basedOn w:val="52"/>
    <w:link w:val="17"/>
    <w:qFormat/>
    <w:uiPriority w:val="0"/>
    <w:rPr>
      <w:kern w:val="2"/>
      <w:sz w:val="21"/>
      <w:szCs w:val="24"/>
      <w:shd w:val="clear" w:color="auto" w:fill="000080"/>
    </w:rPr>
  </w:style>
  <w:style w:type="character" w:customStyle="1" w:styleId="74">
    <w:name w:val="正文文本缩进 Char1"/>
    <w:basedOn w:val="52"/>
    <w:link w:val="21"/>
    <w:qFormat/>
    <w:uiPriority w:val="0"/>
    <w:rPr>
      <w:kern w:val="2"/>
      <w:sz w:val="21"/>
      <w:szCs w:val="24"/>
    </w:rPr>
  </w:style>
  <w:style w:type="character" w:customStyle="1" w:styleId="75">
    <w:name w:val="纯文本 Char"/>
    <w:link w:val="26"/>
    <w:qFormat/>
    <w:uiPriority w:val="0"/>
    <w:rPr>
      <w:rFonts w:ascii="宋体" w:hAnsi="Courier New" w:eastAsia="宋体"/>
      <w:kern w:val="2"/>
      <w:sz w:val="21"/>
      <w:lang w:val="en-US" w:eastAsia="zh-CN" w:bidi="ar-SA"/>
    </w:rPr>
  </w:style>
  <w:style w:type="character" w:customStyle="1" w:styleId="76">
    <w:name w:val="正文文本缩进 2 Char1"/>
    <w:link w:val="29"/>
    <w:qFormat/>
    <w:uiPriority w:val="0"/>
    <w:rPr>
      <w:kern w:val="2"/>
      <w:sz w:val="21"/>
      <w:szCs w:val="24"/>
    </w:rPr>
  </w:style>
  <w:style w:type="character" w:customStyle="1" w:styleId="77">
    <w:name w:val="批注框文本 Char"/>
    <w:basedOn w:val="52"/>
    <w:link w:val="30"/>
    <w:qFormat/>
    <w:uiPriority w:val="99"/>
    <w:rPr>
      <w:kern w:val="2"/>
      <w:sz w:val="18"/>
      <w:szCs w:val="18"/>
    </w:rPr>
  </w:style>
  <w:style w:type="character" w:customStyle="1" w:styleId="78">
    <w:name w:val="页脚 Char"/>
    <w:basedOn w:val="52"/>
    <w:link w:val="31"/>
    <w:qFormat/>
    <w:uiPriority w:val="99"/>
    <w:rPr>
      <w:kern w:val="2"/>
      <w:sz w:val="18"/>
      <w:szCs w:val="18"/>
    </w:rPr>
  </w:style>
  <w:style w:type="character" w:customStyle="1" w:styleId="79">
    <w:name w:val="页眉 Char"/>
    <w:link w:val="32"/>
    <w:qFormat/>
    <w:uiPriority w:val="99"/>
    <w:rPr>
      <w:kern w:val="2"/>
      <w:sz w:val="18"/>
      <w:szCs w:val="18"/>
    </w:rPr>
  </w:style>
  <w:style w:type="character" w:customStyle="1" w:styleId="80">
    <w:name w:val="HTML 预设格式 Char1"/>
    <w:link w:val="44"/>
    <w:qFormat/>
    <w:uiPriority w:val="0"/>
    <w:rPr>
      <w:rFonts w:ascii="宋体" w:hAnsi="宋体" w:cs="宋体"/>
      <w:sz w:val="24"/>
      <w:szCs w:val="24"/>
    </w:rPr>
  </w:style>
  <w:style w:type="character" w:customStyle="1" w:styleId="81">
    <w:name w:val="标题 Char"/>
    <w:link w:val="46"/>
    <w:qFormat/>
    <w:uiPriority w:val="0"/>
    <w:rPr>
      <w:rFonts w:ascii="Arial" w:hAnsi="Arial" w:eastAsia="隶书" w:cs="Arial"/>
      <w:b/>
      <w:bCs/>
      <w:kern w:val="2"/>
      <w:sz w:val="32"/>
      <w:szCs w:val="32"/>
    </w:rPr>
  </w:style>
  <w:style w:type="paragraph" w:customStyle="1" w:styleId="8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qFormat/>
    <w:uiPriority w:val="0"/>
    <w:pPr>
      <w:spacing w:line="360" w:lineRule="auto"/>
      <w:ind w:firstLine="516" w:firstLineChars="215"/>
    </w:pPr>
    <w:rPr>
      <w:sz w:val="24"/>
      <w:szCs w:val="20"/>
    </w:rPr>
  </w:style>
  <w:style w:type="character" w:customStyle="1" w:styleId="84">
    <w:name w:val="样式1 Char Char Char"/>
    <w:link w:val="83"/>
    <w:qFormat/>
    <w:uiPriority w:val="0"/>
    <w:rPr>
      <w:rFonts w:eastAsia="宋体"/>
      <w:kern w:val="2"/>
      <w:sz w:val="24"/>
      <w:lang w:val="en-US" w:eastAsia="zh-CN" w:bidi="ar-SA"/>
    </w:rPr>
  </w:style>
  <w:style w:type="paragraph" w:customStyle="1" w:styleId="85">
    <w:name w:val="样式1"/>
    <w:basedOn w:val="46"/>
    <w:link w:val="86"/>
    <w:qFormat/>
    <w:uiPriority w:val="0"/>
    <w:pPr>
      <w:spacing w:before="120" w:after="120"/>
    </w:pPr>
    <w:rPr>
      <w:rFonts w:eastAsia="黑体" w:cs="Arial"/>
      <w:b w:val="0"/>
      <w:sz w:val="30"/>
      <w:szCs w:val="21"/>
    </w:rPr>
  </w:style>
  <w:style w:type="character" w:customStyle="1" w:styleId="86">
    <w:name w:val="样式1 Char"/>
    <w:link w:val="85"/>
    <w:qFormat/>
    <w:uiPriority w:val="0"/>
    <w:rPr>
      <w:rFonts w:ascii="Arial" w:hAnsi="Arial" w:eastAsia="黑体" w:cs="Arial"/>
      <w:bCs/>
      <w:kern w:val="2"/>
      <w:sz w:val="30"/>
      <w:szCs w:val="21"/>
      <w:lang w:val="en-US" w:eastAsia="zh-CN" w:bidi="ar-SA"/>
    </w:rPr>
  </w:style>
  <w:style w:type="paragraph" w:customStyle="1" w:styleId="8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qFormat/>
    <w:uiPriority w:val="0"/>
    <w:rPr>
      <w:rFonts w:ascii="仿宋_GB2312" w:eastAsia="仿宋_GB2312"/>
      <w:b/>
      <w:sz w:val="32"/>
      <w:szCs w:val="32"/>
    </w:rPr>
  </w:style>
  <w:style w:type="character" w:customStyle="1" w:styleId="91">
    <w:name w:val="tpc_title1"/>
    <w:qFormat/>
    <w:uiPriority w:val="0"/>
    <w:rPr>
      <w:b/>
      <w:bCs/>
      <w:sz w:val="18"/>
      <w:szCs w:val="18"/>
    </w:rPr>
  </w:style>
  <w:style w:type="character" w:customStyle="1" w:styleId="92">
    <w:name w:val="tpc_content1"/>
    <w:qFormat/>
    <w:uiPriority w:val="0"/>
    <w:rPr>
      <w:sz w:val="20"/>
      <w:szCs w:val="20"/>
    </w:rPr>
  </w:style>
  <w:style w:type="paragraph" w:customStyle="1" w:styleId="9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qFormat/>
    <w:uiPriority w:val="0"/>
    <w:rPr>
      <w:rFonts w:hint="eastAsia" w:ascii="仿宋_GB2312" w:eastAsia="仿宋_GB2312" w:cs="仿宋_GB2312"/>
      <w:color w:val="000000"/>
      <w:sz w:val="20"/>
      <w:szCs w:val="20"/>
      <w:u w:val="none"/>
    </w:rPr>
  </w:style>
  <w:style w:type="character" w:customStyle="1" w:styleId="167">
    <w:name w:val="font31"/>
    <w:basedOn w:val="52"/>
    <w:qFormat/>
    <w:uiPriority w:val="0"/>
    <w:rPr>
      <w:rFonts w:hint="default" w:ascii="Symbol" w:hAnsi="Symbol" w:cs="Symbol"/>
      <w:color w:val="000000"/>
      <w:sz w:val="20"/>
      <w:szCs w:val="20"/>
      <w:u w:val="none"/>
    </w:rPr>
  </w:style>
  <w:style w:type="character" w:customStyle="1" w:styleId="168">
    <w:name w:val="font71"/>
    <w:basedOn w:val="52"/>
    <w:qFormat/>
    <w:uiPriority w:val="0"/>
    <w:rPr>
      <w:rFonts w:ascii="Arial" w:hAnsi="Arial" w:cs="Arial"/>
      <w:color w:val="000000"/>
      <w:sz w:val="20"/>
      <w:szCs w:val="20"/>
      <w:u w:val="none"/>
    </w:rPr>
  </w:style>
  <w:style w:type="character" w:customStyle="1" w:styleId="169">
    <w:name w:val="font21"/>
    <w:basedOn w:val="52"/>
    <w:qFormat/>
    <w:uiPriority w:val="0"/>
    <w:rPr>
      <w:rFonts w:hint="default" w:ascii="Symbol" w:hAnsi="Symbol" w:cs="Symbol"/>
      <w:color w:val="000000"/>
      <w:sz w:val="20"/>
      <w:szCs w:val="20"/>
      <w:u w:val="none"/>
    </w:rPr>
  </w:style>
  <w:style w:type="character" w:customStyle="1" w:styleId="170">
    <w:name w:val="font91"/>
    <w:basedOn w:val="52"/>
    <w:qFormat/>
    <w:uiPriority w:val="0"/>
    <w:rPr>
      <w:rFonts w:ascii="Arial" w:hAnsi="Arial" w:cs="Arial"/>
      <w:color w:val="000000"/>
      <w:sz w:val="20"/>
      <w:szCs w:val="20"/>
      <w:u w:val="none"/>
    </w:rPr>
  </w:style>
  <w:style w:type="character" w:customStyle="1" w:styleId="171">
    <w:name w:val="font51"/>
    <w:basedOn w:val="52"/>
    <w:qFormat/>
    <w:uiPriority w:val="0"/>
    <w:rPr>
      <w:rFonts w:ascii="仿宋" w:hAnsi="仿宋" w:eastAsia="仿宋" w:cs="仿宋"/>
      <w:color w:val="000000"/>
      <w:sz w:val="21"/>
      <w:szCs w:val="21"/>
      <w:u w:val="none"/>
    </w:rPr>
  </w:style>
  <w:style w:type="character" w:customStyle="1" w:styleId="172">
    <w:name w:val="font101"/>
    <w:basedOn w:val="52"/>
    <w:qFormat/>
    <w:uiPriority w:val="0"/>
    <w:rPr>
      <w:rFonts w:hint="eastAsia" w:ascii="仿宋_GB2312" w:eastAsia="仿宋_GB2312" w:cs="仿宋_GB2312"/>
      <w:color w:val="000000"/>
      <w:sz w:val="20"/>
      <w:szCs w:val="20"/>
      <w:u w:val="none"/>
    </w:rPr>
  </w:style>
  <w:style w:type="character" w:customStyle="1" w:styleId="173">
    <w:name w:val="font61"/>
    <w:basedOn w:val="52"/>
    <w:qFormat/>
    <w:uiPriority w:val="0"/>
    <w:rPr>
      <w:rFonts w:hint="eastAsia" w:ascii="宋体" w:hAnsi="宋体" w:eastAsia="宋体" w:cs="宋体"/>
      <w:color w:val="000000"/>
      <w:sz w:val="20"/>
      <w:szCs w:val="20"/>
      <w:u w:val="none"/>
    </w:rPr>
  </w:style>
  <w:style w:type="character" w:customStyle="1" w:styleId="174">
    <w:name w:val="font81"/>
    <w:basedOn w:val="52"/>
    <w:qFormat/>
    <w:uiPriority w:val="0"/>
    <w:rPr>
      <w:rFonts w:hint="eastAsia" w:ascii="仿宋" w:hAnsi="仿宋" w:eastAsia="仿宋" w:cs="仿宋"/>
      <w:color w:val="000000"/>
      <w:sz w:val="21"/>
      <w:szCs w:val="21"/>
      <w:u w:val="none"/>
    </w:rPr>
  </w:style>
  <w:style w:type="character" w:customStyle="1" w:styleId="175">
    <w:name w:val="font111"/>
    <w:basedOn w:val="52"/>
    <w:qFormat/>
    <w:uiPriority w:val="0"/>
    <w:rPr>
      <w:rFonts w:hint="eastAsia" w:ascii="仿宋_GB2312" w:eastAsia="仿宋_GB2312" w:cs="仿宋_GB2312"/>
      <w:color w:val="000000"/>
      <w:sz w:val="21"/>
      <w:szCs w:val="21"/>
      <w:u w:val="none"/>
    </w:rPr>
  </w:style>
  <w:style w:type="character" w:customStyle="1" w:styleId="176">
    <w:name w:val="font121"/>
    <w:basedOn w:val="52"/>
    <w:qFormat/>
    <w:uiPriority w:val="0"/>
    <w:rPr>
      <w:rFonts w:ascii="Arial" w:hAnsi="Arial" w:cs="Arial"/>
      <w:color w:val="000000"/>
      <w:sz w:val="20"/>
      <w:szCs w:val="20"/>
      <w:u w:val="none"/>
    </w:rPr>
  </w:style>
  <w:style w:type="character" w:customStyle="1" w:styleId="177">
    <w:name w:val="font112"/>
    <w:basedOn w:val="52"/>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Char1"/>
    <w:link w:val="33"/>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3"/>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首行缩进 2 Char"/>
    <w:link w:val="49"/>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Char1"/>
    <w:link w:val="15"/>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5"/>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Char1"/>
    <w:link w:val="43"/>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qFormat/>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Char1"/>
    <w:link w:val="40"/>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Char1"/>
    <w:link w:val="28"/>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4"/>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2"/>
    <w:semiHidden/>
    <w:qFormat/>
    <w:uiPriority w:val="0"/>
    <w:rPr>
      <w:kern w:val="2"/>
      <w:sz w:val="21"/>
      <w:szCs w:val="24"/>
    </w:rPr>
  </w:style>
  <w:style w:type="character" w:customStyle="1" w:styleId="348">
    <w:name w:val="标题 字符1"/>
    <w:basedOn w:val="52"/>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qFormat/>
    <w:uiPriority w:val="0"/>
    <w:rPr>
      <w:kern w:val="2"/>
      <w:sz w:val="21"/>
      <w:szCs w:val="24"/>
    </w:rPr>
  </w:style>
  <w:style w:type="character" w:customStyle="1" w:styleId="350">
    <w:name w:val="签名 Char2"/>
    <w:basedOn w:val="52"/>
    <w:semiHidden/>
    <w:qFormat/>
    <w:uiPriority w:val="0"/>
    <w:rPr>
      <w:kern w:val="2"/>
      <w:sz w:val="21"/>
      <w:szCs w:val="24"/>
    </w:rPr>
  </w:style>
  <w:style w:type="character" w:customStyle="1" w:styleId="351">
    <w:name w:val="正文文本缩进 3 Char2"/>
    <w:basedOn w:val="52"/>
    <w:semiHidden/>
    <w:qFormat/>
    <w:uiPriority w:val="0"/>
    <w:rPr>
      <w:kern w:val="2"/>
      <w:sz w:val="16"/>
      <w:szCs w:val="16"/>
    </w:rPr>
  </w:style>
  <w:style w:type="character" w:customStyle="1" w:styleId="352">
    <w:name w:val="日期 Char2"/>
    <w:basedOn w:val="52"/>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6"/>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4"/>
    <w:qFormat/>
    <w:uiPriority w:val="0"/>
    <w:pPr>
      <w:tabs>
        <w:tab w:val="right" w:leader="dot" w:pos="9458"/>
      </w:tabs>
    </w:pPr>
    <w:rPr>
      <w:b w:val="0"/>
    </w:rPr>
  </w:style>
  <w:style w:type="paragraph" w:customStyle="1" w:styleId="369">
    <w:name w:val="TOC 标题1"/>
    <w:basedOn w:val="2"/>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2"/>
    <w:link w:val="19"/>
    <w:qFormat/>
    <w:uiPriority w:val="0"/>
    <w:rPr>
      <w:kern w:val="2"/>
      <w:sz w:val="16"/>
      <w:szCs w:val="16"/>
    </w:rPr>
  </w:style>
  <w:style w:type="character" w:customStyle="1" w:styleId="459">
    <w:name w:val="content"/>
    <w:basedOn w:val="52"/>
    <w:qFormat/>
    <w:uiPriority w:val="0"/>
  </w:style>
  <w:style w:type="character" w:customStyle="1" w:styleId="460">
    <w:name w:val="ca-3"/>
    <w:basedOn w:val="52"/>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link w:val="38"/>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2"/>
    <w:qFormat/>
    <w:uiPriority w:val="0"/>
  </w:style>
  <w:style w:type="character" w:customStyle="1" w:styleId="470">
    <w:name w:val="apple-style-span"/>
    <w:basedOn w:val="52"/>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qFormat/>
    <w:uiPriority w:val="0"/>
    <w:rPr>
      <w:rFonts w:ascii="宋体" w:hAnsi="Courier New"/>
      <w:szCs w:val="20"/>
    </w:rPr>
  </w:style>
  <w:style w:type="character" w:customStyle="1" w:styleId="481">
    <w:name w:val="脚注文本 Char2"/>
    <w:basedOn w:val="52"/>
    <w:semiHidden/>
    <w:uiPriority w:val="0"/>
    <w:rPr>
      <w:kern w:val="2"/>
      <w:sz w:val="18"/>
      <w:szCs w:val="18"/>
    </w:rPr>
  </w:style>
  <w:style w:type="paragraph" w:customStyle="1" w:styleId="482">
    <w:name w:val="_Style 56"/>
    <w:basedOn w:val="1"/>
    <w:next w:val="26"/>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29"/>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rPr>
  </w:style>
  <w:style w:type="character" w:customStyle="1" w:styleId="505">
    <w:name w:val="纯文本 Char2"/>
    <w:qFormat/>
    <w:uiPriority w:val="99"/>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91"/>
    <customShpInfo spid="_x0000_s3090"/>
    <customShpInfo spid="_x0000_s3089"/>
    <customShpInfo spid="_x0000_s3088"/>
    <customShpInfo spid="_x0000_s3087"/>
    <customShpInfo spid="_x0000_s3086"/>
    <customShpInfo spid="_x0000_s3085"/>
    <customShpInfo spid="_x0000_s3084"/>
    <customShpInfo spid="_x0000_s3083"/>
    <customShpInfo spid="_x0000_s3082"/>
    <customShpInfo spid="_x0000_s3081"/>
    <customShpInfo spid="_x0000_s3080"/>
    <customShpInfo spid="_x0000_s3079"/>
    <customShpInfo spid="_x0000_s3078"/>
    <customShpInfo spid="_x0000_s3077"/>
    <customShpInfo spid="_x0000_s3096"/>
    <customShpInfo spid="_x0000_s3095"/>
    <customShpInfo spid="_x0000_s3093"/>
    <customShpInfo spid="_x0000_s309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54C00B-C06D-4654-91D9-B3754D8637A7}">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71</Pages>
  <Words>7762</Words>
  <Characters>44245</Characters>
  <Lines>368</Lines>
  <Paragraphs>103</Paragraphs>
  <TotalTime>0</TotalTime>
  <ScaleCrop>false</ScaleCrop>
  <LinksUpToDate>false</LinksUpToDate>
  <CharactersWithSpaces>51904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2019-11-08T01:16:00Z</dcterms:created>
  <dc:creator>微软用户</dc:creator>
  <cp:lastModifiedBy>佳慧</cp:lastModifiedBy>
  <cp:lastPrinted>2020-05-26T01:03:00Z</cp:lastPrinted>
  <dcterms:modified xsi:type="dcterms:W3CDTF">2021-09-28T09:29:35Z</dcterms:modified>
  <dc:title>招标编号：UHO2010-G0029</dc:title>
  <cp:revision>439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B17E6BC3E46B443195EEFC7ADD9AB221</vt:lpwstr>
  </property>
</Properties>
</file>