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高中部网络中心机房改造</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SZZZ2026-QA0131</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六</w:t>
      </w:r>
      <w:r>
        <w:rPr>
          <w:rFonts w:hint="eastAsia"/>
          <w:b/>
          <w:snapToGrid w:val="0"/>
          <w:sz w:val="30"/>
        </w:rPr>
        <w:t>月</w:t>
      </w:r>
    </w:p>
    <w:p w14:paraId="0E9B1833"/>
    <w:p w14:paraId="3EE5AD1B"/>
    <w:p w14:paraId="3737A5AC"/>
    <w:p w14:paraId="3624CBA6"/>
    <w:p w14:paraId="334D159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bookmarkStart w:id="114" w:name="_GoBack"/>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高中部网络中心机房改造</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SZZZ2026-QA0131</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高中部网络中心机房改造</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cs="仿宋" w:asciiTheme="minorEastAsia" w:hAnsiTheme="minorEastAsia" w:eastAsiaTheme="minorEastAsia"/>
          <w:bCs/>
          <w:sz w:val="21"/>
          <w:szCs w:val="21"/>
        </w:rPr>
        <w:t>541</w:t>
      </w:r>
      <w:r>
        <w:rPr>
          <w:rFonts w:hint="eastAsia" w:cs="仿宋" w:asciiTheme="minorEastAsia" w:hAnsiTheme="minorEastAsia" w:eastAsiaTheme="minorEastAsia"/>
          <w:bCs/>
          <w:sz w:val="21"/>
          <w:szCs w:val="21"/>
          <w:lang w:val="en-US" w:eastAsia="zh-CN"/>
        </w:rPr>
        <w:t>,</w:t>
      </w:r>
      <w:r>
        <w:rPr>
          <w:rFonts w:hint="eastAsia" w:cs="仿宋" w:asciiTheme="minorEastAsia" w:hAnsiTheme="minorEastAsia" w:eastAsiaTheme="minorEastAsia"/>
          <w:bCs/>
          <w:sz w:val="21"/>
          <w:szCs w:val="21"/>
        </w:rPr>
        <w:t>358</w:t>
      </w:r>
      <w:r>
        <w:rPr>
          <w:rFonts w:hint="eastAsia" w:cs="仿宋" w:asciiTheme="minorEastAsia" w:hAnsiTheme="minorEastAsia" w:eastAsiaTheme="minorEastAsia"/>
          <w:bCs/>
          <w:sz w:val="21"/>
          <w:szCs w:val="21"/>
          <w:lang w:val="en-US" w:eastAsia="zh-CN"/>
        </w:rPr>
        <w:t>.00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cs="仿宋" w:asciiTheme="minorEastAsia" w:hAnsiTheme="minorEastAsia" w:eastAsiaTheme="minorEastAsia"/>
          <w:bCs/>
          <w:sz w:val="21"/>
          <w:szCs w:val="21"/>
        </w:rPr>
        <w:t>541</w:t>
      </w:r>
      <w:r>
        <w:rPr>
          <w:rFonts w:hint="eastAsia" w:cs="仿宋" w:asciiTheme="minorEastAsia" w:hAnsiTheme="minorEastAsia" w:eastAsiaTheme="minorEastAsia"/>
          <w:bCs/>
          <w:sz w:val="21"/>
          <w:szCs w:val="21"/>
          <w:lang w:val="en-US" w:eastAsia="zh-CN"/>
        </w:rPr>
        <w:t>,</w:t>
      </w:r>
      <w:r>
        <w:rPr>
          <w:rFonts w:hint="eastAsia" w:cs="仿宋" w:asciiTheme="minorEastAsia" w:hAnsiTheme="minorEastAsia" w:eastAsiaTheme="minorEastAsia"/>
          <w:bCs/>
          <w:sz w:val="21"/>
          <w:szCs w:val="21"/>
        </w:rPr>
        <w:t>358</w:t>
      </w:r>
      <w:r>
        <w:rPr>
          <w:rFonts w:hint="eastAsia" w:cs="仿宋" w:asciiTheme="minorEastAsia" w:hAnsiTheme="minorEastAsia" w:eastAsiaTheme="minorEastAsia"/>
          <w:bCs/>
          <w:sz w:val="21"/>
          <w:szCs w:val="21"/>
          <w:lang w:val="en-US" w:eastAsia="zh-CN"/>
        </w:rPr>
        <w:t>.00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26</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日14点30分（北京时间）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7579BB80">
      <w:pPr>
        <w:pStyle w:val="453"/>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default" w:ascii="宋体" w:hAnsi="宋体" w:eastAsia="宋体"/>
          <w:snapToGrid w:val="0"/>
          <w:color w:val="auto"/>
          <w:sz w:val="21"/>
          <w:szCs w:val="21"/>
          <w:highlight w:val="yellow"/>
        </w:rPr>
        <w:fldChar w:fldCharType="begin"/>
      </w:r>
      <w:r>
        <w:rPr>
          <w:rFonts w:hint="default" w:ascii="宋体" w:hAnsi="宋体" w:eastAsia="宋体"/>
          <w:snapToGrid w:val="0"/>
          <w:color w:val="auto"/>
          <w:sz w:val="21"/>
          <w:szCs w:val="21"/>
          <w:highlight w:val="yellow"/>
        </w:rPr>
        <w:instrText xml:space="preserve"> HYPERLINK "file://zsq/%E7%BD%91%E7%AB%99%E5%8F%91%E5%B8%83/%E6%8B%9B%E6%A0%87%E5%85%AC%E5%91%8A/%E9%87%87%E8%B4%AD%E5%85%AC%E5%91%8A--%E6%B7%B1%E5%9C%B3%E5%AE%9E%E9%AA%8C%E5%AD%A6%E6%A0%A1%E5%85%89%E6%98%8E%E9%83%A8%E5%AE%BF%E8%88%8D%E6%A5%BC%E4%BE%9B%E7%94%B5%E6%94%B9%E9%80%A0%E5%B7%A5%E7%A8%8B.docx" \l "/register%E3%80%82" </w:instrText>
      </w:r>
      <w:r>
        <w:rPr>
          <w:rFonts w:hint="default" w:ascii="宋体" w:hAnsi="宋体" w:eastAsia="宋体"/>
          <w:snapToGrid w:val="0"/>
          <w:color w:val="auto"/>
          <w:sz w:val="21"/>
          <w:szCs w:val="21"/>
          <w:highlight w:val="yellow"/>
        </w:rPr>
        <w:fldChar w:fldCharType="separate"/>
      </w:r>
      <w:r>
        <w:rPr>
          <w:rFonts w:hint="eastAsia" w:ascii="宋体" w:hAnsi="宋体" w:eastAsia="宋体"/>
          <w:snapToGrid w:val="0"/>
          <w:color w:val="auto"/>
          <w:sz w:val="21"/>
          <w:szCs w:val="21"/>
          <w:highlight w:val="yellow"/>
        </w:rPr>
        <w:t>https://trade.szggzy.com/ggzy/center/#/register。</w:t>
      </w:r>
      <w:r>
        <w:rPr>
          <w:rFonts w:hint="default" w:ascii="宋体" w:hAnsi="宋体" w:eastAsia="宋体"/>
          <w:snapToGrid w:val="0"/>
          <w:color w:val="auto"/>
          <w:sz w:val="21"/>
          <w:szCs w:val="21"/>
          <w:highlight w:val="yellow"/>
        </w:rPr>
        <w:fldChar w:fldCharType="end"/>
      </w:r>
    </w:p>
    <w:p w14:paraId="0EFF6AD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r>
        <w:rPr>
          <w:rFonts w:hint="eastAsia" w:ascii="宋体" w:hAnsi="宋体" w:eastAsia="宋体"/>
          <w:snapToGrid w:val="0"/>
          <w:color w:val="auto"/>
          <w:sz w:val="21"/>
          <w:szCs w:val="21"/>
        </w:rPr>
        <w:t> </w:t>
      </w: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CBAEE8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w:t>
      </w:r>
      <w:r>
        <w:rPr>
          <w:rFonts w:hint="eastAsia" w:ascii="宋体" w:hAnsi="宋体" w:eastAsia="宋体"/>
          <w:snapToGrid w:val="0"/>
          <w:color w:val="auto"/>
          <w:sz w:val="21"/>
          <w:szCs w:val="21"/>
          <w:lang w:val="en-US" w:eastAsia="zh-CN"/>
        </w:rPr>
        <w:t>实验学校</w:t>
      </w:r>
      <w:r>
        <w:rPr>
          <w:rFonts w:ascii="宋体" w:hAnsi="宋体" w:eastAsia="宋体"/>
          <w:snapToGrid w:val="0"/>
          <w:color w:val="auto"/>
          <w:sz w:val="21"/>
          <w:szCs w:val="21"/>
        </w:rPr>
        <w:t xml:space="preserve"> </w:t>
      </w:r>
    </w:p>
    <w:p w14:paraId="4575AC87">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地址：</w:t>
      </w:r>
      <w:r>
        <w:rPr>
          <w:rFonts w:ascii="宋体" w:hAnsi="宋体" w:eastAsia="宋体"/>
          <w:snapToGrid w:val="0"/>
          <w:color w:val="auto"/>
          <w:sz w:val="21"/>
          <w:szCs w:val="21"/>
        </w:rPr>
        <w:t xml:space="preserve"> </w:t>
      </w:r>
      <w:r>
        <w:rPr>
          <w:rFonts w:hint="eastAsia" w:ascii="宋体" w:hAnsi="宋体" w:eastAsia="宋体"/>
          <w:snapToGrid w:val="0"/>
          <w:color w:val="auto"/>
          <w:sz w:val="21"/>
          <w:szCs w:val="21"/>
          <w:lang w:val="en-US" w:eastAsia="zh-CN"/>
        </w:rPr>
        <w:t>深圳市福田区百花六路</w:t>
      </w:r>
    </w:p>
    <w:p w14:paraId="092F01EE">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胡老师，0755-83361301</w:t>
      </w:r>
    </w:p>
    <w:p w14:paraId="03A2844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庄学华/周穗绮</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庄学华/周穗绮</w:t>
      </w:r>
    </w:p>
    <w:p w14:paraId="581CC65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18</w:t>
      </w:r>
      <w:r>
        <w:rPr>
          <w:rFonts w:hint="eastAsia" w:ascii="宋体" w:hAnsi="宋体"/>
          <w:snapToGrid w:val="0"/>
          <w:kern w:val="0"/>
          <w:sz w:val="24"/>
        </w:rPr>
        <w:t>日</w:t>
      </w:r>
    </w:p>
    <w:bookmarkEnd w:id="114"/>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高中部网络中心机房改造</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C1C0756">
            <w:pPr>
              <w:jc w:val="center"/>
              <w:rPr>
                <w:rFonts w:ascii="宋体" w:hAnsi="宋体" w:cs="宋体"/>
                <w:bCs/>
                <w:kern w:val="0"/>
                <w:szCs w:val="21"/>
              </w:rPr>
            </w:pP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F56AA66">
      <w:pPr>
        <w:rPr>
          <w:rFonts w:ascii="宋体" w:hAnsi="宋体"/>
          <w:b/>
          <w:szCs w:val="21"/>
        </w:rPr>
      </w:pPr>
      <w:r>
        <w:rPr>
          <w:rFonts w:hint="eastAsia" w:ascii="宋体" w:hAnsi="宋体"/>
          <w:b/>
          <w:szCs w:val="21"/>
        </w:rPr>
        <w:t>（二）货物清单明细</w:t>
      </w:r>
    </w:p>
    <w:tbl>
      <w:tblPr>
        <w:tblStyle w:val="50"/>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558"/>
        <w:gridCol w:w="1209"/>
        <w:gridCol w:w="1329"/>
        <w:gridCol w:w="1857"/>
      </w:tblGrid>
      <w:tr w14:paraId="0EE6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3B0DEC05">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558" w:type="dxa"/>
            <w:vAlign w:val="center"/>
          </w:tcPr>
          <w:p w14:paraId="0A6DC0C4">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209" w:type="dxa"/>
            <w:vAlign w:val="center"/>
          </w:tcPr>
          <w:p w14:paraId="6E215A4B">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1329" w:type="dxa"/>
            <w:vAlign w:val="center"/>
          </w:tcPr>
          <w:p w14:paraId="4735ECC3">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57" w:type="dxa"/>
            <w:vAlign w:val="center"/>
          </w:tcPr>
          <w:p w14:paraId="098A9197">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543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9BABF83">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3558" w:type="dxa"/>
            <w:vAlign w:val="center"/>
          </w:tcPr>
          <w:p w14:paraId="06176A16">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微数据中心机柜主柜</w:t>
            </w:r>
          </w:p>
        </w:tc>
        <w:tc>
          <w:tcPr>
            <w:tcW w:w="1209" w:type="dxa"/>
            <w:vAlign w:val="center"/>
          </w:tcPr>
          <w:p w14:paraId="3EBB2A9C">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2BE0B1CA">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6D1A52CB">
            <w:pPr>
              <w:spacing w:line="360" w:lineRule="auto"/>
              <w:ind w:firstLine="420" w:firstLineChars="200"/>
              <w:jc w:val="left"/>
              <w:rPr>
                <w:rFonts w:ascii="宋体" w:hAnsi="宋体" w:cs="宋体"/>
                <w:kern w:val="0"/>
                <w:szCs w:val="21"/>
              </w:rPr>
            </w:pPr>
            <w:r>
              <w:rPr>
                <w:rFonts w:hint="eastAsia" w:ascii="宋体" w:hAnsi="宋体" w:cs="宋体"/>
                <w:kern w:val="0"/>
                <w:szCs w:val="21"/>
              </w:rPr>
              <w:t>拒绝进口</w:t>
            </w:r>
          </w:p>
        </w:tc>
      </w:tr>
      <w:tr w14:paraId="6F70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1020084">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3558" w:type="dxa"/>
            <w:vAlign w:val="center"/>
          </w:tcPr>
          <w:p w14:paraId="5088770F">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微数据中心机柜辅柜</w:t>
            </w:r>
          </w:p>
        </w:tc>
        <w:tc>
          <w:tcPr>
            <w:tcW w:w="1209" w:type="dxa"/>
            <w:vAlign w:val="center"/>
          </w:tcPr>
          <w:p w14:paraId="4CE82FC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38C82B71">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1351BF4A">
            <w:pPr>
              <w:spacing w:line="360" w:lineRule="auto"/>
              <w:jc w:val="center"/>
              <w:rPr>
                <w:rFonts w:ascii="宋体" w:hAnsi="宋体" w:cs="宋体"/>
                <w:kern w:val="0"/>
                <w:szCs w:val="21"/>
              </w:rPr>
            </w:pPr>
            <w:r>
              <w:rPr>
                <w:rFonts w:hint="eastAsia" w:ascii="宋体" w:hAnsi="宋体" w:cs="宋体"/>
                <w:kern w:val="0"/>
                <w:szCs w:val="21"/>
              </w:rPr>
              <w:t>拒绝进口</w:t>
            </w:r>
          </w:p>
        </w:tc>
      </w:tr>
      <w:tr w14:paraId="124D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47722EF">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3558" w:type="dxa"/>
            <w:vAlign w:val="center"/>
          </w:tcPr>
          <w:p w14:paraId="5FA3AF35">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单排辅柜控制模块</w:t>
            </w:r>
          </w:p>
        </w:tc>
        <w:tc>
          <w:tcPr>
            <w:tcW w:w="1209" w:type="dxa"/>
            <w:vAlign w:val="center"/>
          </w:tcPr>
          <w:p w14:paraId="692D14A5">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6</w:t>
            </w:r>
          </w:p>
        </w:tc>
        <w:tc>
          <w:tcPr>
            <w:tcW w:w="1329" w:type="dxa"/>
            <w:vAlign w:val="center"/>
          </w:tcPr>
          <w:p w14:paraId="7F04FF6D">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4D2FC43F">
            <w:pPr>
              <w:spacing w:line="360" w:lineRule="auto"/>
              <w:jc w:val="center"/>
              <w:rPr>
                <w:rFonts w:ascii="宋体" w:hAnsi="宋体" w:cs="宋体"/>
                <w:kern w:val="0"/>
                <w:szCs w:val="21"/>
              </w:rPr>
            </w:pPr>
            <w:r>
              <w:rPr>
                <w:rFonts w:hint="eastAsia" w:ascii="宋体" w:hAnsi="宋体" w:cs="宋体"/>
                <w:kern w:val="0"/>
                <w:szCs w:val="21"/>
              </w:rPr>
              <w:t>拒绝进口</w:t>
            </w:r>
          </w:p>
        </w:tc>
      </w:tr>
      <w:tr w14:paraId="31F3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BE31228">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3558" w:type="dxa"/>
            <w:vAlign w:val="center"/>
          </w:tcPr>
          <w:p w14:paraId="5F98EDA1">
            <w:pPr>
              <w:widowControl/>
              <w:spacing w:line="360" w:lineRule="auto"/>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精密空调</w:t>
            </w:r>
          </w:p>
        </w:tc>
        <w:tc>
          <w:tcPr>
            <w:tcW w:w="1209" w:type="dxa"/>
            <w:vAlign w:val="center"/>
          </w:tcPr>
          <w:p w14:paraId="1E8BDC93">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1329" w:type="dxa"/>
            <w:vAlign w:val="center"/>
          </w:tcPr>
          <w:p w14:paraId="06C81FC5">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3A7CCF3B">
            <w:pPr>
              <w:spacing w:line="360" w:lineRule="auto"/>
              <w:jc w:val="center"/>
              <w:rPr>
                <w:rFonts w:ascii="宋体" w:hAnsi="宋体" w:cs="宋体"/>
                <w:kern w:val="0"/>
                <w:szCs w:val="21"/>
              </w:rPr>
            </w:pPr>
            <w:r>
              <w:rPr>
                <w:rFonts w:hint="eastAsia" w:ascii="宋体" w:hAnsi="宋体" w:cs="宋体"/>
                <w:kern w:val="0"/>
                <w:szCs w:val="21"/>
              </w:rPr>
              <w:t>拒绝进口</w:t>
            </w:r>
          </w:p>
        </w:tc>
      </w:tr>
      <w:tr w14:paraId="7389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C879B70">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w:t>
            </w:r>
          </w:p>
        </w:tc>
        <w:tc>
          <w:tcPr>
            <w:tcW w:w="3558" w:type="dxa"/>
            <w:vAlign w:val="center"/>
          </w:tcPr>
          <w:p w14:paraId="55A8ADD7">
            <w:pPr>
              <w:widowControl/>
              <w:spacing w:line="360" w:lineRule="auto"/>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不间断电源</w:t>
            </w:r>
          </w:p>
        </w:tc>
        <w:tc>
          <w:tcPr>
            <w:tcW w:w="1209" w:type="dxa"/>
            <w:vAlign w:val="center"/>
          </w:tcPr>
          <w:p w14:paraId="6F6FDCE2">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1329" w:type="dxa"/>
            <w:vAlign w:val="center"/>
          </w:tcPr>
          <w:p w14:paraId="753764C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09C6136C">
            <w:pPr>
              <w:spacing w:line="360" w:lineRule="auto"/>
              <w:jc w:val="center"/>
              <w:rPr>
                <w:rFonts w:ascii="宋体" w:hAnsi="宋体" w:cs="宋体"/>
                <w:kern w:val="0"/>
                <w:szCs w:val="21"/>
              </w:rPr>
            </w:pPr>
            <w:r>
              <w:rPr>
                <w:rFonts w:hint="eastAsia" w:ascii="宋体" w:hAnsi="宋体" w:cs="宋体"/>
                <w:kern w:val="0"/>
                <w:szCs w:val="21"/>
              </w:rPr>
              <w:t>拒绝进口</w:t>
            </w:r>
          </w:p>
        </w:tc>
      </w:tr>
      <w:tr w14:paraId="7C3A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860A23C">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3558" w:type="dxa"/>
            <w:vAlign w:val="center"/>
          </w:tcPr>
          <w:p w14:paraId="1FC03ADE">
            <w:pPr>
              <w:widowControl/>
              <w:spacing w:line="360" w:lineRule="auto"/>
              <w:jc w:val="center"/>
              <w:rPr>
                <w:rFonts w:hint="default" w:asciiTheme="minorEastAsia" w:hAnsiTheme="minorEastAsia" w:eastAsiaTheme="minorEastAsia" w:cstheme="minorEastAsia"/>
                <w:kern w:val="0"/>
                <w:sz w:val="21"/>
                <w:szCs w:val="21"/>
                <w:lang w:val="en-US"/>
              </w:rPr>
            </w:pPr>
            <w:r>
              <w:rPr>
                <w:rFonts w:hint="eastAsia" w:asciiTheme="minorEastAsia" w:hAnsiTheme="minorEastAsia" w:eastAsiaTheme="minorEastAsia" w:cstheme="minorEastAsia"/>
                <w:kern w:val="0"/>
                <w:sz w:val="21"/>
                <w:szCs w:val="21"/>
                <w:lang w:val="en-US" w:eastAsia="zh-CN"/>
              </w:rPr>
              <w:t>配电单元</w:t>
            </w:r>
          </w:p>
        </w:tc>
        <w:tc>
          <w:tcPr>
            <w:tcW w:w="1209" w:type="dxa"/>
            <w:vAlign w:val="center"/>
          </w:tcPr>
          <w:p w14:paraId="556C148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77BD0F56">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1C2AC2BB">
            <w:pPr>
              <w:spacing w:line="360" w:lineRule="auto"/>
              <w:jc w:val="center"/>
              <w:rPr>
                <w:rFonts w:hint="eastAsia" w:ascii="宋体" w:hAnsi="宋体" w:cs="宋体"/>
                <w:kern w:val="0"/>
                <w:szCs w:val="21"/>
                <w:highlight w:val="yellow"/>
                <w:lang w:val="en-US" w:eastAsia="zh-CN"/>
              </w:rPr>
            </w:pPr>
            <w:r>
              <w:rPr>
                <w:rFonts w:hint="eastAsia" w:ascii="宋体" w:hAnsi="宋体" w:cs="宋体"/>
                <w:kern w:val="0"/>
                <w:szCs w:val="21"/>
                <w:highlight w:val="yellow"/>
                <w:lang w:val="en-US" w:eastAsia="zh-CN"/>
              </w:rPr>
              <w:t>核心产品</w:t>
            </w:r>
          </w:p>
          <w:p w14:paraId="1C1F9235">
            <w:pPr>
              <w:spacing w:line="360" w:lineRule="auto"/>
              <w:jc w:val="center"/>
              <w:rPr>
                <w:rFonts w:ascii="宋体" w:hAnsi="宋体" w:cs="宋体"/>
                <w:kern w:val="0"/>
                <w:szCs w:val="21"/>
              </w:rPr>
            </w:pPr>
            <w:r>
              <w:rPr>
                <w:rFonts w:hint="eastAsia" w:ascii="宋体" w:hAnsi="宋体" w:cs="宋体"/>
                <w:kern w:val="0"/>
                <w:szCs w:val="21"/>
              </w:rPr>
              <w:t>拒绝进口</w:t>
            </w:r>
          </w:p>
        </w:tc>
      </w:tr>
      <w:tr w14:paraId="2F5C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60F3603">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w:t>
            </w:r>
          </w:p>
        </w:tc>
        <w:tc>
          <w:tcPr>
            <w:tcW w:w="3558" w:type="dxa"/>
            <w:vAlign w:val="center"/>
          </w:tcPr>
          <w:p w14:paraId="1C370BD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防火门</w:t>
            </w:r>
          </w:p>
        </w:tc>
        <w:tc>
          <w:tcPr>
            <w:tcW w:w="1209" w:type="dxa"/>
            <w:vAlign w:val="center"/>
          </w:tcPr>
          <w:p w14:paraId="0F30CFA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1329" w:type="dxa"/>
            <w:vAlign w:val="center"/>
          </w:tcPr>
          <w:p w14:paraId="535805CF">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3B2ECB05">
            <w:pPr>
              <w:spacing w:line="360" w:lineRule="auto"/>
              <w:jc w:val="center"/>
              <w:rPr>
                <w:rFonts w:ascii="宋体" w:hAnsi="宋体" w:cs="宋体"/>
                <w:kern w:val="0"/>
                <w:szCs w:val="21"/>
              </w:rPr>
            </w:pPr>
            <w:r>
              <w:rPr>
                <w:rFonts w:hint="eastAsia" w:ascii="宋体" w:hAnsi="宋体" w:cs="宋体"/>
                <w:kern w:val="0"/>
                <w:szCs w:val="21"/>
              </w:rPr>
              <w:t>拒绝进口</w:t>
            </w:r>
          </w:p>
        </w:tc>
      </w:tr>
      <w:tr w14:paraId="30D0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76D9D8CA">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8</w:t>
            </w:r>
          </w:p>
        </w:tc>
        <w:tc>
          <w:tcPr>
            <w:tcW w:w="3558" w:type="dxa"/>
            <w:shd w:val="clear" w:color="auto" w:fill="auto"/>
            <w:vAlign w:val="center"/>
          </w:tcPr>
          <w:p w14:paraId="251965A8">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铜管</w:t>
            </w:r>
          </w:p>
        </w:tc>
        <w:tc>
          <w:tcPr>
            <w:tcW w:w="1209" w:type="dxa"/>
            <w:shd w:val="clear" w:color="auto" w:fill="auto"/>
            <w:vAlign w:val="center"/>
          </w:tcPr>
          <w:p w14:paraId="541BF240">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1329" w:type="dxa"/>
            <w:shd w:val="clear" w:color="auto" w:fill="auto"/>
            <w:vAlign w:val="center"/>
          </w:tcPr>
          <w:p w14:paraId="21CA7D50">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米</w:t>
            </w:r>
          </w:p>
        </w:tc>
        <w:tc>
          <w:tcPr>
            <w:tcW w:w="1857" w:type="dxa"/>
            <w:shd w:val="clear" w:color="auto" w:fill="auto"/>
            <w:vAlign w:val="center"/>
          </w:tcPr>
          <w:p w14:paraId="6664C9C6">
            <w:pPr>
              <w:spacing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557F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7E94F88">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9</w:t>
            </w:r>
          </w:p>
        </w:tc>
        <w:tc>
          <w:tcPr>
            <w:tcW w:w="3558" w:type="dxa"/>
            <w:shd w:val="clear" w:color="auto" w:fill="auto"/>
            <w:vAlign w:val="center"/>
          </w:tcPr>
          <w:p w14:paraId="05052A2C">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走线架</w:t>
            </w:r>
          </w:p>
        </w:tc>
        <w:tc>
          <w:tcPr>
            <w:tcW w:w="1209" w:type="dxa"/>
            <w:shd w:val="clear" w:color="auto" w:fill="auto"/>
            <w:vAlign w:val="center"/>
          </w:tcPr>
          <w:p w14:paraId="6109560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1329" w:type="dxa"/>
            <w:shd w:val="clear" w:color="auto" w:fill="auto"/>
            <w:vAlign w:val="center"/>
          </w:tcPr>
          <w:p w14:paraId="6B5E4325">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1857" w:type="dxa"/>
            <w:shd w:val="clear" w:color="auto" w:fill="auto"/>
            <w:vAlign w:val="center"/>
          </w:tcPr>
          <w:p w14:paraId="25DC8D58">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032F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10C3864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10</w:t>
            </w:r>
          </w:p>
        </w:tc>
        <w:tc>
          <w:tcPr>
            <w:tcW w:w="3558" w:type="dxa"/>
            <w:shd w:val="clear" w:color="auto" w:fill="auto"/>
            <w:vAlign w:val="center"/>
          </w:tcPr>
          <w:p w14:paraId="2DCF6FBE">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电源分配单元1</w:t>
            </w:r>
          </w:p>
        </w:tc>
        <w:tc>
          <w:tcPr>
            <w:tcW w:w="1209" w:type="dxa"/>
            <w:shd w:val="clear" w:color="auto" w:fill="auto"/>
            <w:vAlign w:val="center"/>
          </w:tcPr>
          <w:p w14:paraId="7FDE9C19">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329" w:type="dxa"/>
            <w:shd w:val="clear" w:color="auto" w:fill="auto"/>
            <w:vAlign w:val="center"/>
          </w:tcPr>
          <w:p w14:paraId="6F12DD1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712AB867">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5E1F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1CEB178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11</w:t>
            </w:r>
          </w:p>
        </w:tc>
        <w:tc>
          <w:tcPr>
            <w:tcW w:w="3558" w:type="dxa"/>
            <w:shd w:val="clear" w:color="auto" w:fill="auto"/>
            <w:vAlign w:val="center"/>
          </w:tcPr>
          <w:p w14:paraId="4558747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电源分配单元2</w:t>
            </w:r>
          </w:p>
        </w:tc>
        <w:tc>
          <w:tcPr>
            <w:tcW w:w="1209" w:type="dxa"/>
            <w:shd w:val="clear" w:color="auto" w:fill="auto"/>
            <w:vAlign w:val="center"/>
          </w:tcPr>
          <w:p w14:paraId="1B2A0037">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1329" w:type="dxa"/>
            <w:shd w:val="clear" w:color="auto" w:fill="auto"/>
            <w:vAlign w:val="center"/>
          </w:tcPr>
          <w:p w14:paraId="6AABC5D7">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37C47823">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349F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4297A6D">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12</w:t>
            </w:r>
          </w:p>
        </w:tc>
        <w:tc>
          <w:tcPr>
            <w:tcW w:w="3558" w:type="dxa"/>
            <w:shd w:val="clear" w:color="auto" w:fill="auto"/>
            <w:vAlign w:val="center"/>
          </w:tcPr>
          <w:p w14:paraId="79D3CEFC">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电源分配单元3</w:t>
            </w:r>
          </w:p>
        </w:tc>
        <w:tc>
          <w:tcPr>
            <w:tcW w:w="1209" w:type="dxa"/>
            <w:shd w:val="clear" w:color="auto" w:fill="auto"/>
            <w:vAlign w:val="center"/>
          </w:tcPr>
          <w:p w14:paraId="144F698A">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1329" w:type="dxa"/>
            <w:shd w:val="clear" w:color="auto" w:fill="auto"/>
            <w:vAlign w:val="center"/>
          </w:tcPr>
          <w:p w14:paraId="3F078863">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5682C3C9">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152F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2E762924">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13</w:t>
            </w:r>
          </w:p>
        </w:tc>
        <w:tc>
          <w:tcPr>
            <w:tcW w:w="3558" w:type="dxa"/>
            <w:shd w:val="clear" w:color="auto" w:fill="auto"/>
            <w:vAlign w:val="center"/>
          </w:tcPr>
          <w:p w14:paraId="49666A6D">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温湿度传感器(无屏)</w:t>
            </w:r>
          </w:p>
        </w:tc>
        <w:tc>
          <w:tcPr>
            <w:tcW w:w="1209" w:type="dxa"/>
            <w:shd w:val="clear" w:color="auto" w:fill="auto"/>
            <w:vAlign w:val="center"/>
          </w:tcPr>
          <w:p w14:paraId="5A496320">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1329" w:type="dxa"/>
            <w:shd w:val="clear" w:color="auto" w:fill="auto"/>
            <w:vAlign w:val="center"/>
          </w:tcPr>
          <w:p w14:paraId="075ECEF8">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642D2C6C">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299A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788749F">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14</w:t>
            </w:r>
          </w:p>
        </w:tc>
        <w:tc>
          <w:tcPr>
            <w:tcW w:w="3558" w:type="dxa"/>
            <w:shd w:val="clear" w:color="auto" w:fill="auto"/>
            <w:vAlign w:val="center"/>
          </w:tcPr>
          <w:p w14:paraId="2B4B5CB6">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烟感</w:t>
            </w:r>
          </w:p>
        </w:tc>
        <w:tc>
          <w:tcPr>
            <w:tcW w:w="1209" w:type="dxa"/>
            <w:shd w:val="clear" w:color="auto" w:fill="auto"/>
            <w:vAlign w:val="center"/>
          </w:tcPr>
          <w:p w14:paraId="27F4E86A">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04D2317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478BD1B9">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49C2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0C7B5EE0">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15</w:t>
            </w:r>
          </w:p>
        </w:tc>
        <w:tc>
          <w:tcPr>
            <w:tcW w:w="3558" w:type="dxa"/>
            <w:shd w:val="clear" w:color="auto" w:fill="auto"/>
            <w:vAlign w:val="center"/>
          </w:tcPr>
          <w:p w14:paraId="4273173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声光告警器</w:t>
            </w:r>
          </w:p>
        </w:tc>
        <w:tc>
          <w:tcPr>
            <w:tcW w:w="1209" w:type="dxa"/>
            <w:shd w:val="clear" w:color="auto" w:fill="auto"/>
            <w:vAlign w:val="center"/>
          </w:tcPr>
          <w:p w14:paraId="21461095">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7F841045">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55750BEA">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1964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4665C982">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16</w:t>
            </w:r>
          </w:p>
        </w:tc>
        <w:tc>
          <w:tcPr>
            <w:tcW w:w="3558" w:type="dxa"/>
            <w:shd w:val="clear" w:color="auto" w:fill="auto"/>
            <w:vAlign w:val="center"/>
          </w:tcPr>
          <w:p w14:paraId="392A2EEC">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蓄电池</w:t>
            </w:r>
          </w:p>
        </w:tc>
        <w:tc>
          <w:tcPr>
            <w:tcW w:w="1209" w:type="dxa"/>
            <w:shd w:val="clear" w:color="auto" w:fill="auto"/>
            <w:vAlign w:val="center"/>
          </w:tcPr>
          <w:p w14:paraId="0AEF15A7">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64</w:t>
            </w:r>
          </w:p>
        </w:tc>
        <w:tc>
          <w:tcPr>
            <w:tcW w:w="1329" w:type="dxa"/>
            <w:shd w:val="clear" w:color="auto" w:fill="auto"/>
            <w:vAlign w:val="center"/>
          </w:tcPr>
          <w:p w14:paraId="19371B8F">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节</w:t>
            </w:r>
          </w:p>
        </w:tc>
        <w:tc>
          <w:tcPr>
            <w:tcW w:w="1857" w:type="dxa"/>
            <w:shd w:val="clear" w:color="auto" w:fill="auto"/>
            <w:vAlign w:val="center"/>
          </w:tcPr>
          <w:p w14:paraId="1127D7B0">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3834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71F437E">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17</w:t>
            </w:r>
          </w:p>
        </w:tc>
        <w:tc>
          <w:tcPr>
            <w:tcW w:w="3558" w:type="dxa"/>
            <w:shd w:val="clear" w:color="auto" w:fill="auto"/>
            <w:vAlign w:val="center"/>
          </w:tcPr>
          <w:p w14:paraId="78F849BD">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水浸传感器（绳式）</w:t>
            </w:r>
          </w:p>
        </w:tc>
        <w:tc>
          <w:tcPr>
            <w:tcW w:w="1209" w:type="dxa"/>
            <w:shd w:val="clear" w:color="auto" w:fill="auto"/>
            <w:vAlign w:val="center"/>
          </w:tcPr>
          <w:p w14:paraId="256274C9">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78FB8B4F">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1D95C618">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63F4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53CF1701">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18</w:t>
            </w:r>
          </w:p>
        </w:tc>
        <w:tc>
          <w:tcPr>
            <w:tcW w:w="3558" w:type="dxa"/>
            <w:shd w:val="clear" w:color="auto" w:fill="auto"/>
            <w:vAlign w:val="center"/>
          </w:tcPr>
          <w:p w14:paraId="62153FB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灭火单元</w:t>
            </w:r>
          </w:p>
        </w:tc>
        <w:tc>
          <w:tcPr>
            <w:tcW w:w="1209" w:type="dxa"/>
            <w:shd w:val="clear" w:color="auto" w:fill="auto"/>
            <w:vAlign w:val="center"/>
          </w:tcPr>
          <w:p w14:paraId="08384D59">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09B8C7AD">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313938F4">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0F3B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A76B6B0">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19</w:t>
            </w:r>
          </w:p>
        </w:tc>
        <w:tc>
          <w:tcPr>
            <w:tcW w:w="3558" w:type="dxa"/>
            <w:shd w:val="clear" w:color="auto" w:fill="auto"/>
            <w:vAlign w:val="center"/>
          </w:tcPr>
          <w:p w14:paraId="3C27158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人脸识别门禁系统</w:t>
            </w:r>
          </w:p>
        </w:tc>
        <w:tc>
          <w:tcPr>
            <w:tcW w:w="1209" w:type="dxa"/>
            <w:shd w:val="clear" w:color="auto" w:fill="auto"/>
            <w:vAlign w:val="center"/>
          </w:tcPr>
          <w:p w14:paraId="2EAF7E2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329" w:type="dxa"/>
            <w:shd w:val="clear" w:color="auto" w:fill="auto"/>
            <w:vAlign w:val="center"/>
          </w:tcPr>
          <w:p w14:paraId="16885096">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1857" w:type="dxa"/>
            <w:shd w:val="clear" w:color="auto" w:fill="auto"/>
            <w:vAlign w:val="center"/>
          </w:tcPr>
          <w:p w14:paraId="14E5E771">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1410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2E08ACAD">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20</w:t>
            </w:r>
          </w:p>
        </w:tc>
        <w:tc>
          <w:tcPr>
            <w:tcW w:w="3558" w:type="dxa"/>
            <w:shd w:val="clear" w:color="auto" w:fill="auto"/>
            <w:vAlign w:val="center"/>
          </w:tcPr>
          <w:p w14:paraId="2419131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气体消防系统</w:t>
            </w:r>
          </w:p>
        </w:tc>
        <w:tc>
          <w:tcPr>
            <w:tcW w:w="1209" w:type="dxa"/>
            <w:shd w:val="clear" w:color="auto" w:fill="auto"/>
            <w:vAlign w:val="center"/>
          </w:tcPr>
          <w:p w14:paraId="76D50AC3">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58B4D273">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1857" w:type="dxa"/>
            <w:shd w:val="clear" w:color="auto" w:fill="auto"/>
            <w:vAlign w:val="center"/>
          </w:tcPr>
          <w:p w14:paraId="4BFCB319">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4DD0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074F5EB0">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21</w:t>
            </w:r>
          </w:p>
        </w:tc>
        <w:tc>
          <w:tcPr>
            <w:tcW w:w="3558" w:type="dxa"/>
            <w:shd w:val="clear" w:color="auto" w:fill="auto"/>
            <w:vAlign w:val="center"/>
          </w:tcPr>
          <w:p w14:paraId="12D69BB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电池柜</w:t>
            </w:r>
          </w:p>
        </w:tc>
        <w:tc>
          <w:tcPr>
            <w:tcW w:w="1209" w:type="dxa"/>
            <w:shd w:val="clear" w:color="auto" w:fill="auto"/>
            <w:vAlign w:val="center"/>
          </w:tcPr>
          <w:p w14:paraId="1019C5B8">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329" w:type="dxa"/>
            <w:shd w:val="clear" w:color="auto" w:fill="auto"/>
            <w:vAlign w:val="center"/>
          </w:tcPr>
          <w:p w14:paraId="105BFED5">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1857" w:type="dxa"/>
            <w:shd w:val="clear" w:color="auto" w:fill="auto"/>
            <w:vAlign w:val="center"/>
          </w:tcPr>
          <w:p w14:paraId="10611ACB">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5996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5A187152">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22</w:t>
            </w:r>
          </w:p>
        </w:tc>
        <w:tc>
          <w:tcPr>
            <w:tcW w:w="3558" w:type="dxa"/>
            <w:shd w:val="clear" w:color="auto" w:fill="auto"/>
            <w:vAlign w:val="center"/>
          </w:tcPr>
          <w:p w14:paraId="1F64FE63">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网络配线架</w:t>
            </w:r>
          </w:p>
        </w:tc>
        <w:tc>
          <w:tcPr>
            <w:tcW w:w="1209" w:type="dxa"/>
            <w:shd w:val="clear" w:color="auto" w:fill="auto"/>
            <w:vAlign w:val="center"/>
          </w:tcPr>
          <w:p w14:paraId="4E438E4D">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1329" w:type="dxa"/>
            <w:shd w:val="clear" w:color="auto" w:fill="auto"/>
            <w:vAlign w:val="center"/>
          </w:tcPr>
          <w:p w14:paraId="453A4BD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71CE09E1">
            <w:pPr>
              <w:spacing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2AB6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6B22C663">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23</w:t>
            </w:r>
          </w:p>
        </w:tc>
        <w:tc>
          <w:tcPr>
            <w:tcW w:w="3558" w:type="dxa"/>
            <w:shd w:val="clear" w:color="auto" w:fill="auto"/>
            <w:vAlign w:val="center"/>
          </w:tcPr>
          <w:p w14:paraId="5671A15B">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理线器</w:t>
            </w:r>
          </w:p>
        </w:tc>
        <w:tc>
          <w:tcPr>
            <w:tcW w:w="1209" w:type="dxa"/>
            <w:shd w:val="clear" w:color="auto" w:fill="auto"/>
            <w:vAlign w:val="center"/>
          </w:tcPr>
          <w:p w14:paraId="7FFC4240">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1329" w:type="dxa"/>
            <w:shd w:val="clear" w:color="auto" w:fill="auto"/>
            <w:vAlign w:val="center"/>
          </w:tcPr>
          <w:p w14:paraId="019492E3">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857" w:type="dxa"/>
            <w:shd w:val="clear" w:color="auto" w:fill="auto"/>
            <w:vAlign w:val="center"/>
          </w:tcPr>
          <w:p w14:paraId="7029BE12">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5985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386E5782">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24</w:t>
            </w:r>
          </w:p>
        </w:tc>
        <w:tc>
          <w:tcPr>
            <w:tcW w:w="3558" w:type="dxa"/>
            <w:shd w:val="clear" w:color="auto" w:fill="auto"/>
            <w:vAlign w:val="center"/>
          </w:tcPr>
          <w:p w14:paraId="303AE589">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六类网线</w:t>
            </w:r>
          </w:p>
        </w:tc>
        <w:tc>
          <w:tcPr>
            <w:tcW w:w="1209" w:type="dxa"/>
            <w:shd w:val="clear" w:color="auto" w:fill="auto"/>
            <w:vAlign w:val="center"/>
          </w:tcPr>
          <w:p w14:paraId="5B62BD44">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329" w:type="dxa"/>
            <w:shd w:val="clear" w:color="auto" w:fill="auto"/>
            <w:vAlign w:val="center"/>
          </w:tcPr>
          <w:p w14:paraId="73F734A9">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箱</w:t>
            </w:r>
          </w:p>
        </w:tc>
        <w:tc>
          <w:tcPr>
            <w:tcW w:w="1857" w:type="dxa"/>
            <w:shd w:val="clear" w:color="auto" w:fill="auto"/>
            <w:vAlign w:val="center"/>
          </w:tcPr>
          <w:p w14:paraId="73B747C7">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675B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43304DD7">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25</w:t>
            </w:r>
          </w:p>
        </w:tc>
        <w:tc>
          <w:tcPr>
            <w:tcW w:w="3558" w:type="dxa"/>
            <w:shd w:val="clear" w:color="auto" w:fill="auto"/>
            <w:vAlign w:val="center"/>
          </w:tcPr>
          <w:p w14:paraId="7B92A22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弱电桥架</w:t>
            </w:r>
          </w:p>
        </w:tc>
        <w:tc>
          <w:tcPr>
            <w:tcW w:w="1209" w:type="dxa"/>
            <w:shd w:val="clear" w:color="auto" w:fill="auto"/>
            <w:vAlign w:val="center"/>
          </w:tcPr>
          <w:p w14:paraId="5407FAAB">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1329" w:type="dxa"/>
            <w:shd w:val="clear" w:color="auto" w:fill="auto"/>
            <w:vAlign w:val="center"/>
          </w:tcPr>
          <w:p w14:paraId="38455725">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米</w:t>
            </w:r>
          </w:p>
        </w:tc>
        <w:tc>
          <w:tcPr>
            <w:tcW w:w="1857" w:type="dxa"/>
            <w:shd w:val="clear" w:color="auto" w:fill="auto"/>
            <w:vAlign w:val="center"/>
          </w:tcPr>
          <w:p w14:paraId="0DD599A2">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4B4F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79167DC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26</w:t>
            </w:r>
          </w:p>
        </w:tc>
        <w:tc>
          <w:tcPr>
            <w:tcW w:w="3558" w:type="dxa"/>
            <w:shd w:val="clear" w:color="auto" w:fill="auto"/>
            <w:vAlign w:val="center"/>
          </w:tcPr>
          <w:p w14:paraId="710FFD6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承重架</w:t>
            </w:r>
          </w:p>
        </w:tc>
        <w:tc>
          <w:tcPr>
            <w:tcW w:w="1209" w:type="dxa"/>
            <w:shd w:val="clear" w:color="auto" w:fill="auto"/>
            <w:vAlign w:val="center"/>
          </w:tcPr>
          <w:p w14:paraId="0DD90A44">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329" w:type="dxa"/>
            <w:shd w:val="clear" w:color="auto" w:fill="auto"/>
            <w:vAlign w:val="center"/>
          </w:tcPr>
          <w:p w14:paraId="779A022A">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1857" w:type="dxa"/>
            <w:shd w:val="clear" w:color="auto" w:fill="auto"/>
            <w:vAlign w:val="center"/>
          </w:tcPr>
          <w:p w14:paraId="7E535EDE">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490C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7F0B8D69">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27</w:t>
            </w:r>
          </w:p>
        </w:tc>
        <w:tc>
          <w:tcPr>
            <w:tcW w:w="3558" w:type="dxa"/>
            <w:shd w:val="clear" w:color="auto" w:fill="auto"/>
            <w:vAlign w:val="center"/>
          </w:tcPr>
          <w:p w14:paraId="7CD4C7FB">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金属微孔天花</w:t>
            </w:r>
          </w:p>
        </w:tc>
        <w:tc>
          <w:tcPr>
            <w:tcW w:w="1209" w:type="dxa"/>
            <w:shd w:val="clear" w:color="auto" w:fill="auto"/>
            <w:vAlign w:val="center"/>
          </w:tcPr>
          <w:p w14:paraId="2DBAD07D">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60</w:t>
            </w:r>
          </w:p>
        </w:tc>
        <w:tc>
          <w:tcPr>
            <w:tcW w:w="1329" w:type="dxa"/>
            <w:shd w:val="clear" w:color="auto" w:fill="auto"/>
            <w:vAlign w:val="center"/>
          </w:tcPr>
          <w:p w14:paraId="5A658382">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平方米</w:t>
            </w:r>
          </w:p>
        </w:tc>
        <w:tc>
          <w:tcPr>
            <w:tcW w:w="1857" w:type="dxa"/>
            <w:shd w:val="clear" w:color="auto" w:fill="auto"/>
            <w:vAlign w:val="center"/>
          </w:tcPr>
          <w:p w14:paraId="49465D2A">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008D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40FC0A1A">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28</w:t>
            </w:r>
          </w:p>
        </w:tc>
        <w:tc>
          <w:tcPr>
            <w:tcW w:w="3558" w:type="dxa"/>
            <w:shd w:val="clear" w:color="auto" w:fill="auto"/>
            <w:vAlign w:val="center"/>
          </w:tcPr>
          <w:p w14:paraId="3F70FC01">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平板</w:t>
            </w:r>
            <w:r>
              <w:rPr>
                <w:rFonts w:hint="eastAsia" w:ascii="宋体" w:hAnsi="宋体" w:eastAsia="宋体" w:cs="宋体"/>
                <w:i w:val="0"/>
                <w:iCs w:val="0"/>
                <w:color w:val="000000"/>
                <w:kern w:val="0"/>
                <w:sz w:val="20"/>
                <w:szCs w:val="20"/>
                <w:u w:val="none"/>
                <w:lang w:val="en-US" w:eastAsia="zh-CN" w:bidi="ar"/>
              </w:rPr>
              <w:t>灯</w:t>
            </w:r>
          </w:p>
        </w:tc>
        <w:tc>
          <w:tcPr>
            <w:tcW w:w="1209" w:type="dxa"/>
            <w:shd w:val="clear" w:color="auto" w:fill="auto"/>
            <w:vAlign w:val="center"/>
          </w:tcPr>
          <w:p w14:paraId="552BB401">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10</w:t>
            </w:r>
          </w:p>
        </w:tc>
        <w:tc>
          <w:tcPr>
            <w:tcW w:w="1329" w:type="dxa"/>
            <w:shd w:val="clear" w:color="auto" w:fill="auto"/>
            <w:vAlign w:val="center"/>
          </w:tcPr>
          <w:p w14:paraId="4402EE84">
            <w:pPr>
              <w:keepNext w:val="0"/>
              <w:keepLines w:val="0"/>
              <w:widowControl/>
              <w:suppressLineNumbers w:val="0"/>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cs="宋体"/>
                <w:i w:val="0"/>
                <w:iCs w:val="0"/>
                <w:color w:val="000000"/>
                <w:kern w:val="0"/>
                <w:sz w:val="20"/>
                <w:szCs w:val="20"/>
                <w:highlight w:val="none"/>
                <w:u w:val="none"/>
                <w:lang w:val="en-US" w:eastAsia="zh-CN" w:bidi="ar"/>
              </w:rPr>
              <w:t>盏</w:t>
            </w:r>
          </w:p>
        </w:tc>
        <w:tc>
          <w:tcPr>
            <w:tcW w:w="1857" w:type="dxa"/>
            <w:shd w:val="clear" w:color="auto" w:fill="auto"/>
            <w:vAlign w:val="center"/>
          </w:tcPr>
          <w:p w14:paraId="68A53B2B">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1969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7BA379F8">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29</w:t>
            </w:r>
          </w:p>
        </w:tc>
        <w:tc>
          <w:tcPr>
            <w:tcW w:w="3558" w:type="dxa"/>
            <w:shd w:val="clear" w:color="auto" w:fill="auto"/>
            <w:vAlign w:val="center"/>
          </w:tcPr>
          <w:p w14:paraId="76C8FB34">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维修插座</w:t>
            </w:r>
          </w:p>
        </w:tc>
        <w:tc>
          <w:tcPr>
            <w:tcW w:w="1209" w:type="dxa"/>
            <w:shd w:val="clear" w:color="auto" w:fill="auto"/>
            <w:vAlign w:val="center"/>
          </w:tcPr>
          <w:p w14:paraId="40653039">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4</w:t>
            </w:r>
          </w:p>
        </w:tc>
        <w:tc>
          <w:tcPr>
            <w:tcW w:w="1329" w:type="dxa"/>
            <w:shd w:val="clear" w:color="auto" w:fill="auto"/>
            <w:vAlign w:val="center"/>
          </w:tcPr>
          <w:p w14:paraId="48EAA409">
            <w:pPr>
              <w:keepNext w:val="0"/>
              <w:keepLines w:val="0"/>
              <w:widowControl/>
              <w:suppressLineNumbers w:val="0"/>
              <w:jc w:val="center"/>
              <w:textAlignment w:val="center"/>
              <w:rPr>
                <w:rFonts w:hint="default"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bidi="ar-SA"/>
              </w:rPr>
              <w:t>个</w:t>
            </w:r>
          </w:p>
        </w:tc>
        <w:tc>
          <w:tcPr>
            <w:tcW w:w="1857" w:type="dxa"/>
            <w:shd w:val="clear" w:color="auto" w:fill="auto"/>
            <w:vAlign w:val="center"/>
          </w:tcPr>
          <w:p w14:paraId="5D81D36C">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3E2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69F829C8">
            <w:pPr>
              <w:widowControl/>
              <w:spacing w:line="360" w:lineRule="auto"/>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30</w:t>
            </w:r>
          </w:p>
        </w:tc>
        <w:tc>
          <w:tcPr>
            <w:tcW w:w="3558" w:type="dxa"/>
            <w:shd w:val="clear" w:color="auto" w:fill="auto"/>
            <w:vAlign w:val="center"/>
          </w:tcPr>
          <w:p w14:paraId="07A63352">
            <w:pPr>
              <w:keepNext w:val="0"/>
              <w:keepLines w:val="0"/>
              <w:widowControl/>
              <w:suppressLineNumbers w:val="0"/>
              <w:jc w:val="center"/>
              <w:textAlignment w:val="center"/>
              <w:rPr>
                <w:rFonts w:hint="eastAsia" w:ascii="宋体" w:hAnsi="宋体" w:eastAsia="宋体" w:cs="宋体"/>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防静电地板</w:t>
            </w:r>
          </w:p>
        </w:tc>
        <w:tc>
          <w:tcPr>
            <w:tcW w:w="1209" w:type="dxa"/>
            <w:shd w:val="clear" w:color="auto" w:fill="auto"/>
            <w:vAlign w:val="center"/>
          </w:tcPr>
          <w:p w14:paraId="37A40873">
            <w:pPr>
              <w:keepNext w:val="0"/>
              <w:keepLines w:val="0"/>
              <w:widowControl/>
              <w:suppressLineNumbers w:val="0"/>
              <w:jc w:val="center"/>
              <w:textAlignment w:val="center"/>
              <w:rPr>
                <w:rFonts w:hint="default" w:ascii="宋体" w:hAnsi="宋体" w:eastAsia="宋体" w:cs="宋体"/>
                <w:kern w:val="0"/>
                <w:sz w:val="21"/>
                <w:szCs w:val="21"/>
                <w:lang w:val="en-US" w:eastAsia="zh-CN" w:bidi="ar-SA"/>
              </w:rPr>
            </w:pPr>
            <w:r>
              <w:rPr>
                <w:rFonts w:hint="eastAsia" w:ascii="宋体" w:hAnsi="宋体" w:cs="宋体"/>
                <w:i w:val="0"/>
                <w:iCs w:val="0"/>
                <w:color w:val="000000"/>
                <w:kern w:val="0"/>
                <w:sz w:val="20"/>
                <w:szCs w:val="20"/>
                <w:u w:val="none"/>
                <w:lang w:val="en-US" w:eastAsia="zh-CN" w:bidi="ar"/>
              </w:rPr>
              <w:t>60</w:t>
            </w:r>
          </w:p>
        </w:tc>
        <w:tc>
          <w:tcPr>
            <w:tcW w:w="1329" w:type="dxa"/>
            <w:shd w:val="clear" w:color="auto" w:fill="auto"/>
            <w:vAlign w:val="center"/>
          </w:tcPr>
          <w:p w14:paraId="2EDBF0AF">
            <w:pPr>
              <w:keepNext w:val="0"/>
              <w:keepLines w:val="0"/>
              <w:widowControl/>
              <w:suppressLineNumbers w:val="0"/>
              <w:jc w:val="center"/>
              <w:textAlignment w:val="center"/>
              <w:rPr>
                <w:rFonts w:hint="default" w:ascii="宋体" w:hAnsi="宋体" w:eastAsia="宋体" w:cs="宋体"/>
                <w:kern w:val="0"/>
                <w:sz w:val="21"/>
                <w:szCs w:val="21"/>
                <w:highlight w:val="none"/>
                <w:lang w:val="en-US" w:eastAsia="zh-CN" w:bidi="ar-SA"/>
              </w:rPr>
            </w:pPr>
            <w:r>
              <w:rPr>
                <w:rFonts w:hint="eastAsia" w:ascii="宋体" w:hAnsi="宋体" w:cs="宋体"/>
                <w:i w:val="0"/>
                <w:iCs w:val="0"/>
                <w:color w:val="000000"/>
                <w:kern w:val="0"/>
                <w:sz w:val="20"/>
                <w:szCs w:val="20"/>
                <w:highlight w:val="none"/>
                <w:u w:val="none"/>
                <w:lang w:val="en-US" w:eastAsia="zh-CN" w:bidi="ar"/>
              </w:rPr>
              <w:t>平方米</w:t>
            </w:r>
          </w:p>
        </w:tc>
        <w:tc>
          <w:tcPr>
            <w:tcW w:w="1857" w:type="dxa"/>
            <w:shd w:val="clear" w:color="auto" w:fill="auto"/>
            <w:vAlign w:val="center"/>
          </w:tcPr>
          <w:p w14:paraId="7D1DA6A7">
            <w:pPr>
              <w:spacing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r w14:paraId="619F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shd w:val="clear" w:color="auto" w:fill="auto"/>
            <w:vAlign w:val="center"/>
          </w:tcPr>
          <w:p w14:paraId="49D7030E">
            <w:pPr>
              <w:widowControl/>
              <w:spacing w:line="360" w:lineRule="auto"/>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31</w:t>
            </w:r>
          </w:p>
        </w:tc>
        <w:tc>
          <w:tcPr>
            <w:tcW w:w="3558" w:type="dxa"/>
            <w:shd w:val="clear" w:color="auto" w:fill="auto"/>
            <w:vAlign w:val="center"/>
          </w:tcPr>
          <w:p w14:paraId="1E9224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彩钢板</w:t>
            </w:r>
          </w:p>
        </w:tc>
        <w:tc>
          <w:tcPr>
            <w:tcW w:w="1209" w:type="dxa"/>
            <w:shd w:val="clear" w:color="auto" w:fill="auto"/>
            <w:vAlign w:val="center"/>
          </w:tcPr>
          <w:p w14:paraId="28A96F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36</w:t>
            </w:r>
          </w:p>
        </w:tc>
        <w:tc>
          <w:tcPr>
            <w:tcW w:w="1329" w:type="dxa"/>
            <w:shd w:val="clear" w:color="auto" w:fill="auto"/>
            <w:vAlign w:val="center"/>
          </w:tcPr>
          <w:p w14:paraId="3CF788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平方米</w:t>
            </w:r>
          </w:p>
        </w:tc>
        <w:tc>
          <w:tcPr>
            <w:tcW w:w="1857" w:type="dxa"/>
            <w:shd w:val="clear" w:color="auto" w:fill="auto"/>
            <w:vAlign w:val="center"/>
          </w:tcPr>
          <w:p w14:paraId="29884425">
            <w:pPr>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拒绝进口</w:t>
            </w:r>
          </w:p>
        </w:tc>
      </w:tr>
    </w:tbl>
    <w:p w14:paraId="3C41F674">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u w:val="single"/>
        </w:rPr>
        <w:t xml:space="preserve"> </w:t>
      </w:r>
      <w:r>
        <w:rPr>
          <w:rFonts w:hint="eastAsia"/>
          <w:b/>
          <w:bCs/>
          <w:highlight w:val="yellow"/>
          <w:u w:val="single"/>
        </w:rPr>
        <w:t>配电单元</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6737"/>
      </w:tblGrid>
      <w:tr w14:paraId="213D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14:paraId="3B09FA9E">
            <w:pPr>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980" w:type="dxa"/>
            <w:vAlign w:val="center"/>
          </w:tcPr>
          <w:p w14:paraId="09932434">
            <w:pPr>
              <w:widowControl/>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货物名称</w:t>
            </w:r>
          </w:p>
        </w:tc>
        <w:tc>
          <w:tcPr>
            <w:tcW w:w="6737" w:type="dxa"/>
            <w:vAlign w:val="center"/>
          </w:tcPr>
          <w:p w14:paraId="14D6F210">
            <w:pPr>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招标技术参数要求</w:t>
            </w:r>
          </w:p>
        </w:tc>
      </w:tr>
      <w:tr w14:paraId="1152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restart"/>
            <w:vAlign w:val="center"/>
          </w:tcPr>
          <w:p w14:paraId="78038B98">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980" w:type="dxa"/>
            <w:vMerge w:val="restart"/>
            <w:shd w:val="clear" w:color="auto" w:fill="auto"/>
            <w:vAlign w:val="center"/>
          </w:tcPr>
          <w:p w14:paraId="6D200E7C">
            <w:pPr>
              <w:widowControl/>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微数据中心机柜主柜</w:t>
            </w:r>
          </w:p>
        </w:tc>
        <w:tc>
          <w:tcPr>
            <w:tcW w:w="6737" w:type="dxa"/>
            <w:vAlign w:val="center"/>
          </w:tcPr>
          <w:p w14:paraId="092E4942">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规格：≥600（W）*1400（D）*2000（H）mm；内部标准安装空间42U。</w:t>
            </w:r>
          </w:p>
        </w:tc>
      </w:tr>
      <w:tr w14:paraId="16AF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5F69BBE1">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632DFEE6">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6D039CD0">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机柜前门采用有机玻璃门，厚度≥6mm。后门为封闭钣金门设计。</w:t>
            </w:r>
          </w:p>
        </w:tc>
      </w:tr>
      <w:tr w14:paraId="06FB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1B82DE0A">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4A5F94D4">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1D127DA5">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机柜应采用一体化组装式结构设计（大批量可现场组装），由机柜顶板、底板、PDU、并柜组件及配件组成，可方便拆卸。</w:t>
            </w:r>
          </w:p>
        </w:tc>
      </w:tr>
      <w:tr w14:paraId="1A0C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6E637B68">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25F2BED2">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2281E624">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表面喷涂处理：机柜表面在喷塑前进行酸洗、磷化处理；再进行喷涂。采用先进的表面处理技术和材料，确保表层耐磨；同时，确保达到防静电及国</w:t>
            </w:r>
            <w:r>
              <w:rPr>
                <w:rFonts w:hint="eastAsia" w:asciiTheme="minorEastAsia" w:hAnsiTheme="minorEastAsia" w:eastAsiaTheme="minorEastAsia" w:cstheme="minorEastAsia"/>
                <w:sz w:val="21"/>
                <w:szCs w:val="21"/>
                <w:lang w:val="en-US" w:eastAsia="zh-CN"/>
              </w:rPr>
              <w:t>标</w:t>
            </w:r>
            <w:r>
              <w:rPr>
                <w:rFonts w:hint="eastAsia" w:asciiTheme="minorEastAsia" w:hAnsiTheme="minorEastAsia" w:eastAsiaTheme="minorEastAsia" w:cstheme="minorEastAsia"/>
                <w:sz w:val="21"/>
                <w:szCs w:val="21"/>
              </w:rPr>
              <w:t>标准，表面喷塑厚度达到70-130um，表面喷塑硬度应大于2H，附着力达到高等级国际标准，达到国家无毒无害的喷涂标准。</w:t>
            </w:r>
          </w:p>
        </w:tc>
      </w:tr>
      <w:tr w14:paraId="0C4E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4EC13C6D">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4A91C1B0">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59C24F53">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5.</w:t>
            </w:r>
            <w:r>
              <w:rPr>
                <w:rFonts w:hint="eastAsia" w:asciiTheme="minorEastAsia" w:hAnsiTheme="minorEastAsia" w:eastAsiaTheme="minorEastAsia" w:cstheme="minorEastAsia"/>
                <w:b/>
                <w:bCs/>
                <w:color w:val="FF0000"/>
                <w:sz w:val="21"/>
                <w:szCs w:val="21"/>
              </w:rPr>
              <w:t>弹门系统与通道内温度联动，当通道内出现高温报警时自动弹开前、后门，充分利用室内空间散热，最大程度上延长应急运行时间；也可与消防系统进行联动，当发生火灾时，前、后门与消防联动，</w:t>
            </w:r>
            <w:r>
              <w:rPr>
                <w:rFonts w:hint="eastAsia" w:asciiTheme="minorEastAsia" w:hAnsiTheme="minorEastAsia" w:eastAsiaTheme="minorEastAsia" w:cstheme="minorEastAsia"/>
                <w:b/>
                <w:bCs/>
                <w:color w:val="FF0000"/>
                <w:sz w:val="21"/>
                <w:szCs w:val="21"/>
                <w:lang w:val="en-US" w:eastAsia="zh-CN"/>
              </w:rPr>
              <w:t>投标时</w:t>
            </w:r>
            <w:r>
              <w:rPr>
                <w:rFonts w:hint="eastAsia" w:asciiTheme="minorEastAsia" w:hAnsiTheme="minorEastAsia" w:eastAsiaTheme="minorEastAsia" w:cstheme="minorEastAsia"/>
                <w:b/>
                <w:bCs/>
                <w:color w:val="FF0000"/>
                <w:sz w:val="21"/>
                <w:szCs w:val="21"/>
              </w:rPr>
              <w:t>需提供高温报警时自动弹开前、后门</w:t>
            </w:r>
            <w:r>
              <w:rPr>
                <w:rFonts w:hint="eastAsia" w:asciiTheme="minorEastAsia" w:hAnsiTheme="minorEastAsia" w:eastAsiaTheme="minorEastAsia" w:cstheme="minorEastAsia"/>
                <w:b/>
                <w:bCs/>
                <w:color w:val="FF0000"/>
                <w:sz w:val="21"/>
                <w:szCs w:val="21"/>
                <w:lang w:val="en-US" w:eastAsia="zh-CN"/>
              </w:rPr>
              <w:t>的</w:t>
            </w:r>
            <w:r>
              <w:rPr>
                <w:rFonts w:hint="eastAsia" w:asciiTheme="minorEastAsia" w:hAnsiTheme="minorEastAsia" w:eastAsiaTheme="minorEastAsia" w:cstheme="minorEastAsia"/>
                <w:b/>
                <w:bCs/>
                <w:color w:val="FF0000"/>
                <w:sz w:val="21"/>
                <w:szCs w:val="21"/>
              </w:rPr>
              <w:t>设置界面截图</w:t>
            </w:r>
            <w:r>
              <w:rPr>
                <w:rFonts w:hint="eastAsia" w:asciiTheme="minorEastAsia" w:hAnsiTheme="minorEastAsia" w:eastAsiaTheme="minorEastAsia" w:cstheme="minorEastAsia"/>
                <w:b/>
                <w:bCs/>
                <w:color w:val="FF0000"/>
                <w:sz w:val="21"/>
                <w:szCs w:val="21"/>
                <w:lang w:val="en-US" w:eastAsia="zh-CN"/>
              </w:rPr>
              <w:t>作为佐证材料</w:t>
            </w:r>
            <w:r>
              <w:rPr>
                <w:rFonts w:hint="eastAsia" w:asciiTheme="minorEastAsia" w:hAnsiTheme="minorEastAsia" w:eastAsiaTheme="minorEastAsia" w:cstheme="minorEastAsia"/>
                <w:b/>
                <w:bCs/>
                <w:color w:val="FF0000"/>
                <w:sz w:val="21"/>
                <w:szCs w:val="21"/>
              </w:rPr>
              <w:t>。</w:t>
            </w:r>
          </w:p>
        </w:tc>
      </w:tr>
      <w:tr w14:paraId="1A46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0DF5F73D">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3AA10200">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78AC2E61">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顶部应集成有强弱电走线线槽，应支持模块化设计、去工程化安装特性，并能以机柜为单位进行扩展，强弱电分开布线，线槽与机柜风格统一。</w:t>
            </w:r>
          </w:p>
        </w:tc>
      </w:tr>
      <w:tr w14:paraId="2C3E1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60571495">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365B4BDE">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068884D0">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冷通道内应具有智能灯光系统，蓝色、白色、黄色、红色、紫色，光源采用12V LED灯条，满足以下的颜色管理功能：</w:t>
            </w:r>
          </w:p>
          <w:p w14:paraId="2968DA33">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正常工作情况下，冷通道灯光为蓝色；机柜前门被打开时对应机柜自动变为白色；一体化数据中心内出现有一般故障时变为黄色，严重故障报警时自动变为红色；通讯故障时则变为紫色。</w:t>
            </w:r>
          </w:p>
        </w:tc>
      </w:tr>
      <w:tr w14:paraId="6CA4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548BCC73">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1AA4E946">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2799C4D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冷通道端门上安装1台</w:t>
            </w:r>
            <w:r>
              <w:rPr>
                <w:rFonts w:hint="eastAsia"/>
                <w:lang w:val="en-US" w:eastAsia="zh-CN"/>
              </w:rPr>
              <w:t>≥</w:t>
            </w:r>
            <w:r>
              <w:rPr>
                <w:rFonts w:hint="eastAsia" w:asciiTheme="minorEastAsia" w:hAnsiTheme="minorEastAsia" w:eastAsiaTheme="minorEastAsia" w:cstheme="minorEastAsia"/>
                <w:sz w:val="21"/>
                <w:szCs w:val="21"/>
              </w:rPr>
              <w:t>10寸的彩色触摸屏，屏内集成动环主机监控功能，全面实时监控一体化数据中心工作状态，无需另外安装动环主机，节省安装维护时间。同时在端门开启时不影响触摸屏的正常操作。</w:t>
            </w:r>
          </w:p>
        </w:tc>
      </w:tr>
      <w:tr w14:paraId="74C7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3DE67190">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1E29885E">
            <w:pPr>
              <w:widowControl/>
              <w:spacing w:line="360" w:lineRule="auto"/>
              <w:jc w:val="center"/>
              <w:rPr>
                <w:rFonts w:hint="eastAsia" w:asciiTheme="minorEastAsia" w:hAnsiTheme="minorEastAsia" w:eastAsiaTheme="minorEastAsia" w:cstheme="minorEastAsia"/>
                <w:kern w:val="0"/>
                <w:sz w:val="21"/>
                <w:szCs w:val="21"/>
                <w:lang w:val="en-US" w:eastAsia="zh-CN" w:bidi="ar-SA"/>
              </w:rPr>
            </w:pPr>
          </w:p>
        </w:tc>
        <w:tc>
          <w:tcPr>
            <w:tcW w:w="6737" w:type="dxa"/>
            <w:vAlign w:val="center"/>
          </w:tcPr>
          <w:p w14:paraId="31777125">
            <w:pPr>
              <w:numPr>
                <w:ilvl w:val="0"/>
                <w:numId w:val="0"/>
              </w:numPr>
              <w:spacing w:after="60" w:line="360" w:lineRule="auto"/>
              <w:jc w:val="left"/>
              <w:rPr>
                <w:rFonts w:hint="default"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color w:val="FF0000"/>
                <w:sz w:val="21"/>
                <w:szCs w:val="21"/>
                <w:lang w:val="en-US" w:eastAsia="zh-CN"/>
              </w:rPr>
              <w:t>9.支持本地和中心网管两级管理架构;支持移动APP管理。</w:t>
            </w:r>
            <w:r>
              <w:rPr>
                <w:rFonts w:hint="eastAsia" w:asciiTheme="minorEastAsia" w:hAnsiTheme="minorEastAsia" w:eastAsiaTheme="minorEastAsia" w:cstheme="minorEastAsia"/>
                <w:b/>
                <w:bCs/>
                <w:color w:val="FF0000"/>
                <w:sz w:val="21"/>
                <w:szCs w:val="21"/>
                <w:lang w:val="en-US" w:eastAsia="zh-CN"/>
              </w:rPr>
              <w:t>投标时需提供产品彩页或产品说明书关键页等证明材料（相关参数在证明材料中标注）</w:t>
            </w:r>
          </w:p>
        </w:tc>
      </w:tr>
      <w:tr w14:paraId="5BBE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restart"/>
            <w:vAlign w:val="center"/>
          </w:tcPr>
          <w:p w14:paraId="71B34878">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1980" w:type="dxa"/>
            <w:vMerge w:val="restart"/>
            <w:shd w:val="clear" w:color="auto" w:fill="auto"/>
            <w:vAlign w:val="center"/>
          </w:tcPr>
          <w:p w14:paraId="25791BB7">
            <w:pPr>
              <w:widowControl/>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微数据中心机柜辅</w:t>
            </w:r>
            <w:r>
              <w:rPr>
                <w:rFonts w:hint="eastAsia" w:asciiTheme="minorEastAsia" w:hAnsiTheme="minorEastAsia" w:eastAsiaTheme="minorEastAsia" w:cstheme="minorEastAsia"/>
                <w:kern w:val="0"/>
                <w:sz w:val="21"/>
                <w:szCs w:val="21"/>
                <w:lang w:val="en-US" w:eastAsia="zh-CN"/>
              </w:rPr>
              <w:t>柜</w:t>
            </w:r>
          </w:p>
        </w:tc>
        <w:tc>
          <w:tcPr>
            <w:tcW w:w="6737" w:type="dxa"/>
            <w:vAlign w:val="center"/>
          </w:tcPr>
          <w:p w14:paraId="77E8757E">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规格：≥600（W）*1400（D）*2000（H）mm；内部标准安装空间42U。</w:t>
            </w:r>
          </w:p>
        </w:tc>
      </w:tr>
      <w:tr w14:paraId="4E09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18B2B2D9">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789BB4F0">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03592A79">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机柜前门采用有机玻璃门，厚度≥6mm。后门为封闭钣金门设计。</w:t>
            </w:r>
          </w:p>
        </w:tc>
      </w:tr>
      <w:tr w14:paraId="0073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4CD4F717">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48F39F1D">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54EE37C2">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机柜应采用一体化组装式结构设计（大批量可现场组装），由机柜顶板、底板、PDU、并柜组件及配件组成，可方便拆卸。</w:t>
            </w:r>
          </w:p>
        </w:tc>
      </w:tr>
      <w:tr w14:paraId="74D1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406030EE">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29B9F08C">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4DC35ECE">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表面喷涂处理：机柜表面在喷塑前进行酸洗、磷化处理；再进行喷涂。采用先进的表面处理技术和材料，确保表层耐磨；同时，确保达到防静电及国际标准，表面喷塑厚度达到70-130um，表面喷塑硬度应大于2H，附着力达到高等级国际标准，达到国家无毒无害的喷涂标准。</w:t>
            </w:r>
          </w:p>
        </w:tc>
      </w:tr>
      <w:tr w14:paraId="2B3C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687D9AFD">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0450BAAC">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68B43D98">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弹门系统与通道内温度联动，当通道内出现高温报警时自动弹开前、后门，充分利用室内空间散热，最大程度上延长应急运行时间；也可与消防系统进行联动，当发生火灾时，前、后门与消防联动。</w:t>
            </w:r>
          </w:p>
        </w:tc>
      </w:tr>
      <w:tr w14:paraId="6B77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745225D0">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5C59B70A">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6D77EBDD">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顶部应集成有强弱电走线线槽，应支持模块化设计、去工程化安装特性，并能以机柜为单位进行扩展，强弱电分开布线，线槽与机柜风格统一。</w:t>
            </w:r>
          </w:p>
        </w:tc>
      </w:tr>
      <w:tr w14:paraId="3813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7C69473A">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shd w:val="clear" w:color="auto" w:fill="auto"/>
            <w:vAlign w:val="center"/>
          </w:tcPr>
          <w:p w14:paraId="4A8D53D7">
            <w:pPr>
              <w:widowControl/>
              <w:spacing w:line="360" w:lineRule="auto"/>
              <w:jc w:val="center"/>
              <w:rPr>
                <w:rFonts w:hint="eastAsia" w:asciiTheme="minorEastAsia" w:hAnsiTheme="minorEastAsia" w:eastAsiaTheme="minorEastAsia" w:cstheme="minorEastAsia"/>
                <w:kern w:val="0"/>
                <w:sz w:val="21"/>
                <w:szCs w:val="21"/>
                <w:lang w:val="en-US" w:eastAsia="zh-CN" w:bidi="ar-SA"/>
              </w:rPr>
            </w:pPr>
          </w:p>
        </w:tc>
        <w:tc>
          <w:tcPr>
            <w:tcW w:w="6737" w:type="dxa"/>
            <w:vAlign w:val="center"/>
          </w:tcPr>
          <w:p w14:paraId="7960FA44">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冷通道内应具有智能灯光系统，蓝色、白色、黄色、红色、紫色，光源采用12V LED灯条，满足以下的颜色管理功能：</w:t>
            </w:r>
          </w:p>
          <w:p w14:paraId="2D0572A5">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正常工作情况下，冷通道灯光为蓝色；机柜前门被打开时对应机柜自动变为白色；一体化数据中心内出现有一般故障时变为黄色，严重故障报警时自动变为红色；通讯故障时则变为紫色。</w:t>
            </w:r>
          </w:p>
        </w:tc>
      </w:tr>
      <w:tr w14:paraId="724B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restart"/>
            <w:vAlign w:val="center"/>
          </w:tcPr>
          <w:p w14:paraId="3DA13A6B">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980" w:type="dxa"/>
            <w:vMerge w:val="restart"/>
            <w:vAlign w:val="center"/>
          </w:tcPr>
          <w:p w14:paraId="6944F03F">
            <w:pPr>
              <w:widowControl/>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单排辅柜控制模块</w:t>
            </w:r>
          </w:p>
        </w:tc>
        <w:tc>
          <w:tcPr>
            <w:tcW w:w="6737" w:type="dxa"/>
            <w:vAlign w:val="center"/>
          </w:tcPr>
          <w:p w14:paraId="2ED9672B">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电源输入：单路交流电源输入（UPS输出取电）；</w:t>
            </w:r>
          </w:p>
        </w:tc>
      </w:tr>
      <w:tr w14:paraId="706E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71C40667">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488F052">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342CE772">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LCD/扩展接口：提供4个</w:t>
            </w:r>
            <w:r>
              <w:rPr>
                <w:rFonts w:hint="eastAsia"/>
                <w:lang w:val="en-US" w:eastAsia="zh-CN"/>
              </w:rPr>
              <w:t>或以上</w:t>
            </w:r>
            <w:r>
              <w:rPr>
                <w:rFonts w:hint="eastAsia" w:asciiTheme="minorEastAsia" w:hAnsiTheme="minorEastAsia" w:eastAsiaTheme="minorEastAsia" w:cstheme="minorEastAsia"/>
                <w:sz w:val="21"/>
                <w:szCs w:val="21"/>
              </w:rPr>
              <w:t>RJ45接口，用于连接智能监控屏的RS485通讯接口以及并接下一个扩展模块；</w:t>
            </w:r>
          </w:p>
        </w:tc>
      </w:tr>
      <w:tr w14:paraId="3B75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293FA560">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5ECB418C">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76566DEC">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RS485通讯接口：支持3路RS485可配置接口，每1路提供上下两个接口便于接线，接口形式为RJ45，默认通讯速度9600bps；</w:t>
            </w:r>
          </w:p>
        </w:tc>
      </w:tr>
      <w:tr w14:paraId="4374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43156CBE">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76327F5B">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5EEE434F">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ID设置：以拨码形式设置模块ID；</w:t>
            </w:r>
          </w:p>
        </w:tc>
      </w:tr>
      <w:tr w14:paraId="3DB6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2F8BE976">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74442869">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300BFCFF">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输出干接点：</w:t>
            </w:r>
            <w:r>
              <w:rPr>
                <w:rFonts w:hint="eastAsia"/>
                <w:lang w:val="en-US" w:eastAsia="zh-CN"/>
              </w:rPr>
              <w:t>≥</w:t>
            </w:r>
            <w:r>
              <w:rPr>
                <w:rFonts w:hint="eastAsia" w:asciiTheme="minorEastAsia" w:hAnsiTheme="minorEastAsia" w:eastAsiaTheme="minorEastAsia" w:cstheme="minorEastAsia"/>
                <w:sz w:val="21"/>
                <w:szCs w:val="21"/>
              </w:rPr>
              <w:t>9路输出干接点接口，其中</w:t>
            </w:r>
            <w:r>
              <w:rPr>
                <w:rFonts w:hint="eastAsia"/>
                <w:lang w:val="en-US" w:eastAsia="zh-CN"/>
              </w:rPr>
              <w:t>≥</w:t>
            </w:r>
            <w:r>
              <w:rPr>
                <w:rFonts w:hint="eastAsia" w:asciiTheme="minorEastAsia" w:hAnsiTheme="minorEastAsia" w:eastAsiaTheme="minorEastAsia" w:cstheme="minorEastAsia"/>
                <w:sz w:val="21"/>
                <w:szCs w:val="21"/>
              </w:rPr>
              <w:t>6路支持NC或NO信号，其余</w:t>
            </w:r>
            <w:r>
              <w:rPr>
                <w:rFonts w:hint="eastAsia"/>
                <w:lang w:val="en-US" w:eastAsia="zh-CN"/>
              </w:rPr>
              <w:t>≥</w:t>
            </w:r>
            <w:r>
              <w:rPr>
                <w:rFonts w:hint="eastAsia" w:asciiTheme="minorEastAsia" w:hAnsiTheme="minorEastAsia" w:eastAsiaTheme="minorEastAsia" w:cstheme="minorEastAsia"/>
                <w:sz w:val="21"/>
                <w:szCs w:val="21"/>
              </w:rPr>
              <w:t>3路支持NO信号；</w:t>
            </w:r>
          </w:p>
        </w:tc>
      </w:tr>
      <w:tr w14:paraId="0C72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7512F7B8">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0F67801">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7A5928A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输入干接点：最多支持7路输入干接点接口。</w:t>
            </w:r>
          </w:p>
        </w:tc>
      </w:tr>
      <w:tr w14:paraId="71A8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vAlign w:val="center"/>
          </w:tcPr>
          <w:p w14:paraId="582D32A1">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1980" w:type="dxa"/>
            <w:vMerge w:val="restart"/>
            <w:vAlign w:val="center"/>
          </w:tcPr>
          <w:p w14:paraId="0A0069D9">
            <w:pPr>
              <w:widowControl/>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rPr>
              <w:t>精密空调</w:t>
            </w:r>
          </w:p>
        </w:tc>
        <w:tc>
          <w:tcPr>
            <w:tcW w:w="6737" w:type="dxa"/>
            <w:vAlign w:val="center"/>
          </w:tcPr>
          <w:p w14:paraId="68883FB5">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机架式精密空调室内机尺寸应</w:t>
            </w:r>
            <w:r>
              <w:rPr>
                <w:rFonts w:hint="eastAsia"/>
                <w:lang w:val="en-US" w:eastAsia="zh-CN"/>
              </w:rPr>
              <w:t>≤</w:t>
            </w:r>
            <w:r>
              <w:rPr>
                <w:rFonts w:hint="eastAsia" w:asciiTheme="minorEastAsia" w:hAnsiTheme="minorEastAsia" w:eastAsiaTheme="minorEastAsia" w:cstheme="minorEastAsia"/>
                <w:sz w:val="21"/>
                <w:szCs w:val="21"/>
              </w:rPr>
              <w:t>W440*D800*H310（7U），制冷量不低于7.5kW，室内机和室外机配套提供。</w:t>
            </w:r>
          </w:p>
        </w:tc>
      </w:tr>
      <w:tr w14:paraId="251A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0C81194">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DC7379D">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220A4A0C">
            <w:pPr>
              <w:pStyle w:val="18"/>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2.</w:t>
            </w:r>
            <w:r>
              <w:rPr>
                <w:rFonts w:hint="eastAsia" w:asciiTheme="minorEastAsia" w:hAnsiTheme="minorEastAsia" w:eastAsiaTheme="minorEastAsia" w:cstheme="minorEastAsia"/>
                <w:b/>
                <w:bCs/>
                <w:color w:val="FF0000"/>
                <w:sz w:val="21"/>
                <w:szCs w:val="21"/>
              </w:rPr>
              <w:t>机架式精密空调总冷量应≥7.5kW，显冷量≥7.5kW，风量≥1350m³/h，PTC电加热，加热量≥1.5kW，湿膜加湿，加湿量≥0.8kg/h,采用R410A环保制冷剂</w:t>
            </w: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lang w:val="en-US" w:eastAsia="zh-CN"/>
              </w:rPr>
              <w:t>投标时需提供产品彩页或产品说明书关键页等证明材料（相关参数在证明材料中标注）</w:t>
            </w:r>
          </w:p>
        </w:tc>
      </w:tr>
      <w:tr w14:paraId="5E97B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316E2B1">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31E391B7">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420FE1E5">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为增加制冷效率，提供能效，蒸发器应采用V型设计。</w:t>
            </w:r>
          </w:p>
        </w:tc>
      </w:tr>
      <w:tr w14:paraId="5B1D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58F83300">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6A3B609D">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07D3CB6B">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机架式精密空调应采用变频压缩机，根据机柜负荷自动调节制冷输出,配合高效电子膨胀阀，平滑调节节流开度，自动控制冷媒流量，</w:t>
            </w:r>
          </w:p>
        </w:tc>
      </w:tr>
      <w:tr w14:paraId="7109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5EC8890E">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2A34AC8">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43ACBB1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机架空调应采用EC离心风机，性能大幅提升，实时按需分配风量。</w:t>
            </w:r>
          </w:p>
        </w:tc>
      </w:tr>
      <w:tr w14:paraId="0746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C71761F">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1E94E24A">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4AE90D05">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机架空调应采用重力排水设计，为防止和杜绝机柜内水患风险，排水管内径不得小于15mm，空调需内置接水盘，不额外占用机柜U位，且出厂预留不少于1米冷凝水管外接到空调外部，不接受空调底部再设置接水盘的设计。</w:t>
            </w:r>
          </w:p>
        </w:tc>
      </w:tr>
      <w:tr w14:paraId="586A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172B604A">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7711332">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0257BDCD">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机架式空调室外机组应包含变频压缩机、轴流风机、冷凝器、单向阀等部件。</w:t>
            </w:r>
          </w:p>
        </w:tc>
      </w:tr>
      <w:tr w14:paraId="7B12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164A7B9C">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07963751">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0E94A0FE">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机架式空调室内机和室外机工作电源制式应为220VAC~50Hz。</w:t>
            </w:r>
          </w:p>
        </w:tc>
      </w:tr>
      <w:tr w14:paraId="2736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90EC724">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4B312D49">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1DE64B8E">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为便于电源管理，室外机从室内机取电且需原厂配置不低于7米的内外机连接线缆。</w:t>
            </w:r>
          </w:p>
        </w:tc>
      </w:tr>
      <w:tr w14:paraId="43BA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F1D7176">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40CFDE4B">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1464340E">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室内外机应采用快速接头连接，室外机出厂预充制冷剂，现场安装免焊接、免充注，且原厂提供</w:t>
            </w:r>
            <w:r>
              <w:rPr>
                <w:rFonts w:hint="eastAsia"/>
                <w:lang w:val="en-US" w:eastAsia="zh-CN"/>
              </w:rPr>
              <w:t>：≥5米</w:t>
            </w:r>
            <w:r>
              <w:rPr>
                <w:rFonts w:hint="eastAsia" w:asciiTheme="minorEastAsia" w:hAnsiTheme="minorEastAsia" w:eastAsiaTheme="minorEastAsia" w:cstheme="minorEastAsia"/>
                <w:sz w:val="21"/>
                <w:szCs w:val="21"/>
              </w:rPr>
              <w:t>内外机连接管路，在5米连接管内，无需焊接及额外充注冷媒。</w:t>
            </w:r>
          </w:p>
        </w:tc>
      </w:tr>
      <w:tr w14:paraId="050F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CE8316A">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39669954">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2EEE591F">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1"/>
                <w:szCs w:val="21"/>
                <w14:textFill>
                  <w14:solidFill>
                    <w14:schemeClr w14:val="tx1"/>
                  </w14:solidFill>
                </w14:textFill>
              </w:rPr>
              <w:t>机架式精密空调可安装在服务器机柜排列当中，支持上送风和左右侧送风方式，支持深度1100/1200标准服务器机柜安装，以保持和机柜搭配的美观度安装需要。</w:t>
            </w:r>
          </w:p>
        </w:tc>
      </w:tr>
      <w:tr w14:paraId="3C4B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7F661D80">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7C93CDD7">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76A9AA6C">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机架式空调应配置标准RS485通讯接口，支持监控信息上传动环监控，故障自诊断及故障告警，支持来电自启动。</w:t>
            </w:r>
          </w:p>
        </w:tc>
      </w:tr>
      <w:tr w14:paraId="090E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D75319E">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60C48B41">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61F401FB">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rPr>
              <w:t>机架式空调应支持现场增加选配加湿器，加湿量≥1.5kg/h。</w:t>
            </w:r>
          </w:p>
        </w:tc>
      </w:tr>
      <w:tr w14:paraId="3BD7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900" w:type="dxa"/>
            <w:vMerge w:val="continue"/>
            <w:vAlign w:val="center"/>
          </w:tcPr>
          <w:p w14:paraId="733AD0C1">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1E99E245">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3FADA760">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所投容量的机架空调应通过节能认证。需提有效的节能认证复印件证明。</w:t>
            </w:r>
          </w:p>
        </w:tc>
      </w:tr>
      <w:tr w14:paraId="48D6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528730DB">
            <w:pPr>
              <w:spacing w:after="60" w:line="360" w:lineRule="auto"/>
              <w:jc w:val="center"/>
              <w:rPr>
                <w:rFonts w:hint="eastAsia" w:asciiTheme="minorEastAsia" w:hAnsiTheme="minorEastAsia" w:eastAsiaTheme="minorEastAsia" w:cstheme="minorEastAsia"/>
                <w:sz w:val="21"/>
                <w:szCs w:val="21"/>
              </w:rPr>
            </w:pPr>
          </w:p>
        </w:tc>
        <w:tc>
          <w:tcPr>
            <w:tcW w:w="1980" w:type="dxa"/>
            <w:vMerge w:val="continue"/>
            <w:vAlign w:val="center"/>
          </w:tcPr>
          <w:p w14:paraId="31B64468">
            <w:pPr>
              <w:spacing w:after="60" w:line="360" w:lineRule="auto"/>
              <w:jc w:val="center"/>
              <w:rPr>
                <w:rFonts w:hint="eastAsia" w:asciiTheme="minorEastAsia" w:hAnsiTheme="minorEastAsia" w:eastAsiaTheme="minorEastAsia" w:cstheme="minorEastAsia"/>
                <w:sz w:val="21"/>
                <w:szCs w:val="21"/>
              </w:rPr>
            </w:pPr>
          </w:p>
        </w:tc>
        <w:tc>
          <w:tcPr>
            <w:tcW w:w="6737" w:type="dxa"/>
            <w:vAlign w:val="center"/>
          </w:tcPr>
          <w:p w14:paraId="3F3E810D">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b/>
                <w:bCs/>
                <w:color w:val="FF0000"/>
                <w:sz w:val="21"/>
                <w:szCs w:val="21"/>
                <w:lang w:val="en-US" w:eastAsia="zh-CN"/>
              </w:rPr>
              <w:t>15.</w:t>
            </w:r>
            <w:r>
              <w:rPr>
                <w:rFonts w:hint="eastAsia" w:asciiTheme="minorEastAsia" w:hAnsiTheme="minorEastAsia" w:eastAsiaTheme="minorEastAsia" w:cstheme="minorEastAsia"/>
                <w:b/>
                <w:bCs/>
                <w:color w:val="FF0000"/>
                <w:sz w:val="21"/>
                <w:szCs w:val="21"/>
              </w:rPr>
              <w:t>为保证全工况下空调的使用性能，机架空调应具备从-5℃到35℃不同室外工况下的制冷量、显热制冷量、显热比、风量、能效比(EER)等性能参数</w:t>
            </w: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lang w:val="en-US" w:eastAsia="zh-CN"/>
              </w:rPr>
              <w:t>投标时需提供产品彩页或产品说明书关键页等证明材料（相关参数在证明材料中标注）</w:t>
            </w:r>
          </w:p>
        </w:tc>
      </w:tr>
      <w:tr w14:paraId="2F82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vAlign w:val="center"/>
          </w:tcPr>
          <w:p w14:paraId="3D47A095">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1980" w:type="dxa"/>
            <w:vMerge w:val="restart"/>
            <w:vAlign w:val="center"/>
          </w:tcPr>
          <w:p w14:paraId="6029621B">
            <w:pPr>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rPr>
              <w:t>不间断电源</w:t>
            </w:r>
          </w:p>
        </w:tc>
        <w:tc>
          <w:tcPr>
            <w:tcW w:w="6737" w:type="dxa"/>
            <w:vAlign w:val="center"/>
          </w:tcPr>
          <w:p w14:paraId="29F4CD81">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本次招标要求为20 kVA在线式高频UPS， 要求输入电压范围305V~485Vac（满载），输入频率范围40-70Hz，输出电压220Vac,输出额定频率50/60Hz。</w:t>
            </w:r>
          </w:p>
        </w:tc>
      </w:tr>
      <w:tr w14:paraId="3FFA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1CF65F79">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16B2E1C2">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4C81240E">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输入功率因数0.999（100%非线性负载），输入电流谐波＜2.7%（100%非线性负载），输出波形失真度＜0.7%（额定阻性负载）</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检验依据YD/T 1095-2018。</w:t>
            </w:r>
          </w:p>
        </w:tc>
      </w:tr>
      <w:tr w14:paraId="72EA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4070D56">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0B411D09">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49C10D6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过载能力：10min（110%额定负载）， 1min(125%额定负载)，30s(150%额定负载)；</w:t>
            </w:r>
          </w:p>
        </w:tc>
      </w:tr>
      <w:tr w14:paraId="3D18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4536B803">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1C3E50D3">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54907CDC">
            <w:pPr>
              <w:spacing w:after="60"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bCs/>
                <w:color w:val="FF0000"/>
                <w:sz w:val="21"/>
                <w:szCs w:val="21"/>
              </w:rPr>
              <w:t>▲4</w:t>
            </w: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rPr>
              <w:t>系统效率：30%负载运行效率95.1%，50%负载运行效率95.4%，</w:t>
            </w:r>
            <w:r>
              <w:rPr>
                <w:rFonts w:hint="eastAsia" w:asciiTheme="minorEastAsia" w:hAnsiTheme="minorEastAsia" w:eastAsiaTheme="minorEastAsia" w:cstheme="minorEastAsia"/>
                <w:b/>
                <w:bCs/>
                <w:color w:val="FF0000"/>
                <w:sz w:val="21"/>
                <w:szCs w:val="21"/>
                <w:lang w:val="en-US" w:eastAsia="zh-CN"/>
              </w:rPr>
              <w:t>检验依据含YD/T 1095-2018 ，</w:t>
            </w:r>
            <w:r>
              <w:rPr>
                <w:rFonts w:hint="eastAsia"/>
                <w:b/>
                <w:bCs/>
                <w:color w:val="FF0000"/>
                <w:lang w:val="en-US" w:eastAsia="zh-CN"/>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验检测机构官方渠道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3F19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0F4B3B52">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7F9AED5E">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6FFCDA8F">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UPS电源制式支持：三进单出、单进单出设置模式。</w:t>
            </w:r>
          </w:p>
        </w:tc>
      </w:tr>
      <w:tr w14:paraId="6582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49719826">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06C6DE7A">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73FB3F25">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安装方式：支持19英寸标准机柜嵌入式安装与落地安装。</w:t>
            </w:r>
          </w:p>
        </w:tc>
      </w:tr>
      <w:tr w14:paraId="34A8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F6B285F">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52BB82C6">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4021F97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标配输入空开、旁路空开，机器内部标配电池保险丝。</w:t>
            </w:r>
          </w:p>
        </w:tc>
      </w:tr>
      <w:tr w14:paraId="0710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7DD93E0">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6DBA9CB2">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566EE24D">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所有电路板均需要采用三防工艺。</w:t>
            </w:r>
          </w:p>
        </w:tc>
      </w:tr>
      <w:tr w14:paraId="7265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1530E12">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404D0FF7">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0523B89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UPS应采用三电平逆变或四电平逆变技术，可更好适应各种半波负载。</w:t>
            </w:r>
          </w:p>
        </w:tc>
      </w:tr>
      <w:tr w14:paraId="23CC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D762A1A">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1C6413D0">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670C2F33">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电池组节数可进行16～24节设置，便于个别电池故障需要维护或更换时, 可灵活调节电池节数的需要。</w:t>
            </w:r>
          </w:p>
        </w:tc>
      </w:tr>
      <w:tr w14:paraId="76C4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01CFB7E2">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4399E79B">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6B695B35">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为避免电池出现过充，UPS应具有充电器限流控制功能，需提供关于充电器限流控制方法、装置和不间断电源系统的第三方权威机构证明文件。</w:t>
            </w:r>
          </w:p>
        </w:tc>
      </w:tr>
      <w:tr w14:paraId="1351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BCFD7A8">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59ECAD7E">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760C1D2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具备自主老化模式，无需租用假负载即可进行系统满载测试，省去租用超大负载箱、负载箱工程施工等工作。</w:t>
            </w:r>
          </w:p>
        </w:tc>
      </w:tr>
      <w:tr w14:paraId="0355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900" w:type="dxa"/>
            <w:vMerge w:val="continue"/>
            <w:vAlign w:val="center"/>
          </w:tcPr>
          <w:p w14:paraId="5927C406">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4C059726">
            <w:pPr>
              <w:spacing w:after="60"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6509B006">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UPS应具有误操作保护功能，如果UPS工作在逆变状态时误将手动旁路闭合或静态旁路短路，将会有反灌电流冲击逆变器损坏逆变器，UPS要求在这种情况下保护逆变器不受损坏。</w:t>
            </w:r>
          </w:p>
        </w:tc>
      </w:tr>
      <w:tr w14:paraId="3C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vAlign w:val="center"/>
          </w:tcPr>
          <w:p w14:paraId="3FEC55E4">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tc>
        <w:tc>
          <w:tcPr>
            <w:tcW w:w="1980" w:type="dxa"/>
            <w:vMerge w:val="restart"/>
            <w:vAlign w:val="center"/>
          </w:tcPr>
          <w:p w14:paraId="4582558E">
            <w:pPr>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配电单元</w:t>
            </w:r>
          </w:p>
        </w:tc>
        <w:tc>
          <w:tcPr>
            <w:tcW w:w="6737" w:type="dxa"/>
            <w:vAlign w:val="center"/>
          </w:tcPr>
          <w:p w14:paraId="4EBF4711">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配电单元采用机架式安装,可安装在42U标准服务器机柜内，支持5-9个标准机柜的配电。为用户节省空间，配电单元高度要求不超过10U。</w:t>
            </w:r>
          </w:p>
        </w:tc>
      </w:tr>
      <w:tr w14:paraId="6CA9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12621DDE">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32FFCB8E">
            <w:pPr>
              <w:spacing w:after="60" w:line="360" w:lineRule="auto"/>
              <w:jc w:val="center"/>
              <w:rPr>
                <w:rFonts w:hint="eastAsia" w:asciiTheme="minorEastAsia" w:hAnsiTheme="minorEastAsia" w:eastAsiaTheme="minorEastAsia" w:cstheme="minorEastAsia"/>
                <w:kern w:val="0"/>
                <w:sz w:val="21"/>
                <w:szCs w:val="21"/>
              </w:rPr>
            </w:pPr>
          </w:p>
        </w:tc>
        <w:tc>
          <w:tcPr>
            <w:tcW w:w="6737" w:type="dxa"/>
            <w:vAlign w:val="center"/>
          </w:tcPr>
          <w:p w14:paraId="1F7D6F6C">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配电单元具有RS485通信接口，配置C级</w:t>
            </w:r>
            <w:r>
              <w:rPr>
                <w:rFonts w:hint="eastAsia" w:asciiTheme="minorEastAsia" w:hAnsiTheme="minorEastAsia" w:eastAsiaTheme="minorEastAsia" w:cstheme="minorEastAsia"/>
                <w:sz w:val="21"/>
                <w:szCs w:val="21"/>
                <w:lang w:val="en-US" w:eastAsia="zh-CN"/>
              </w:rPr>
              <w:t>或以上</w:t>
            </w:r>
            <w:r>
              <w:rPr>
                <w:rFonts w:hint="eastAsia" w:asciiTheme="minorEastAsia" w:hAnsiTheme="minorEastAsia" w:eastAsiaTheme="minorEastAsia" w:cstheme="minorEastAsia"/>
                <w:sz w:val="21"/>
                <w:szCs w:val="21"/>
              </w:rPr>
              <w:t>电源防雷器。</w:t>
            </w:r>
          </w:p>
        </w:tc>
      </w:tr>
      <w:tr w14:paraId="22A6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52D687DC">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491076D6">
            <w:pPr>
              <w:spacing w:after="60" w:line="360" w:lineRule="auto"/>
              <w:jc w:val="center"/>
              <w:rPr>
                <w:rFonts w:hint="eastAsia" w:asciiTheme="minorEastAsia" w:hAnsiTheme="minorEastAsia" w:eastAsiaTheme="minorEastAsia" w:cstheme="minorEastAsia"/>
                <w:kern w:val="0"/>
                <w:sz w:val="21"/>
                <w:szCs w:val="21"/>
              </w:rPr>
            </w:pPr>
          </w:p>
        </w:tc>
        <w:tc>
          <w:tcPr>
            <w:tcW w:w="6737" w:type="dxa"/>
            <w:vAlign w:val="center"/>
          </w:tcPr>
          <w:p w14:paraId="08B155A3">
            <w:pPr>
              <w:spacing w:after="6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主路部分开关要求：总输入(1*160A/3P)， UPS输入、带锁维护旁路(3*C125A/3P)，UPS输出(2*C100A/3P)。</w:t>
            </w:r>
          </w:p>
        </w:tc>
      </w:tr>
      <w:tr w14:paraId="63AB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A72681D">
            <w:pPr>
              <w:spacing w:after="60" w:line="360" w:lineRule="auto"/>
              <w:jc w:val="center"/>
              <w:rPr>
                <w:rFonts w:hint="eastAsia" w:asciiTheme="minorEastAsia" w:hAnsiTheme="minorEastAsia" w:eastAsiaTheme="minorEastAsia" w:cstheme="minorEastAsia"/>
                <w:sz w:val="21"/>
                <w:szCs w:val="21"/>
                <w:lang w:val="en-US" w:eastAsia="zh-CN"/>
              </w:rPr>
            </w:pPr>
          </w:p>
        </w:tc>
        <w:tc>
          <w:tcPr>
            <w:tcW w:w="1980" w:type="dxa"/>
            <w:vMerge w:val="continue"/>
            <w:vAlign w:val="center"/>
          </w:tcPr>
          <w:p w14:paraId="0F247EB7">
            <w:pPr>
              <w:spacing w:after="60" w:line="360" w:lineRule="auto"/>
              <w:jc w:val="center"/>
              <w:rPr>
                <w:rFonts w:hint="eastAsia" w:asciiTheme="minorEastAsia" w:hAnsiTheme="minorEastAsia" w:eastAsiaTheme="minorEastAsia" w:cstheme="minorEastAsia"/>
                <w:kern w:val="0"/>
                <w:sz w:val="21"/>
                <w:szCs w:val="21"/>
              </w:rPr>
            </w:pPr>
          </w:p>
        </w:tc>
        <w:tc>
          <w:tcPr>
            <w:tcW w:w="6737" w:type="dxa"/>
            <w:vAlign w:val="center"/>
          </w:tcPr>
          <w:p w14:paraId="60AF5B03">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支路部分开关要求：空调及照明配电(3*D40A/1P+3*C32A/1P),IT配电(市电)(8*C32A/1P),IT配电(UPS)(8*C32A/1P)。</w:t>
            </w:r>
          </w:p>
        </w:tc>
      </w:tr>
      <w:tr w14:paraId="54B8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Align w:val="center"/>
          </w:tcPr>
          <w:p w14:paraId="69A8552B">
            <w:pPr>
              <w:spacing w:after="60"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w:t>
            </w:r>
          </w:p>
        </w:tc>
        <w:tc>
          <w:tcPr>
            <w:tcW w:w="1980" w:type="dxa"/>
            <w:vAlign w:val="center"/>
          </w:tcPr>
          <w:p w14:paraId="53FB55E9">
            <w:pPr>
              <w:spacing w:after="60"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防火门</w:t>
            </w:r>
          </w:p>
        </w:tc>
        <w:tc>
          <w:tcPr>
            <w:tcW w:w="6737" w:type="dxa"/>
            <w:vAlign w:val="center"/>
          </w:tcPr>
          <w:p w14:paraId="1014FEEA">
            <w:pPr>
              <w:spacing w:after="60"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甲级防火门（含闭门器等）</w:t>
            </w:r>
          </w:p>
        </w:tc>
      </w:tr>
      <w:tr w14:paraId="5CB4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4D4AC380">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1980" w:type="dxa"/>
            <w:noWrap w:val="0"/>
            <w:vAlign w:val="center"/>
          </w:tcPr>
          <w:p w14:paraId="141E5B3F">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铜管</w:t>
            </w:r>
          </w:p>
        </w:tc>
        <w:tc>
          <w:tcPr>
            <w:tcW w:w="6737" w:type="dxa"/>
            <w:noWrap w:val="0"/>
            <w:vAlign w:val="center"/>
          </w:tcPr>
          <w:p w14:paraId="1AEE39BC">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7.5kW精密空调专用铜管；</w:t>
            </w:r>
          </w:p>
        </w:tc>
      </w:tr>
      <w:tr w14:paraId="6B46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60CA609C">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1980" w:type="dxa"/>
            <w:vMerge w:val="restart"/>
            <w:noWrap w:val="0"/>
            <w:vAlign w:val="center"/>
          </w:tcPr>
          <w:p w14:paraId="09D4FD0F">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走线架</w:t>
            </w:r>
          </w:p>
        </w:tc>
        <w:tc>
          <w:tcPr>
            <w:tcW w:w="6737" w:type="dxa"/>
            <w:noWrap w:val="0"/>
            <w:vAlign w:val="center"/>
          </w:tcPr>
          <w:p w14:paraId="73981877">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1.600mm 走线槽，上下两层（上层弱电，下层强电）；</w:t>
            </w:r>
          </w:p>
        </w:tc>
      </w:tr>
      <w:tr w14:paraId="4AF7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noWrap w:val="0"/>
            <w:vAlign w:val="center"/>
          </w:tcPr>
          <w:p w14:paraId="15DD57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52EFEF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5FB5E9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2.尺寸：</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i w:val="0"/>
                <w:iCs w:val="0"/>
                <w:color w:val="000000"/>
                <w:kern w:val="0"/>
                <w:sz w:val="21"/>
                <w:szCs w:val="21"/>
                <w:u w:val="none"/>
                <w:lang w:val="en-US" w:eastAsia="zh-CN" w:bidi="ar"/>
              </w:rPr>
              <w:t>长598mm，宽200mm, 层高130mm每层65mm；</w:t>
            </w:r>
          </w:p>
        </w:tc>
      </w:tr>
      <w:tr w14:paraId="5F7E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0690BB93">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1980" w:type="dxa"/>
            <w:noWrap w:val="0"/>
            <w:vAlign w:val="center"/>
          </w:tcPr>
          <w:p w14:paraId="7D7BABAF">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宋体" w:hAnsi="宋体" w:cs="宋体"/>
                <w:i w:val="0"/>
                <w:iCs w:val="0"/>
                <w:color w:val="000000"/>
                <w:kern w:val="0"/>
                <w:sz w:val="20"/>
                <w:szCs w:val="20"/>
                <w:u w:val="none"/>
                <w:lang w:val="en-US" w:eastAsia="zh-CN" w:bidi="ar"/>
              </w:rPr>
              <w:t>电源分配单元</w:t>
            </w: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6737" w:type="dxa"/>
            <w:noWrap w:val="0"/>
            <w:vAlign w:val="center"/>
          </w:tcPr>
          <w:p w14:paraId="758A0F7C">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基础型PDU，32A输入，输入线缆2.5米，GB输出接口20*10A+4*16A（左侧安装）</w:t>
            </w:r>
          </w:p>
        </w:tc>
      </w:tr>
      <w:tr w14:paraId="32D2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4E271CA4">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1980" w:type="dxa"/>
            <w:noWrap w:val="0"/>
            <w:vAlign w:val="center"/>
          </w:tcPr>
          <w:p w14:paraId="3E610889">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宋体" w:hAnsi="宋体" w:cs="宋体"/>
                <w:i w:val="0"/>
                <w:iCs w:val="0"/>
                <w:color w:val="000000"/>
                <w:kern w:val="0"/>
                <w:sz w:val="20"/>
                <w:szCs w:val="20"/>
                <w:u w:val="none"/>
                <w:lang w:val="en-US" w:eastAsia="zh-CN" w:bidi="ar"/>
              </w:rPr>
              <w:t>电源分配单元</w:t>
            </w: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6737" w:type="dxa"/>
            <w:noWrap w:val="0"/>
            <w:vAlign w:val="center"/>
          </w:tcPr>
          <w:p w14:paraId="541022CD">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基础型PDU，32A输入，GB输出接口20*10A+4*16A ，带接线盒（左侧安装）</w:t>
            </w:r>
          </w:p>
        </w:tc>
      </w:tr>
      <w:tr w14:paraId="29A4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900" w:type="dxa"/>
            <w:noWrap w:val="0"/>
            <w:vAlign w:val="center"/>
          </w:tcPr>
          <w:p w14:paraId="72A3A772">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1980" w:type="dxa"/>
            <w:noWrap w:val="0"/>
            <w:vAlign w:val="center"/>
          </w:tcPr>
          <w:p w14:paraId="17267E71">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宋体" w:hAnsi="宋体" w:cs="宋体"/>
                <w:i w:val="0"/>
                <w:iCs w:val="0"/>
                <w:color w:val="000000"/>
                <w:kern w:val="0"/>
                <w:sz w:val="20"/>
                <w:szCs w:val="20"/>
                <w:u w:val="none"/>
                <w:lang w:val="en-US" w:eastAsia="zh-CN" w:bidi="ar"/>
              </w:rPr>
              <w:t>电源分配单元</w:t>
            </w: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6737" w:type="dxa"/>
            <w:noWrap w:val="0"/>
            <w:vAlign w:val="center"/>
          </w:tcPr>
          <w:p w14:paraId="30919F27">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基础型PDU，32A输入，GB输出接口20*10A+4*16A ，带接线盒（右侧安装）</w:t>
            </w:r>
          </w:p>
        </w:tc>
      </w:tr>
      <w:tr w14:paraId="409D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04BB75D0">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1980" w:type="dxa"/>
            <w:noWrap w:val="0"/>
            <w:vAlign w:val="center"/>
          </w:tcPr>
          <w:p w14:paraId="73ADBD87">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温湿度传感器(无屏)</w:t>
            </w:r>
          </w:p>
        </w:tc>
        <w:tc>
          <w:tcPr>
            <w:tcW w:w="6737" w:type="dxa"/>
            <w:noWrap w:val="0"/>
            <w:vAlign w:val="center"/>
          </w:tcPr>
          <w:p w14:paraId="74B00CCD">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低功耗温湿度传感器，RS485输出, 级联型,RJ45接线. 无显示屏</w:t>
            </w:r>
          </w:p>
        </w:tc>
      </w:tr>
      <w:tr w14:paraId="7ED7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6D2E8063">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1980" w:type="dxa"/>
            <w:noWrap w:val="0"/>
            <w:vAlign w:val="center"/>
          </w:tcPr>
          <w:p w14:paraId="29C1054D">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烟感</w:t>
            </w:r>
          </w:p>
        </w:tc>
        <w:tc>
          <w:tcPr>
            <w:tcW w:w="6737" w:type="dxa"/>
            <w:noWrap w:val="0"/>
            <w:vAlign w:val="center"/>
          </w:tcPr>
          <w:p w14:paraId="1CA715AA">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烟感探测器, 继电器输出,直径</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i w:val="0"/>
                <w:iCs w:val="0"/>
                <w:color w:val="auto"/>
                <w:kern w:val="0"/>
                <w:sz w:val="21"/>
                <w:szCs w:val="21"/>
                <w:u w:val="none"/>
                <w:lang w:val="en-US" w:eastAsia="zh-CN" w:bidi="ar"/>
              </w:rPr>
              <w:t>100mm，高</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i w:val="0"/>
                <w:iCs w:val="0"/>
                <w:color w:val="auto"/>
                <w:kern w:val="0"/>
                <w:sz w:val="21"/>
                <w:szCs w:val="21"/>
                <w:u w:val="none"/>
                <w:lang w:val="en-US" w:eastAsia="zh-CN" w:bidi="ar"/>
              </w:rPr>
              <w:t>48m</w:t>
            </w:r>
            <w:r>
              <w:rPr>
                <w:rFonts w:hint="eastAsia" w:asciiTheme="minorEastAsia" w:hAnsiTheme="minorEastAsia" w:eastAsiaTheme="minorEastAsia" w:cstheme="minorEastAsia"/>
                <w:i w:val="0"/>
                <w:iCs w:val="0"/>
                <w:color w:val="000000"/>
                <w:kern w:val="0"/>
                <w:sz w:val="21"/>
                <w:szCs w:val="21"/>
                <w:u w:val="none"/>
                <w:lang w:val="en-US" w:eastAsia="zh-CN" w:bidi="ar"/>
              </w:rPr>
              <w:t>m</w:t>
            </w:r>
          </w:p>
        </w:tc>
      </w:tr>
      <w:tr w14:paraId="2E25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513FBF79">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1980" w:type="dxa"/>
            <w:noWrap w:val="0"/>
            <w:vAlign w:val="center"/>
          </w:tcPr>
          <w:p w14:paraId="31E2D668">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声光告警器</w:t>
            </w:r>
          </w:p>
        </w:tc>
        <w:tc>
          <w:tcPr>
            <w:tcW w:w="6737" w:type="dxa"/>
            <w:noWrap w:val="0"/>
            <w:vAlign w:val="center"/>
          </w:tcPr>
          <w:p w14:paraId="228FB9BC">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声光告警器, 发声体采用压电蜂鸣片,发光体采用超亮LED</w:t>
            </w:r>
          </w:p>
        </w:tc>
      </w:tr>
      <w:tr w14:paraId="7061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6FED0D29">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1980" w:type="dxa"/>
            <w:vMerge w:val="restart"/>
            <w:noWrap w:val="0"/>
            <w:vAlign w:val="center"/>
          </w:tcPr>
          <w:p w14:paraId="738344BD">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蓄电池</w:t>
            </w:r>
          </w:p>
        </w:tc>
        <w:tc>
          <w:tcPr>
            <w:tcW w:w="6737" w:type="dxa"/>
            <w:noWrap w:val="0"/>
            <w:vAlign w:val="center"/>
          </w:tcPr>
          <w:p w14:paraId="5F66481F">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蓄电池采用2组12V</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65</w:t>
            </w:r>
            <w:r>
              <w:rPr>
                <w:rFonts w:hint="eastAsia" w:asciiTheme="minorEastAsia" w:hAnsiTheme="minorEastAsia" w:eastAsiaTheme="minorEastAsia" w:cstheme="minorEastAsia"/>
                <w:color w:val="000000" w:themeColor="text1"/>
                <w:sz w:val="21"/>
                <w:szCs w:val="21"/>
                <w14:textFill>
                  <w14:solidFill>
                    <w14:schemeClr w14:val="tx1"/>
                  </w14:solidFill>
                </w14:textFill>
              </w:rPr>
              <w:t>AH、每组≥16节。</w:t>
            </w:r>
          </w:p>
        </w:tc>
      </w:tr>
      <w:tr w14:paraId="6705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1B5D4C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311300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7B154C14">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蓄电池外观应无变形、无漏液、裂纹及污迹；标识应清晰；正负端子有明显标志，便于连接。</w:t>
            </w:r>
          </w:p>
        </w:tc>
      </w:tr>
      <w:tr w14:paraId="7E95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5A07A2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78F26C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68F28758">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采用板栅和合金设计，有效抵抗极板腐蚀；卓越的大电流放电特性，可靠的快速充电性能，优越的深度放电恢复能力，确保电池的使用寿命。</w:t>
            </w:r>
          </w:p>
        </w:tc>
      </w:tr>
      <w:tr w14:paraId="4B8F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62A977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4DC05B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20D446C3">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蓄电池密封反应效率：密封反应效率99%。</w:t>
            </w:r>
          </w:p>
        </w:tc>
      </w:tr>
      <w:tr w14:paraId="54C7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5DEC50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4EFA91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7CFB927D">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免维护的专业设计，采用高可靠的专业阀控密封式设计，确保电池不漏（渗）液、无酸雾、不腐蚀，并在充电时产生的气体基本被吸收还原成电解液，在使用时无需加水、补液和测量电解液比重。</w:t>
            </w:r>
          </w:p>
        </w:tc>
      </w:tr>
      <w:tr w14:paraId="14B7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43CCA7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0C2FA6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7FEB10F5">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极小的自放电电流，用优质高纯度材料设计，自放电电流极小，自放电所造成的容量损失每月小于3％，减轻电池存储时的维护工作。</w:t>
            </w:r>
          </w:p>
        </w:tc>
      </w:tr>
      <w:tr w14:paraId="5A86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3AE58B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71BF6B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3BFC2D17">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7.</w:t>
            </w:r>
            <w:r>
              <w:rPr>
                <w:rFonts w:hint="eastAsia" w:asciiTheme="minorEastAsia" w:hAnsiTheme="minorEastAsia" w:eastAsiaTheme="minorEastAsia" w:cstheme="minorEastAsia"/>
                <w:b/>
                <w:bCs/>
                <w:color w:val="FF0000"/>
                <w:sz w:val="21"/>
                <w:szCs w:val="21"/>
              </w:rPr>
              <w:t>安全阀应具有自动开启和自动关闭的功能，其开阀压力应在 10kPa～35kPa 范围内，闭阀压力应在3kPa～30kPa 范围内。</w:t>
            </w:r>
            <w:r>
              <w:rPr>
                <w:rFonts w:hint="eastAsia" w:asciiTheme="minorEastAsia" w:hAnsiTheme="minorEastAsia" w:eastAsiaTheme="minorEastAsia" w:cstheme="minorEastAsia"/>
                <w:b/>
                <w:bCs/>
                <w:color w:val="FF0000"/>
                <w:sz w:val="21"/>
                <w:szCs w:val="21"/>
                <w:lang w:val="en-US" w:eastAsia="zh-CN"/>
              </w:rPr>
              <w:t>检验依据至少包含</w:t>
            </w:r>
            <w:r>
              <w:rPr>
                <w:rFonts w:hint="eastAsia" w:asciiTheme="minorEastAsia" w:hAnsiTheme="minorEastAsia" w:eastAsiaTheme="minorEastAsia" w:cstheme="minorEastAsia"/>
                <w:b/>
                <w:bCs/>
                <w:color w:val="FF0000"/>
                <w:sz w:val="21"/>
                <w:szCs w:val="21"/>
              </w:rPr>
              <w:t>YD/T799-2024《通信用阀控式铅酸蓄电池》</w:t>
            </w:r>
            <w:r>
              <w:rPr>
                <w:rFonts w:hint="eastAsia" w:asciiTheme="minorEastAsia" w:hAnsiTheme="minorEastAsia" w:eastAsiaTheme="minorEastAsia" w:cstheme="minorEastAsia"/>
                <w:b/>
                <w:bCs/>
                <w:color w:val="FF0000"/>
                <w:sz w:val="21"/>
                <w:szCs w:val="21"/>
                <w:lang w:val="en-US" w:eastAsia="zh-CN"/>
              </w:rPr>
              <w:t>,</w:t>
            </w:r>
            <w:r>
              <w:rPr>
                <w:rFonts w:hint="eastAsia"/>
                <w:b/>
                <w:bCs/>
                <w:color w:val="FF0000"/>
                <w:lang w:val="en-US" w:eastAsia="zh-CN"/>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验检测机构官方渠道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7F84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3B7933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3D4EE6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227F1FD6">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极宽的工作温度范围，电池可以在-20℃～+50℃甚至更宽范围的温度条件下工作，电池的内阻比常规电池小，在-20℃～+50℃的温度范围内进行大电流放电，其输出功率比同规格的传统式开口电池高。</w:t>
            </w:r>
          </w:p>
        </w:tc>
      </w:tr>
      <w:tr w14:paraId="01D5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06F6DB38">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1980" w:type="dxa"/>
            <w:noWrap w:val="0"/>
            <w:vAlign w:val="center"/>
          </w:tcPr>
          <w:p w14:paraId="0497A00F">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水浸传感器（绳式）</w:t>
            </w:r>
          </w:p>
        </w:tc>
        <w:tc>
          <w:tcPr>
            <w:tcW w:w="6737" w:type="dxa"/>
            <w:noWrap w:val="0"/>
            <w:vAlign w:val="center"/>
          </w:tcPr>
          <w:p w14:paraId="627B97AE">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水浸传感器（绳式), 提供一路检测接口,标配检测绳</w:t>
            </w:r>
          </w:p>
        </w:tc>
      </w:tr>
      <w:tr w14:paraId="49D6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177F0DA2">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1980" w:type="dxa"/>
            <w:noWrap w:val="0"/>
            <w:vAlign w:val="center"/>
          </w:tcPr>
          <w:p w14:paraId="2E3F399C">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灭火单元</w:t>
            </w:r>
          </w:p>
        </w:tc>
        <w:tc>
          <w:tcPr>
            <w:tcW w:w="6737" w:type="dxa"/>
            <w:noWrap w:val="0"/>
            <w:vAlign w:val="center"/>
          </w:tcPr>
          <w:p w14:paraId="518EAC4C">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灭火单元，机架安装，1U高度，含3KG全氟己酮灭火剂</w:t>
            </w:r>
          </w:p>
        </w:tc>
      </w:tr>
      <w:tr w14:paraId="3F90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34A88FED">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1980" w:type="dxa"/>
            <w:noWrap w:val="0"/>
            <w:vAlign w:val="center"/>
          </w:tcPr>
          <w:p w14:paraId="729A99DD">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人脸识别门禁系统</w:t>
            </w:r>
          </w:p>
        </w:tc>
        <w:tc>
          <w:tcPr>
            <w:tcW w:w="6737" w:type="dxa"/>
            <w:noWrap w:val="0"/>
            <w:vAlign w:val="center"/>
          </w:tcPr>
          <w:p w14:paraId="5F26BEDF">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包含人脸识别一体机、磁力锁、开门按钮、开关电源等，支持人脸、刷卡、密码及其组合的认证方式</w:t>
            </w:r>
          </w:p>
        </w:tc>
      </w:tr>
      <w:tr w14:paraId="19E0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13FE5825">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1980" w:type="dxa"/>
            <w:noWrap w:val="0"/>
            <w:vAlign w:val="center"/>
          </w:tcPr>
          <w:p w14:paraId="6CDE511F">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气体消防系统</w:t>
            </w:r>
          </w:p>
        </w:tc>
        <w:tc>
          <w:tcPr>
            <w:tcW w:w="6737" w:type="dxa"/>
            <w:noWrap w:val="0"/>
            <w:vAlign w:val="center"/>
          </w:tcPr>
          <w:p w14:paraId="2A1ACCAD">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含柜式灭火装置、HFC-227ea药剂、机械型泄压口、气体灭火系统控制盘、感烟火灾探测器、感温火灾探测器、声光警报器、紧急启动/停止盒等。</w:t>
            </w:r>
          </w:p>
        </w:tc>
      </w:tr>
      <w:tr w14:paraId="2459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24491BA6">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1980" w:type="dxa"/>
            <w:noWrap w:val="0"/>
            <w:vAlign w:val="center"/>
          </w:tcPr>
          <w:p w14:paraId="690D614C">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电池柜</w:t>
            </w:r>
          </w:p>
        </w:tc>
        <w:tc>
          <w:tcPr>
            <w:tcW w:w="6737" w:type="dxa"/>
            <w:noWrap w:val="0"/>
            <w:vAlign w:val="center"/>
          </w:tcPr>
          <w:p w14:paraId="31CA0F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可装24AH/32只 38AH/32只 65AH/16只 100AH/16只，4层，尺寸（mm）</w:t>
            </w:r>
          </w:p>
          <w:p w14:paraId="48E6AFFF">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W宽:D深:H高：780*470*1190</w:t>
            </w:r>
          </w:p>
        </w:tc>
      </w:tr>
      <w:tr w14:paraId="037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6A2ADE34">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980" w:type="dxa"/>
            <w:noWrap w:val="0"/>
            <w:vAlign w:val="center"/>
          </w:tcPr>
          <w:p w14:paraId="62F2832E">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网络配线架</w:t>
            </w:r>
          </w:p>
        </w:tc>
        <w:tc>
          <w:tcPr>
            <w:tcW w:w="6737" w:type="dxa"/>
            <w:noWrap w:val="0"/>
            <w:vAlign w:val="center"/>
          </w:tcPr>
          <w:p w14:paraId="64018C94">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24口、六类，含模块</w:t>
            </w:r>
          </w:p>
        </w:tc>
      </w:tr>
      <w:tr w14:paraId="2757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6DFBB7AD">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1980" w:type="dxa"/>
            <w:noWrap w:val="0"/>
            <w:vAlign w:val="center"/>
          </w:tcPr>
          <w:p w14:paraId="56FE3BCC">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理线器</w:t>
            </w:r>
          </w:p>
        </w:tc>
        <w:tc>
          <w:tcPr>
            <w:tcW w:w="6737" w:type="dxa"/>
            <w:noWrap w:val="0"/>
            <w:vAlign w:val="center"/>
          </w:tcPr>
          <w:p w14:paraId="09C787D1">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1U、金属理线器</w:t>
            </w:r>
          </w:p>
        </w:tc>
      </w:tr>
      <w:tr w14:paraId="3FBD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7703187C">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24</w:t>
            </w:r>
          </w:p>
        </w:tc>
        <w:tc>
          <w:tcPr>
            <w:tcW w:w="1980" w:type="dxa"/>
            <w:vMerge w:val="restart"/>
            <w:noWrap w:val="0"/>
            <w:vAlign w:val="center"/>
          </w:tcPr>
          <w:p w14:paraId="61714B68">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六类网线</w:t>
            </w:r>
          </w:p>
        </w:tc>
        <w:tc>
          <w:tcPr>
            <w:tcW w:w="6737" w:type="dxa"/>
            <w:noWrap w:val="0"/>
            <w:vAlign w:val="center"/>
          </w:tcPr>
          <w:p w14:paraId="4A008DAD">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1.六类非屏蔽网线，305米/箱</w:t>
            </w:r>
          </w:p>
        </w:tc>
      </w:tr>
      <w:tr w14:paraId="669C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23306D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7AB6ED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1557FD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kern w:val="2"/>
                <w:sz w:val="21"/>
                <w:szCs w:val="21"/>
                <w:lang w:val="en-US" w:eastAsia="zh-CN"/>
              </w:rPr>
              <w:t>2</w:t>
            </w:r>
            <w:r>
              <w:rPr>
                <w:rFonts w:hint="eastAsia" w:asciiTheme="minorEastAsia" w:hAnsiTheme="minorEastAsia" w:eastAsiaTheme="minorEastAsia" w:cstheme="minorEastAsia"/>
                <w:color w:val="000000"/>
                <w:kern w:val="2"/>
                <w:sz w:val="21"/>
                <w:szCs w:val="21"/>
                <w:lang w:eastAsia="zh-CN"/>
              </w:rPr>
              <w:t>.护套材质：PVC；护套颜色：可按校方要求定制颜色；成品外径≤</w:t>
            </w:r>
            <w:r>
              <w:rPr>
                <w:rFonts w:hint="eastAsia" w:asciiTheme="minorEastAsia" w:hAnsiTheme="minorEastAsia" w:eastAsiaTheme="minorEastAsia" w:cstheme="minorEastAsia"/>
                <w:color w:val="000000"/>
                <w:kern w:val="2"/>
                <w:sz w:val="21"/>
                <w:szCs w:val="21"/>
                <w:lang w:val="en-US" w:eastAsia="zh-CN"/>
              </w:rPr>
              <w:t>6.5</w:t>
            </w:r>
            <w:r>
              <w:rPr>
                <w:rFonts w:hint="eastAsia" w:asciiTheme="minorEastAsia" w:hAnsiTheme="minorEastAsia" w:eastAsiaTheme="minorEastAsia" w:cstheme="minorEastAsia"/>
                <w:color w:val="000000"/>
                <w:kern w:val="2"/>
                <w:sz w:val="21"/>
                <w:szCs w:val="21"/>
                <w:lang w:eastAsia="zh-CN"/>
              </w:rPr>
              <w:t>mm；十字骨架结构</w:t>
            </w:r>
            <w:r>
              <w:rPr>
                <w:rFonts w:hint="eastAsia" w:asciiTheme="minorEastAsia" w:hAnsiTheme="minorEastAsia" w:eastAsiaTheme="minorEastAsia" w:cstheme="minorEastAsia"/>
                <w:color w:val="000000"/>
                <w:kern w:val="2"/>
                <w:sz w:val="21"/>
                <w:szCs w:val="21"/>
                <w:lang w:val="en-US" w:eastAsia="zh-CN"/>
              </w:rPr>
              <w:t>；</w:t>
            </w:r>
          </w:p>
        </w:tc>
      </w:tr>
      <w:tr w14:paraId="5B80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08A094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4EEAAB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34A2BA18">
            <w:pPr>
              <w:keepNext w:val="0"/>
              <w:keepLines w:val="0"/>
              <w:widowControl/>
              <w:suppressLineNumbers w:val="0"/>
              <w:jc w:val="left"/>
              <w:textAlignment w:val="cente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.单根导体直流电阻(20°C)：≤</w:t>
            </w:r>
            <w: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t>7.1</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Ω/100m</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tc>
      </w:tr>
      <w:tr w14:paraId="45C0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4E17CC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76B820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7D459C18">
            <w:pPr>
              <w:keepNext w:val="0"/>
              <w:keepLines w:val="0"/>
              <w:widowControl/>
              <w:suppressLineNumbers w:val="0"/>
              <w:jc w:val="left"/>
              <w:textAlignment w:val="cente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.特性阻抗(100MHz)：100±5Ω</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tc>
      </w:tr>
      <w:tr w14:paraId="685F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422522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2CD807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57E54F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kern w:val="2"/>
                <w:sz w:val="21"/>
                <w:szCs w:val="21"/>
                <w:lang w:val="en-US" w:eastAsia="zh-CN"/>
              </w:rPr>
              <w:t>5</w:t>
            </w:r>
            <w:r>
              <w:rPr>
                <w:rFonts w:hint="eastAsia" w:asciiTheme="minorEastAsia" w:hAnsiTheme="minorEastAsia" w:eastAsiaTheme="minorEastAsia" w:cstheme="minorEastAsia"/>
                <w:color w:val="000000"/>
                <w:kern w:val="2"/>
                <w:sz w:val="21"/>
                <w:szCs w:val="21"/>
                <w:lang w:eastAsia="zh-CN"/>
              </w:rPr>
              <w:t>.工作电容最大值：5.6nF/100m；线对直流电阻不平衡性：≤2.0%；最大电流平衡：2%；敷设弯曲半径：建议敷设弯曲半径&gt;8倍线缆外径；敷设拉力：建议敷设时短期拉力&lt;110N；使用拉力：建议使用时长期拉力&lt;20N；</w:t>
            </w:r>
          </w:p>
        </w:tc>
      </w:tr>
      <w:tr w14:paraId="1C97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21968F58">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25</w:t>
            </w:r>
          </w:p>
        </w:tc>
        <w:tc>
          <w:tcPr>
            <w:tcW w:w="1980" w:type="dxa"/>
            <w:vMerge w:val="restart"/>
            <w:noWrap w:val="0"/>
            <w:vAlign w:val="center"/>
          </w:tcPr>
          <w:p w14:paraId="42F0A222">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弱电桥架</w:t>
            </w:r>
          </w:p>
        </w:tc>
        <w:tc>
          <w:tcPr>
            <w:tcW w:w="6737" w:type="dxa"/>
            <w:noWrap w:val="0"/>
            <w:vAlign w:val="center"/>
          </w:tcPr>
          <w:p w14:paraId="638E141F">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1.名称:低压电缆桥架</w:t>
            </w:r>
          </w:p>
        </w:tc>
      </w:tr>
      <w:tr w14:paraId="38A9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62301F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221A79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06F045F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2.规格</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i w:val="0"/>
                <w:iCs w:val="0"/>
                <w:color w:val="000000"/>
                <w:kern w:val="0"/>
                <w:sz w:val="21"/>
                <w:szCs w:val="21"/>
                <w:u w:val="none"/>
                <w:lang w:val="en-US" w:eastAsia="zh-CN" w:bidi="ar"/>
              </w:rPr>
              <w:t>200×100×1.2mm</w:t>
            </w:r>
          </w:p>
        </w:tc>
      </w:tr>
      <w:tr w14:paraId="6FEA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411C48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3FF012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3CD706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3.材质:电镀锌</w:t>
            </w:r>
          </w:p>
        </w:tc>
      </w:tr>
      <w:tr w14:paraId="1B65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250B75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1B97B2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39152D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4.配件:不少于接地母线φ4mm(铜线)、链接螺丝等</w:t>
            </w:r>
          </w:p>
        </w:tc>
      </w:tr>
      <w:tr w14:paraId="41D5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3706C61C">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1980" w:type="dxa"/>
            <w:vMerge w:val="restart"/>
            <w:noWrap w:val="0"/>
            <w:vAlign w:val="center"/>
          </w:tcPr>
          <w:p w14:paraId="0CAADE7E">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承重架</w:t>
            </w:r>
          </w:p>
        </w:tc>
        <w:tc>
          <w:tcPr>
            <w:tcW w:w="6737" w:type="dxa"/>
            <w:noWrap w:val="0"/>
            <w:vAlign w:val="center"/>
          </w:tcPr>
          <w:p w14:paraId="15787FCE">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1.机柜及蓄电池箱承重架；</w:t>
            </w:r>
          </w:p>
        </w:tc>
      </w:tr>
      <w:tr w14:paraId="4899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0" w:type="dxa"/>
            <w:vMerge w:val="continue"/>
            <w:noWrap w:val="0"/>
            <w:vAlign w:val="center"/>
          </w:tcPr>
          <w:p w14:paraId="067048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11C798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53412C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2.承重架需搭在机房楼面两侧承重梁上。</w:t>
            </w:r>
          </w:p>
        </w:tc>
      </w:tr>
      <w:tr w14:paraId="606B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noWrap w:val="0"/>
            <w:vAlign w:val="center"/>
          </w:tcPr>
          <w:p w14:paraId="021B874C">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1980" w:type="dxa"/>
            <w:vMerge w:val="restart"/>
            <w:noWrap w:val="0"/>
            <w:vAlign w:val="center"/>
          </w:tcPr>
          <w:p w14:paraId="58F66212">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金属微孔天花</w:t>
            </w:r>
          </w:p>
        </w:tc>
        <w:tc>
          <w:tcPr>
            <w:tcW w:w="6737" w:type="dxa"/>
            <w:noWrap w:val="0"/>
            <w:vAlign w:val="center"/>
          </w:tcPr>
          <w:p w14:paraId="11592B2F">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1.天花板面积≥60M</w:t>
            </w:r>
            <w:r>
              <w:rPr>
                <w:rFonts w:hint="eastAsia" w:asciiTheme="minorEastAsia" w:hAnsiTheme="minorEastAsia" w:eastAsiaTheme="minorEastAsia" w:cstheme="minorEastAsia"/>
                <w:i w:val="0"/>
                <w:iCs w:val="0"/>
                <w:color w:val="000000"/>
                <w:kern w:val="0"/>
                <w:sz w:val="21"/>
                <w:szCs w:val="21"/>
                <w:u w:val="none"/>
                <w:vertAlign w:val="superscript"/>
                <w:lang w:val="en-US" w:eastAsia="zh-CN" w:bidi="ar"/>
              </w:rPr>
              <w:t>2</w:t>
            </w:r>
            <w:r>
              <w:rPr>
                <w:rFonts w:hint="eastAsia" w:asciiTheme="minorEastAsia" w:hAnsiTheme="minorEastAsia" w:eastAsiaTheme="minorEastAsia" w:cstheme="minorEastAsia"/>
                <w:i w:val="0"/>
                <w:iCs w:val="0"/>
                <w:color w:val="000000"/>
                <w:kern w:val="0"/>
                <w:sz w:val="21"/>
                <w:szCs w:val="21"/>
                <w:u w:val="none"/>
                <w:lang w:val="en-US" w:eastAsia="zh-CN" w:bidi="ar"/>
              </w:rPr>
              <w:t>；</w:t>
            </w:r>
          </w:p>
        </w:tc>
      </w:tr>
      <w:tr w14:paraId="4D17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47B689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4A9E37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25A2EB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2.材料含吸音天花板、天花三角龙骨、防尘漆等。</w:t>
            </w:r>
          </w:p>
        </w:tc>
      </w:tr>
      <w:tr w14:paraId="3D37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1F58C434">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1980" w:type="dxa"/>
            <w:noWrap w:val="0"/>
            <w:vAlign w:val="center"/>
          </w:tcPr>
          <w:p w14:paraId="6198BA52">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平板灯</w:t>
            </w:r>
          </w:p>
        </w:tc>
        <w:tc>
          <w:tcPr>
            <w:tcW w:w="6737" w:type="dxa"/>
            <w:noWrap w:val="0"/>
            <w:vAlign w:val="center"/>
          </w:tcPr>
          <w:p w14:paraId="1CA90E26">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LED灯盘、电线、开关、PVC线管等。</w:t>
            </w:r>
          </w:p>
        </w:tc>
      </w:tr>
      <w:tr w14:paraId="5DF8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1939EFC4">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c>
          <w:tcPr>
            <w:tcW w:w="1980" w:type="dxa"/>
            <w:noWrap w:val="0"/>
            <w:vAlign w:val="center"/>
          </w:tcPr>
          <w:p w14:paraId="4DAEF369">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维修插座</w:t>
            </w:r>
          </w:p>
        </w:tc>
        <w:tc>
          <w:tcPr>
            <w:tcW w:w="6737" w:type="dxa"/>
            <w:noWrap w:val="0"/>
            <w:vAlign w:val="center"/>
          </w:tcPr>
          <w:p w14:paraId="48DD288C">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二三插电源面板、电线、PVC线管等。</w:t>
            </w:r>
          </w:p>
        </w:tc>
      </w:tr>
      <w:tr w14:paraId="5E7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900" w:type="dxa"/>
            <w:vMerge w:val="restart"/>
            <w:noWrap w:val="0"/>
            <w:vAlign w:val="center"/>
          </w:tcPr>
          <w:p w14:paraId="341DD4BD">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30</w:t>
            </w:r>
          </w:p>
        </w:tc>
        <w:tc>
          <w:tcPr>
            <w:tcW w:w="1980" w:type="dxa"/>
            <w:vMerge w:val="restart"/>
            <w:noWrap w:val="0"/>
            <w:vAlign w:val="center"/>
          </w:tcPr>
          <w:p w14:paraId="4B0B1C30">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防静电地板</w:t>
            </w:r>
          </w:p>
        </w:tc>
        <w:tc>
          <w:tcPr>
            <w:tcW w:w="6737" w:type="dxa"/>
            <w:noWrap w:val="0"/>
            <w:vAlign w:val="center"/>
          </w:tcPr>
          <w:p w14:paraId="53A2A870">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1.防静电地板铺装面积≥60M</w:t>
            </w:r>
            <w:r>
              <w:rPr>
                <w:rFonts w:hint="eastAsia" w:asciiTheme="minorEastAsia" w:hAnsiTheme="minorEastAsia" w:eastAsiaTheme="minorEastAsia" w:cstheme="minorEastAsia"/>
                <w:i w:val="0"/>
                <w:iCs w:val="0"/>
                <w:color w:val="000000"/>
                <w:kern w:val="0"/>
                <w:sz w:val="21"/>
                <w:szCs w:val="21"/>
                <w:u w:val="none"/>
                <w:vertAlign w:val="superscript"/>
                <w:lang w:val="en-US" w:eastAsia="zh-CN" w:bidi="ar"/>
              </w:rPr>
              <w:t>2</w:t>
            </w:r>
            <w:r>
              <w:rPr>
                <w:rFonts w:hint="eastAsia" w:asciiTheme="minorEastAsia" w:hAnsiTheme="minorEastAsia" w:eastAsiaTheme="minorEastAsia" w:cstheme="minorEastAsia"/>
                <w:i w:val="0"/>
                <w:iCs w:val="0"/>
                <w:color w:val="000000"/>
                <w:kern w:val="0"/>
                <w:sz w:val="21"/>
                <w:szCs w:val="21"/>
                <w:u w:val="none"/>
                <w:lang w:val="en-US" w:eastAsia="zh-CN" w:bidi="ar"/>
              </w:rPr>
              <w:t>；</w:t>
            </w:r>
          </w:p>
        </w:tc>
      </w:tr>
      <w:tr w14:paraId="1DB6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5148D7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026FB1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736A510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2.L600mmxW600mmxT35mm无边防静电地板；</w:t>
            </w:r>
          </w:p>
        </w:tc>
      </w:tr>
      <w:tr w14:paraId="3635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2E7650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3194F6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00563D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3.镀锌支架高度≥15CM；</w:t>
            </w:r>
          </w:p>
        </w:tc>
      </w:tr>
      <w:tr w14:paraId="130F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5850B7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53F361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2EE60C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b/>
                <w:bCs/>
                <w:color w:val="FF0000"/>
                <w:kern w:val="2"/>
                <w:sz w:val="21"/>
                <w:szCs w:val="21"/>
                <w:lang w:eastAsia="zh-CN"/>
              </w:rPr>
              <w:t>▲</w:t>
            </w:r>
            <w:r>
              <w:rPr>
                <w:rFonts w:hint="eastAsia" w:asciiTheme="minorEastAsia" w:hAnsiTheme="minorEastAsia" w:eastAsiaTheme="minorEastAsia" w:cstheme="minorEastAsia"/>
                <w:b/>
                <w:bCs/>
                <w:i w:val="0"/>
                <w:iCs w:val="0"/>
                <w:color w:val="FF0000"/>
                <w:kern w:val="0"/>
                <w:sz w:val="21"/>
                <w:szCs w:val="21"/>
                <w:u w:val="none"/>
                <w:lang w:val="en-US" w:eastAsia="zh-CN" w:bidi="ar"/>
              </w:rPr>
              <w:t>4.防静电活动地板极限集中荷载应满足《防静电活动地板通用规范》GB/T 36340-2018 要求：超轻型 (CQ)≥5880N、轻型 (Q)≥8850N、普通型 (P)≥10680N、标准型 (B)≥13350N、重型 (Z)≥16680N、超重型 (CZ)≥20025N。</w:t>
            </w:r>
            <w:r>
              <w:rPr>
                <w:rFonts w:hint="eastAsia"/>
                <w:b/>
                <w:bCs/>
                <w:color w:val="FF0000"/>
                <w:lang w:val="en-US" w:eastAsia="zh-CN"/>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验检测机构官方渠道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365D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noWrap w:val="0"/>
            <w:vAlign w:val="center"/>
          </w:tcPr>
          <w:p w14:paraId="58DFD9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980" w:type="dxa"/>
            <w:vMerge w:val="continue"/>
            <w:noWrap w:val="0"/>
            <w:vAlign w:val="center"/>
          </w:tcPr>
          <w:p w14:paraId="145613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6737" w:type="dxa"/>
            <w:noWrap w:val="0"/>
            <w:vAlign w:val="center"/>
          </w:tcPr>
          <w:p w14:paraId="25E937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5.全钢无边防静电地板、静电地板支架、地板修边条、双头地板吸。</w:t>
            </w:r>
          </w:p>
        </w:tc>
      </w:tr>
      <w:tr w14:paraId="1AAF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noWrap w:val="0"/>
            <w:vAlign w:val="center"/>
          </w:tcPr>
          <w:p w14:paraId="38E58D4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1980" w:type="dxa"/>
            <w:noWrap w:val="0"/>
            <w:vAlign w:val="center"/>
          </w:tcPr>
          <w:p w14:paraId="30E254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彩钢板</w:t>
            </w:r>
          </w:p>
        </w:tc>
        <w:tc>
          <w:tcPr>
            <w:tcW w:w="6737" w:type="dxa"/>
            <w:noWrap w:val="0"/>
            <w:vAlign w:val="center"/>
          </w:tcPr>
          <w:p w14:paraId="669BA3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1.用途：包含但不少于内墙、隔断、数据机房等</w:t>
            </w:r>
          </w:p>
          <w:p w14:paraId="535A54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2.钢板：≥0.4–0.5mm，中空夹岩棉；</w:t>
            </w:r>
          </w:p>
          <w:p w14:paraId="321D1B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3.耐火：≥1h</w:t>
            </w:r>
          </w:p>
          <w:p w14:paraId="60A10E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4.导热：≥0.040</w:t>
            </w:r>
          </w:p>
        </w:tc>
      </w:tr>
    </w:tbl>
    <w:p w14:paraId="0652A0A0">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970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1660"/>
        <w:gridCol w:w="6752"/>
      </w:tblGrid>
      <w:tr w14:paraId="73BB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51B6EC61">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660" w:type="dxa"/>
            <w:noWrap w:val="0"/>
            <w:vAlign w:val="center"/>
          </w:tcPr>
          <w:p w14:paraId="06F148C0">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目录</w:t>
            </w:r>
          </w:p>
        </w:tc>
        <w:tc>
          <w:tcPr>
            <w:tcW w:w="6752" w:type="dxa"/>
            <w:noWrap w:val="0"/>
            <w:vAlign w:val="center"/>
          </w:tcPr>
          <w:p w14:paraId="025C0C9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招标商务需求</w:t>
            </w:r>
          </w:p>
        </w:tc>
      </w:tr>
      <w:tr w14:paraId="2283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top"/>
          </w:tcPr>
          <w:p w14:paraId="2AFB9D21">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（一）免费保修期内售后服务要求</w:t>
            </w:r>
          </w:p>
        </w:tc>
      </w:tr>
      <w:tr w14:paraId="43F4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24EB17C9">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w:t>
            </w:r>
          </w:p>
        </w:tc>
        <w:tc>
          <w:tcPr>
            <w:tcW w:w="1660" w:type="dxa"/>
            <w:noWrap w:val="0"/>
            <w:vAlign w:val="center"/>
          </w:tcPr>
          <w:p w14:paraId="37C1693A">
            <w:pP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免费保修期</w:t>
            </w:r>
          </w:p>
        </w:tc>
        <w:tc>
          <w:tcPr>
            <w:tcW w:w="6752" w:type="dxa"/>
            <w:noWrap w:val="0"/>
            <w:vAlign w:val="top"/>
          </w:tcPr>
          <w:p w14:paraId="0FDE472F">
            <w:pP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sz w:val="21"/>
                <w:szCs w:val="21"/>
                <w:highlight w:val="yellow"/>
                <w:lang w:val="en-US" w:eastAsia="zh-CN"/>
              </w:rPr>
              <w:t>所有</w:t>
            </w:r>
            <w:r>
              <w:rPr>
                <w:rFonts w:hint="eastAsia" w:asciiTheme="minorEastAsia" w:hAnsiTheme="minorEastAsia" w:eastAsiaTheme="minorEastAsia" w:cstheme="minorEastAsia"/>
                <w:bCs/>
                <w:sz w:val="21"/>
                <w:szCs w:val="21"/>
                <w:highlight w:val="yellow"/>
              </w:rPr>
              <w:t>货物免费保修期</w:t>
            </w:r>
            <w:r>
              <w:rPr>
                <w:rFonts w:hint="eastAsia" w:asciiTheme="minorEastAsia" w:hAnsiTheme="minorEastAsia" w:eastAsiaTheme="minorEastAsia" w:cstheme="minorEastAsia"/>
                <w:bCs/>
                <w:sz w:val="21"/>
                <w:szCs w:val="21"/>
                <w:highlight w:val="yellow"/>
                <w:u w:val="single"/>
                <w:shd w:val="clear" w:color="auto" w:fill="FFFF00"/>
              </w:rPr>
              <w:t xml:space="preserve"> </w:t>
            </w:r>
            <w:r>
              <w:rPr>
                <w:rFonts w:hint="eastAsia" w:asciiTheme="minorEastAsia" w:hAnsiTheme="minorEastAsia" w:eastAsiaTheme="minorEastAsia" w:cstheme="minorEastAsia"/>
                <w:bCs/>
                <w:sz w:val="21"/>
                <w:szCs w:val="21"/>
                <w:highlight w:val="yellow"/>
                <w:u w:val="single"/>
                <w:shd w:val="clear" w:color="auto" w:fill="FFFF00"/>
                <w:lang w:val="en-US" w:eastAsia="zh-CN"/>
              </w:rPr>
              <w:t>3</w:t>
            </w:r>
            <w:r>
              <w:rPr>
                <w:rFonts w:hint="eastAsia" w:asciiTheme="minorEastAsia" w:hAnsiTheme="minorEastAsia" w:eastAsiaTheme="minorEastAsia" w:cstheme="minorEastAsia"/>
                <w:bCs/>
                <w:sz w:val="21"/>
                <w:szCs w:val="21"/>
                <w:highlight w:val="yellow"/>
                <w:u w:val="single"/>
                <w:shd w:val="clear" w:color="auto" w:fill="FFFF00"/>
              </w:rPr>
              <w:t xml:space="preserve"> </w:t>
            </w:r>
            <w:r>
              <w:rPr>
                <w:rFonts w:hint="eastAsia" w:asciiTheme="minorEastAsia" w:hAnsiTheme="minorEastAsia" w:eastAsiaTheme="minorEastAsia" w:cstheme="minorEastAsia"/>
                <w:bCs/>
                <w:sz w:val="21"/>
                <w:szCs w:val="21"/>
                <w:highlight w:val="yellow"/>
              </w:rPr>
              <w:t>年，时间自最终验收合格并交付使用之日起计算。</w:t>
            </w:r>
          </w:p>
        </w:tc>
      </w:tr>
      <w:tr w14:paraId="76DD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3FCB2B4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w:t>
            </w:r>
          </w:p>
        </w:tc>
        <w:tc>
          <w:tcPr>
            <w:tcW w:w="1660" w:type="dxa"/>
            <w:noWrap w:val="0"/>
            <w:vAlign w:val="top"/>
          </w:tcPr>
          <w:p w14:paraId="445FC058">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维修响应及故障解决时间</w:t>
            </w:r>
          </w:p>
        </w:tc>
        <w:tc>
          <w:tcPr>
            <w:tcW w:w="6752" w:type="dxa"/>
            <w:noWrap w:val="0"/>
            <w:vAlign w:val="top"/>
          </w:tcPr>
          <w:p w14:paraId="3F87388A">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val="0"/>
                <w:bCs w:val="0"/>
                <w:color w:val="000000"/>
                <w:sz w:val="21"/>
                <w:szCs w:val="21"/>
              </w:rPr>
              <w:t>保修期内，产品如发生故障，中标人维修人员应在接到故障通知后 8 小时内赴故障现场对设备进行抢修；如需更换小部件，应在接到故障 通知 24 小时内更换修理完毕；如要更换大部件，应在接到故障通知 3 天内更换修理完毕。</w:t>
            </w:r>
          </w:p>
        </w:tc>
      </w:tr>
      <w:tr w14:paraId="6F3D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291" w:type="dxa"/>
            <w:noWrap w:val="0"/>
            <w:vAlign w:val="center"/>
          </w:tcPr>
          <w:p w14:paraId="16DC9E94">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w:t>
            </w:r>
          </w:p>
        </w:tc>
        <w:tc>
          <w:tcPr>
            <w:tcW w:w="1660" w:type="dxa"/>
            <w:noWrap w:val="0"/>
            <w:vAlign w:val="center"/>
          </w:tcPr>
          <w:p w14:paraId="60E8FDCF">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其他</w:t>
            </w:r>
          </w:p>
        </w:tc>
        <w:tc>
          <w:tcPr>
            <w:tcW w:w="6752" w:type="dxa"/>
            <w:noWrap w:val="0"/>
            <w:vAlign w:val="center"/>
          </w:tcPr>
          <w:p w14:paraId="345CDDD9">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Cs/>
                <w:sz w:val="21"/>
                <w:szCs w:val="21"/>
              </w:rPr>
              <w:t>投标人应按其投标文件中的承诺，进行其他售后服务工作。</w:t>
            </w:r>
          </w:p>
        </w:tc>
      </w:tr>
      <w:tr w14:paraId="6DF6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center"/>
          </w:tcPr>
          <w:p w14:paraId="7A75B403">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sz w:val="21"/>
                <w:szCs w:val="21"/>
              </w:rPr>
              <w:t>（二）免费保修期外售后服务要求</w:t>
            </w:r>
          </w:p>
        </w:tc>
      </w:tr>
      <w:tr w14:paraId="5E8C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291" w:type="dxa"/>
            <w:vMerge w:val="restart"/>
            <w:noWrap w:val="0"/>
            <w:vAlign w:val="center"/>
          </w:tcPr>
          <w:p w14:paraId="366E4C6A">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1</w:t>
            </w:r>
          </w:p>
        </w:tc>
        <w:tc>
          <w:tcPr>
            <w:tcW w:w="1660" w:type="dxa"/>
            <w:vMerge w:val="restart"/>
            <w:noWrap w:val="0"/>
            <w:vAlign w:val="center"/>
          </w:tcPr>
          <w:p w14:paraId="3B570536">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免费保修期外售后服务要求</w:t>
            </w:r>
          </w:p>
        </w:tc>
        <w:tc>
          <w:tcPr>
            <w:tcW w:w="6752" w:type="dxa"/>
            <w:noWrap w:val="0"/>
            <w:vAlign w:val="center"/>
          </w:tcPr>
          <w:p w14:paraId="583CE432">
            <w:pPr>
              <w:rPr>
                <w:rFonts w:hint="eastAsia" w:asciiTheme="minorEastAsia" w:hAnsiTheme="minorEastAsia" w:eastAsiaTheme="minorEastAsia" w:cstheme="minorEastAsia"/>
                <w:bCs/>
                <w:kern w:val="2"/>
                <w:sz w:val="21"/>
                <w:szCs w:val="21"/>
                <w:lang w:val="en-US" w:eastAsia="zh-CN" w:bidi="ar-SA"/>
              </w:rPr>
            </w:pPr>
            <w:r>
              <w:rPr>
                <w:rFonts w:hint="eastAsia" w:asciiTheme="minorEastAsia" w:hAnsiTheme="minorEastAsia" w:eastAsiaTheme="minorEastAsia" w:cstheme="minorEastAsia"/>
                <w:b w:val="0"/>
                <w:bCs w:val="0"/>
                <w:color w:val="000000"/>
                <w:sz w:val="21"/>
                <w:szCs w:val="21"/>
                <w:lang w:val="en-US" w:eastAsia="zh-CN"/>
              </w:rPr>
              <w:t>1.1</w:t>
            </w:r>
            <w:r>
              <w:rPr>
                <w:rFonts w:hint="eastAsia" w:asciiTheme="minorEastAsia" w:hAnsiTheme="minorEastAsia" w:eastAsiaTheme="minorEastAsia" w:cstheme="minorEastAsia"/>
                <w:b w:val="0"/>
                <w:bCs w:val="0"/>
                <w:color w:val="000000"/>
                <w:sz w:val="21"/>
                <w:szCs w:val="21"/>
              </w:rPr>
              <w:t>在保修期满以后，中标人应按其在深圳地区同类产品的最优惠价格 提供保修服务。</w:t>
            </w:r>
          </w:p>
        </w:tc>
      </w:tr>
      <w:tr w14:paraId="2C9C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91" w:type="dxa"/>
            <w:vMerge w:val="continue"/>
            <w:noWrap w:val="0"/>
            <w:vAlign w:val="center"/>
          </w:tcPr>
          <w:p w14:paraId="492683CE">
            <w:pPr>
              <w:jc w:val="center"/>
              <w:rPr>
                <w:rFonts w:hint="eastAsia" w:asciiTheme="minorEastAsia" w:hAnsiTheme="minorEastAsia" w:eastAsiaTheme="minorEastAsia" w:cstheme="minorEastAsia"/>
                <w:b/>
                <w:sz w:val="21"/>
                <w:szCs w:val="21"/>
                <w:lang w:val="en-US" w:eastAsia="zh-CN"/>
              </w:rPr>
            </w:pPr>
          </w:p>
        </w:tc>
        <w:tc>
          <w:tcPr>
            <w:tcW w:w="1660" w:type="dxa"/>
            <w:vMerge w:val="continue"/>
            <w:noWrap w:val="0"/>
            <w:vAlign w:val="center"/>
          </w:tcPr>
          <w:p w14:paraId="39EAF512">
            <w:pPr>
              <w:rPr>
                <w:rFonts w:hint="eastAsia" w:asciiTheme="minorEastAsia" w:hAnsiTheme="minorEastAsia" w:eastAsiaTheme="minorEastAsia" w:cstheme="minorEastAsia"/>
                <w:sz w:val="21"/>
                <w:szCs w:val="21"/>
                <w:lang w:val="en-US" w:eastAsia="zh-CN"/>
              </w:rPr>
            </w:pPr>
          </w:p>
        </w:tc>
        <w:tc>
          <w:tcPr>
            <w:tcW w:w="6752" w:type="dxa"/>
            <w:noWrap w:val="0"/>
            <w:vAlign w:val="center"/>
          </w:tcPr>
          <w:p w14:paraId="7BAE24FC">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val="0"/>
                <w:bCs w:val="0"/>
                <w:color w:val="000000"/>
                <w:sz w:val="21"/>
                <w:szCs w:val="21"/>
                <w:lang w:val="en-US" w:eastAsia="zh-CN"/>
              </w:rPr>
              <w:t>1.2</w:t>
            </w:r>
            <w:r>
              <w:rPr>
                <w:rFonts w:hint="eastAsia" w:asciiTheme="minorEastAsia" w:hAnsiTheme="minorEastAsia" w:eastAsiaTheme="minorEastAsia" w:cstheme="minorEastAsia"/>
                <w:b w:val="0"/>
                <w:bCs w:val="0"/>
                <w:color w:val="000000"/>
                <w:sz w:val="21"/>
                <w:szCs w:val="21"/>
              </w:rPr>
              <w:t>中标人应负责对采购人的操作、维修、保养的人员进行培训（并提供设备使用维护说明书），具体培训时间和培训方案应由双方协商制 定（此项费用包含在投标报价内，不再额外收费）。</w:t>
            </w:r>
          </w:p>
        </w:tc>
      </w:tr>
      <w:tr w14:paraId="4A28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top"/>
          </w:tcPr>
          <w:p w14:paraId="2A9177A1">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三</w:t>
            </w:r>
            <w:r>
              <w:rPr>
                <w:rFonts w:hint="eastAsia" w:asciiTheme="minorEastAsia" w:hAnsiTheme="minorEastAsia" w:eastAsiaTheme="minorEastAsia" w:cstheme="minorEastAsia"/>
                <w:b/>
                <w:sz w:val="21"/>
                <w:szCs w:val="21"/>
              </w:rPr>
              <w:t>）其他商务要求</w:t>
            </w:r>
          </w:p>
        </w:tc>
      </w:tr>
      <w:tr w14:paraId="4D66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restart"/>
            <w:noWrap w:val="0"/>
            <w:vAlign w:val="center"/>
          </w:tcPr>
          <w:p w14:paraId="5A6E52EA">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w:t>
            </w:r>
          </w:p>
        </w:tc>
        <w:tc>
          <w:tcPr>
            <w:tcW w:w="1660" w:type="dxa"/>
            <w:vMerge w:val="restart"/>
            <w:noWrap w:val="0"/>
            <w:vAlign w:val="center"/>
          </w:tcPr>
          <w:p w14:paraId="44BC03FC">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关于交货</w:t>
            </w:r>
          </w:p>
        </w:tc>
        <w:tc>
          <w:tcPr>
            <w:tcW w:w="6752" w:type="dxa"/>
            <w:noWrap w:val="0"/>
            <w:vAlign w:val="top"/>
          </w:tcPr>
          <w:p w14:paraId="7D2A835D">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bCs/>
                <w:sz w:val="21"/>
                <w:szCs w:val="21"/>
                <w:highlight w:val="yellow"/>
              </w:rPr>
              <w:t>1.1</w:t>
            </w:r>
            <w:r>
              <w:rPr>
                <w:rFonts w:hint="eastAsia" w:asciiTheme="minorEastAsia" w:hAnsiTheme="minorEastAsia" w:eastAsiaTheme="minorEastAsia" w:cstheme="minorEastAsia"/>
                <w:b/>
                <w:bCs/>
                <w:color w:val="FF0000"/>
                <w:sz w:val="21"/>
                <w:szCs w:val="21"/>
                <w:highlight w:val="yellow"/>
              </w:rPr>
              <w:t xml:space="preserve">签订合同后 </w:t>
            </w:r>
            <w:r>
              <w:rPr>
                <w:rFonts w:hint="eastAsia" w:asciiTheme="minorEastAsia" w:hAnsiTheme="minorEastAsia" w:eastAsiaTheme="minorEastAsia" w:cstheme="minorEastAsia"/>
                <w:b/>
                <w:bCs/>
                <w:color w:val="FF0000"/>
                <w:sz w:val="21"/>
                <w:szCs w:val="21"/>
                <w:highlight w:val="yellow"/>
                <w:lang w:val="en-US" w:eastAsia="zh-CN"/>
              </w:rPr>
              <w:t>60</w:t>
            </w:r>
            <w:r>
              <w:rPr>
                <w:rFonts w:hint="eastAsia" w:asciiTheme="minorEastAsia" w:hAnsiTheme="minorEastAsia" w:eastAsiaTheme="minorEastAsia" w:cstheme="minorEastAsia"/>
                <w:b/>
                <w:bCs/>
                <w:color w:val="FF0000"/>
                <w:sz w:val="21"/>
                <w:szCs w:val="21"/>
                <w:highlight w:val="yellow"/>
              </w:rPr>
              <w:t>（天）日历日内，系指合同签订之日起至货物运 抵采购人指定地点并且完成安装、调试，验收合格交付使用的时间。</w:t>
            </w:r>
          </w:p>
        </w:tc>
      </w:tr>
      <w:tr w14:paraId="035A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42728FD3">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1DA592F2">
            <w:pPr>
              <w:jc w:val="center"/>
              <w:rPr>
                <w:rFonts w:hint="eastAsia" w:asciiTheme="minorEastAsia" w:hAnsiTheme="minorEastAsia" w:eastAsiaTheme="minorEastAsia" w:cstheme="minorEastAsia"/>
                <w:sz w:val="21"/>
                <w:szCs w:val="21"/>
              </w:rPr>
            </w:pPr>
          </w:p>
        </w:tc>
        <w:tc>
          <w:tcPr>
            <w:tcW w:w="6752" w:type="dxa"/>
            <w:noWrap w:val="0"/>
            <w:vAlign w:val="top"/>
          </w:tcPr>
          <w:p w14:paraId="27E5F3D1">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1.2投标人必须承担的设备运输、安装调试、验收检测和提供设备操作说明书、图纸等其他类似的义务。</w:t>
            </w:r>
          </w:p>
        </w:tc>
      </w:tr>
      <w:tr w14:paraId="2CBB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3DC71BE4">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75E78F8B">
            <w:pPr>
              <w:jc w:val="center"/>
              <w:rPr>
                <w:rFonts w:hint="eastAsia" w:asciiTheme="minorEastAsia" w:hAnsiTheme="minorEastAsia" w:eastAsiaTheme="minorEastAsia" w:cstheme="minorEastAsia"/>
                <w:sz w:val="21"/>
                <w:szCs w:val="21"/>
              </w:rPr>
            </w:pPr>
          </w:p>
        </w:tc>
        <w:tc>
          <w:tcPr>
            <w:tcW w:w="6752" w:type="dxa"/>
            <w:noWrap w:val="0"/>
            <w:vAlign w:val="top"/>
          </w:tcPr>
          <w:p w14:paraId="1DEBE9EC">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val="0"/>
                <w:bCs w:val="0"/>
                <w:color w:val="000000"/>
                <w:sz w:val="21"/>
                <w:szCs w:val="21"/>
                <w:lang w:val="en-US" w:eastAsia="zh-CN"/>
              </w:rPr>
              <w:t>1.3</w:t>
            </w:r>
            <w:r>
              <w:rPr>
                <w:rFonts w:hint="eastAsia" w:asciiTheme="minorEastAsia" w:hAnsiTheme="minorEastAsia" w:eastAsiaTheme="minorEastAsia" w:cstheme="minorEastAsia"/>
                <w:b w:val="0"/>
                <w:bCs w:val="0"/>
                <w:color w:val="000000"/>
                <w:sz w:val="21"/>
                <w:szCs w:val="21"/>
              </w:rPr>
              <w:t>包装要求和运输方式：常规包装，运输方式由中标人自定。由于不 适当包装或不适当装运而造成货物在运输过程中有任何损失的，一律 由中标人负责。</w:t>
            </w:r>
          </w:p>
        </w:tc>
      </w:tr>
      <w:tr w14:paraId="7A24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0612E4E3">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2E5AFDEF">
            <w:pPr>
              <w:jc w:val="center"/>
              <w:rPr>
                <w:rFonts w:hint="eastAsia" w:asciiTheme="minorEastAsia" w:hAnsiTheme="minorEastAsia" w:eastAsiaTheme="minorEastAsia" w:cstheme="minorEastAsia"/>
                <w:sz w:val="21"/>
                <w:szCs w:val="21"/>
              </w:rPr>
            </w:pPr>
          </w:p>
        </w:tc>
        <w:tc>
          <w:tcPr>
            <w:tcW w:w="6752" w:type="dxa"/>
            <w:noWrap w:val="0"/>
            <w:vAlign w:val="top"/>
          </w:tcPr>
          <w:p w14:paraId="7EF89F75">
            <w:pP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val="en-US" w:eastAsia="zh-CN"/>
              </w:rPr>
              <w:t>1.4</w:t>
            </w:r>
            <w:r>
              <w:rPr>
                <w:rFonts w:hint="eastAsia" w:asciiTheme="minorEastAsia" w:hAnsiTheme="minorEastAsia" w:eastAsiaTheme="minorEastAsia" w:cstheme="minorEastAsia"/>
                <w:b w:val="0"/>
                <w:bCs w:val="0"/>
                <w:color w:val="000000"/>
                <w:sz w:val="21"/>
                <w:szCs w:val="21"/>
              </w:rPr>
              <w:t>中标人需承担货物运输、安装调试、验收检测和提供货物操作说明 书、图纸等其他类似的义务。</w:t>
            </w:r>
          </w:p>
        </w:tc>
      </w:tr>
      <w:tr w14:paraId="37DC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0A224452">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62BC73B7">
            <w:pPr>
              <w:jc w:val="center"/>
              <w:rPr>
                <w:rFonts w:hint="eastAsia" w:asciiTheme="minorEastAsia" w:hAnsiTheme="minorEastAsia" w:eastAsiaTheme="minorEastAsia" w:cstheme="minorEastAsia"/>
                <w:sz w:val="21"/>
                <w:szCs w:val="21"/>
              </w:rPr>
            </w:pPr>
          </w:p>
        </w:tc>
        <w:tc>
          <w:tcPr>
            <w:tcW w:w="6752" w:type="dxa"/>
            <w:noWrap w:val="0"/>
            <w:vAlign w:val="top"/>
          </w:tcPr>
          <w:p w14:paraId="6A7A03A4">
            <w:pP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val="en-US" w:eastAsia="zh-CN"/>
              </w:rPr>
              <w:t>1.5</w:t>
            </w:r>
            <w:r>
              <w:rPr>
                <w:rFonts w:hint="eastAsia" w:asciiTheme="minorEastAsia" w:hAnsiTheme="minorEastAsia" w:eastAsiaTheme="minorEastAsia" w:cstheme="minorEastAsia"/>
                <w:b w:val="0"/>
                <w:bCs w:val="0"/>
                <w:color w:val="000000"/>
                <w:sz w:val="21"/>
                <w:szCs w:val="21"/>
              </w:rPr>
              <w:t>风险承担：货物交付给采购人验收合格前的所有风险由中标人承 担。</w:t>
            </w:r>
          </w:p>
        </w:tc>
      </w:tr>
      <w:tr w14:paraId="4A3C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restart"/>
            <w:noWrap w:val="0"/>
            <w:vAlign w:val="center"/>
          </w:tcPr>
          <w:p w14:paraId="4E9636FF">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w:t>
            </w:r>
          </w:p>
        </w:tc>
        <w:tc>
          <w:tcPr>
            <w:tcW w:w="1660" w:type="dxa"/>
            <w:vMerge w:val="restart"/>
            <w:noWrap w:val="0"/>
            <w:vAlign w:val="center"/>
          </w:tcPr>
          <w:p w14:paraId="76B4C23A">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★关于验收</w:t>
            </w:r>
          </w:p>
        </w:tc>
        <w:tc>
          <w:tcPr>
            <w:tcW w:w="6752" w:type="dxa"/>
            <w:noWrap w:val="0"/>
            <w:vAlign w:val="top"/>
          </w:tcPr>
          <w:p w14:paraId="0FC34D43">
            <w:pPr>
              <w:spacing w:line="340" w:lineRule="exact"/>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lang w:val="en-US" w:eastAsia="zh-CN"/>
              </w:rPr>
              <w:t>2.1</w:t>
            </w:r>
            <w:r>
              <w:rPr>
                <w:rFonts w:hint="eastAsia" w:asciiTheme="minorEastAsia" w:hAnsiTheme="minorEastAsia" w:eastAsiaTheme="minorEastAsia" w:cstheme="minorEastAsia"/>
                <w:bCs/>
                <w:sz w:val="21"/>
                <w:szCs w:val="21"/>
                <w:highlight w:val="yellow"/>
              </w:rPr>
              <w:t>投标人货物经过双方检验认可后，签署验收报告，产品保修期自验收合格之日起算，由投标人提供产品保修文件。</w:t>
            </w:r>
          </w:p>
        </w:tc>
      </w:tr>
      <w:tr w14:paraId="31C6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694A28BA">
            <w:pPr>
              <w:jc w:val="center"/>
              <w:rPr>
                <w:rFonts w:hint="eastAsia" w:asciiTheme="minorEastAsia" w:hAnsiTheme="minorEastAsia" w:eastAsiaTheme="minorEastAsia" w:cstheme="minorEastAsia"/>
                <w:b/>
                <w:sz w:val="21"/>
                <w:szCs w:val="21"/>
              </w:rPr>
            </w:pPr>
          </w:p>
        </w:tc>
        <w:tc>
          <w:tcPr>
            <w:tcW w:w="1660" w:type="dxa"/>
            <w:vMerge w:val="continue"/>
            <w:noWrap w:val="0"/>
            <w:vAlign w:val="top"/>
          </w:tcPr>
          <w:p w14:paraId="2A9DF938">
            <w:pPr>
              <w:rPr>
                <w:rFonts w:hint="eastAsia" w:asciiTheme="minorEastAsia" w:hAnsiTheme="minorEastAsia" w:eastAsiaTheme="minorEastAsia" w:cstheme="minorEastAsia"/>
                <w:b/>
                <w:sz w:val="21"/>
                <w:szCs w:val="21"/>
                <w:highlight w:val="yellow"/>
              </w:rPr>
            </w:pPr>
          </w:p>
        </w:tc>
        <w:tc>
          <w:tcPr>
            <w:tcW w:w="6752" w:type="dxa"/>
            <w:noWrap w:val="0"/>
            <w:vAlign w:val="top"/>
          </w:tcPr>
          <w:p w14:paraId="7AD20C2E">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lang w:val="en-US" w:eastAsia="zh-CN"/>
              </w:rPr>
              <w:t>2.2</w:t>
            </w:r>
            <w:r>
              <w:rPr>
                <w:rFonts w:hint="eastAsia" w:asciiTheme="minorEastAsia" w:hAnsiTheme="minorEastAsia" w:eastAsiaTheme="minorEastAsia" w:cstheme="minorEastAsia"/>
                <w:bCs/>
                <w:sz w:val="21"/>
                <w:szCs w:val="21"/>
                <w:highlight w:val="yellow"/>
              </w:rPr>
              <w:t>当满足以下条件时，采购人才向中标人签发货物验收报告：</w:t>
            </w:r>
          </w:p>
          <w:p w14:paraId="3636A655">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a、中标人已按照合同规定提供了全部产品及完整的技术资料。</w:t>
            </w:r>
          </w:p>
          <w:p w14:paraId="279664DE">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b、货物符合招标文件技术规格书的要求，性能满足要求。</w:t>
            </w:r>
          </w:p>
          <w:p w14:paraId="0133A9FA">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c、货物具备产品合格证。</w:t>
            </w:r>
          </w:p>
        </w:tc>
      </w:tr>
      <w:tr w14:paraId="35E9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1CB6B275">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3</w:t>
            </w:r>
          </w:p>
        </w:tc>
        <w:tc>
          <w:tcPr>
            <w:tcW w:w="1660" w:type="dxa"/>
            <w:noWrap w:val="0"/>
            <w:vAlign w:val="center"/>
          </w:tcPr>
          <w:p w14:paraId="3632E76F">
            <w:pPr>
              <w:spacing w:line="360" w:lineRule="auto"/>
              <w:jc w:val="cente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b w:val="0"/>
                <w:bCs w:val="0"/>
                <w:kern w:val="0"/>
                <w:sz w:val="21"/>
                <w:szCs w:val="21"/>
                <w:highlight w:val="yellow"/>
              </w:rPr>
              <w:t>付款方式</w:t>
            </w:r>
          </w:p>
        </w:tc>
        <w:tc>
          <w:tcPr>
            <w:tcW w:w="6752" w:type="dxa"/>
            <w:noWrap w:val="0"/>
            <w:vAlign w:val="top"/>
          </w:tcPr>
          <w:p w14:paraId="00C9E943">
            <w:pPr>
              <w:tabs>
                <w:tab w:val="left" w:pos="1260"/>
              </w:tabs>
              <w:spacing w:line="360" w:lineRule="auto"/>
              <w:rPr>
                <w:rFonts w:hint="default" w:asciiTheme="minorEastAsia" w:hAnsiTheme="minorEastAsia" w:eastAsiaTheme="minorEastAsia" w:cstheme="minorEastAsia"/>
                <w:bCs/>
                <w:sz w:val="21"/>
                <w:szCs w:val="21"/>
                <w:highlight w:val="yellow"/>
                <w:lang w:val="en-US" w:eastAsia="zh-CN"/>
              </w:rPr>
            </w:pPr>
            <w:r>
              <w:rPr>
                <w:rFonts w:hint="eastAsia" w:asciiTheme="minorEastAsia" w:hAnsiTheme="minorEastAsia" w:eastAsiaTheme="minorEastAsia" w:cstheme="minorEastAsia"/>
                <w:bCs/>
                <w:sz w:val="21"/>
                <w:szCs w:val="21"/>
                <w:highlight w:val="yellow"/>
              </w:rPr>
              <w:t>签订合同后，采购人向中标人支付合同总价的30%作为预付款，</w:t>
            </w:r>
            <w:r>
              <w:rPr>
                <w:rFonts w:hint="eastAsia" w:asciiTheme="minorEastAsia" w:hAnsiTheme="minorEastAsia" w:eastAsiaTheme="minorEastAsia" w:cstheme="minorEastAsia"/>
                <w:kern w:val="0"/>
                <w:sz w:val="21"/>
                <w:szCs w:val="21"/>
                <w:highlight w:val="yellow"/>
              </w:rPr>
              <w:t>货到指定地点并验收合格后支付合同总价的70%。</w:t>
            </w:r>
            <w:r>
              <w:rPr>
                <w:rFonts w:hint="eastAsia" w:asciiTheme="minorEastAsia" w:hAnsiTheme="minorEastAsia" w:eastAsiaTheme="minorEastAsia" w:cstheme="minorEastAsia"/>
                <w:bCs/>
                <w:sz w:val="21"/>
                <w:szCs w:val="21"/>
                <w:highlight w:val="yellow"/>
              </w:rPr>
              <w:t>每次</w:t>
            </w:r>
            <w:r>
              <w:rPr>
                <w:rFonts w:hint="eastAsia" w:asciiTheme="minorEastAsia" w:hAnsiTheme="minorEastAsia" w:eastAsiaTheme="minorEastAsia" w:cstheme="minorEastAsia"/>
                <w:bCs/>
                <w:sz w:val="21"/>
                <w:szCs w:val="21"/>
                <w:highlight w:val="yellow"/>
                <w:lang w:eastAsia="zh-TW"/>
              </w:rPr>
              <w:t>按合同支付款项前，中标人</w:t>
            </w:r>
            <w:r>
              <w:rPr>
                <w:rFonts w:hint="eastAsia" w:asciiTheme="minorEastAsia" w:hAnsiTheme="minorEastAsia" w:eastAsiaTheme="minorEastAsia" w:cstheme="minorEastAsia"/>
                <w:bCs/>
                <w:sz w:val="21"/>
                <w:szCs w:val="21"/>
                <w:highlight w:val="yellow"/>
              </w:rPr>
              <w:t>应</w:t>
            </w:r>
            <w:r>
              <w:rPr>
                <w:rFonts w:hint="eastAsia" w:asciiTheme="minorEastAsia" w:hAnsiTheme="minorEastAsia" w:eastAsiaTheme="minorEastAsia" w:cstheme="minorEastAsia"/>
                <w:bCs/>
                <w:sz w:val="21"/>
                <w:szCs w:val="21"/>
                <w:highlight w:val="yellow"/>
                <w:lang w:eastAsia="zh-TW"/>
              </w:rPr>
              <w:t>向采购人提供与支付金额相符的有效发票，且收款方、出具发票方、合同乙方均必须与中标人名称一致</w:t>
            </w:r>
            <w:r>
              <w:rPr>
                <w:rFonts w:hint="eastAsia" w:asciiTheme="minorEastAsia" w:hAnsiTheme="minorEastAsia" w:eastAsiaTheme="minorEastAsia" w:cstheme="minorEastAsia"/>
                <w:bCs/>
                <w:sz w:val="21"/>
                <w:szCs w:val="21"/>
                <w:highlight w:val="yellow"/>
              </w:rPr>
              <w:t>。</w:t>
            </w:r>
            <w:r>
              <w:rPr>
                <w:rFonts w:hint="eastAsia" w:asciiTheme="minorEastAsia" w:hAnsiTheme="minorEastAsia" w:eastAsiaTheme="minorEastAsia" w:cstheme="minorEastAsia"/>
                <w:bCs/>
                <w:sz w:val="21"/>
                <w:szCs w:val="21"/>
                <w:highlight w:val="yellow"/>
                <w:lang w:val="en-US" w:eastAsia="zh-CN"/>
              </w:rPr>
              <w:t xml:space="preserve"> </w:t>
            </w:r>
          </w:p>
        </w:tc>
      </w:tr>
    </w:tbl>
    <w:p w14:paraId="4A40211E">
      <w:pPr>
        <w:widowControl/>
        <w:jc w:val="left"/>
      </w:pPr>
    </w:p>
    <w:p w14:paraId="4FC091D3">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lang w:val="en-US" w:eastAsia="zh-CN"/>
        </w:rPr>
        <w:t>（四）项</w:t>
      </w:r>
      <w:r>
        <w:rPr>
          <w:rFonts w:hint="eastAsia" w:asciiTheme="minorEastAsia" w:hAnsiTheme="minorEastAsia" w:eastAsiaTheme="minorEastAsia"/>
          <w:b/>
        </w:rPr>
        <w:t>目</w:t>
      </w:r>
      <w:r>
        <w:rPr>
          <w:rFonts w:hint="eastAsia" w:asciiTheme="minorEastAsia" w:hAnsiTheme="minorEastAsia" w:eastAsiaTheme="minorEastAsia"/>
          <w:b/>
          <w:lang w:val="en-US" w:eastAsia="zh-CN"/>
        </w:rPr>
        <w:t>售后</w:t>
      </w:r>
      <w:r>
        <w:rPr>
          <w:rFonts w:hint="eastAsia" w:asciiTheme="minorEastAsia" w:hAnsiTheme="minorEastAsia" w:eastAsiaTheme="minorEastAsia"/>
          <w:b/>
        </w:rPr>
        <w:t>人员：</w:t>
      </w:r>
    </w:p>
    <w:p w14:paraId="7FDCB594">
      <w:pPr>
        <w:numPr>
          <w:ilvl w:val="-1"/>
          <w:numId w:val="0"/>
        </w:numPr>
        <w:spacing w:line="360" w:lineRule="exact"/>
        <w:ind w:firstLine="420" w:firstLineChars="200"/>
        <w:jc w:val="left"/>
        <w:rPr>
          <w:rFonts w:hint="eastAsia" w:cs="Times New Roman"/>
          <w:snapToGrid/>
          <w:spacing w:val="0"/>
          <w:sz w:val="21"/>
          <w:szCs w:val="21"/>
        </w:rPr>
      </w:pPr>
      <w:r>
        <w:rPr>
          <w:rFonts w:hint="eastAsia" w:cs="Times New Roman"/>
          <w:snapToGrid/>
          <w:spacing w:val="0"/>
          <w:sz w:val="21"/>
          <w:szCs w:val="21"/>
          <w:lang w:eastAsia="zh-CN"/>
        </w:rPr>
        <w:t>投标人需为本项目</w:t>
      </w:r>
      <w:r>
        <w:rPr>
          <w:rFonts w:hint="eastAsia" w:cs="Times New Roman"/>
          <w:snapToGrid/>
          <w:spacing w:val="0"/>
          <w:sz w:val="21"/>
          <w:szCs w:val="21"/>
        </w:rPr>
        <w:t>安排项目</w:t>
      </w:r>
      <w:r>
        <w:rPr>
          <w:rFonts w:hint="eastAsia" w:cs="Times New Roman"/>
          <w:snapToGrid/>
          <w:spacing w:val="0"/>
          <w:sz w:val="21"/>
          <w:szCs w:val="21"/>
          <w:lang w:eastAsia="zh-CN"/>
        </w:rPr>
        <w:t>服务人员，包含</w:t>
      </w:r>
      <w:r>
        <w:rPr>
          <w:rFonts w:hint="eastAsia" w:cs="Times New Roman"/>
          <w:snapToGrid/>
          <w:spacing w:val="0"/>
          <w:sz w:val="21"/>
          <w:szCs w:val="21"/>
          <w:lang w:val="en-US" w:eastAsia="zh-CN"/>
        </w:rPr>
        <w:t>1名</w:t>
      </w:r>
      <w:r>
        <w:rPr>
          <w:rFonts w:hint="eastAsia" w:cs="Times New Roman"/>
          <w:snapToGrid/>
          <w:spacing w:val="0"/>
          <w:sz w:val="21"/>
          <w:szCs w:val="21"/>
          <w:lang w:eastAsia="zh-CN"/>
        </w:rPr>
        <w:t>项目</w:t>
      </w:r>
      <w:r>
        <w:rPr>
          <w:rFonts w:hint="eastAsia" w:cs="Times New Roman"/>
          <w:snapToGrid/>
          <w:spacing w:val="0"/>
          <w:sz w:val="21"/>
          <w:szCs w:val="21"/>
        </w:rPr>
        <w:t>负责人</w:t>
      </w:r>
      <w:r>
        <w:rPr>
          <w:rFonts w:hint="eastAsia" w:cs="Times New Roman"/>
          <w:snapToGrid/>
          <w:spacing w:val="0"/>
          <w:sz w:val="21"/>
          <w:szCs w:val="21"/>
          <w:lang w:eastAsia="zh-CN"/>
        </w:rPr>
        <w:t>和</w:t>
      </w:r>
      <w:r>
        <w:rPr>
          <w:rFonts w:hint="eastAsia" w:cs="Times New Roman"/>
          <w:snapToGrid/>
          <w:spacing w:val="0"/>
          <w:sz w:val="21"/>
          <w:szCs w:val="21"/>
          <w:highlight w:val="yellow"/>
          <w:lang w:val="en-US" w:eastAsia="zh-CN"/>
        </w:rPr>
        <w:t>1</w:t>
      </w:r>
      <w:r>
        <w:rPr>
          <w:rFonts w:hint="eastAsia" w:cs="Times New Roman"/>
          <w:snapToGrid/>
          <w:spacing w:val="0"/>
          <w:sz w:val="21"/>
          <w:szCs w:val="21"/>
          <w:lang w:val="en-US" w:eastAsia="zh-CN"/>
        </w:rPr>
        <w:t>名项目团队成员，</w:t>
      </w:r>
      <w:r>
        <w:rPr>
          <w:rFonts w:hint="eastAsia" w:cs="Times New Roman"/>
          <w:snapToGrid/>
          <w:spacing w:val="0"/>
          <w:sz w:val="21"/>
          <w:szCs w:val="21"/>
          <w:lang w:eastAsia="zh-CN"/>
        </w:rPr>
        <w:t>具备完成本项目履约要求的能力</w:t>
      </w:r>
      <w:r>
        <w:rPr>
          <w:rFonts w:hint="eastAsia" w:cs="Times New Roman"/>
          <w:snapToGrid/>
          <w:spacing w:val="0"/>
          <w:sz w:val="21"/>
          <w:szCs w:val="21"/>
        </w:rPr>
        <w:t>。</w:t>
      </w:r>
    </w:p>
    <w:p w14:paraId="1E53BC61">
      <w:pPr>
        <w:numPr>
          <w:ilvl w:val="-1"/>
          <w:numId w:val="0"/>
        </w:numPr>
        <w:spacing w:line="360" w:lineRule="exact"/>
        <w:jc w:val="left"/>
        <w:rPr>
          <w:rFonts w:hint="eastAsia" w:cs="Times New Roman" w:asciiTheme="minorEastAsia" w:hAnsiTheme="minorEastAsia" w:eastAsiaTheme="minorEastAsia"/>
          <w:b/>
          <w:kern w:val="2"/>
          <w:sz w:val="21"/>
          <w:szCs w:val="22"/>
          <w:lang w:val="en-US" w:eastAsia="zh-CN" w:bidi="ar-SA"/>
        </w:rPr>
      </w:pPr>
      <w:r>
        <w:rPr>
          <w:rFonts w:hint="eastAsia" w:cs="Times New Roman" w:asciiTheme="minorEastAsia" w:hAnsiTheme="minorEastAsia" w:eastAsiaTheme="minorEastAsia"/>
          <w:b/>
          <w:kern w:val="2"/>
          <w:sz w:val="21"/>
          <w:szCs w:val="22"/>
          <w:lang w:val="en-US" w:eastAsia="zh-CN" w:bidi="ar-SA"/>
        </w:rPr>
        <w:t>（五）投标报价：</w:t>
      </w:r>
    </w:p>
    <w:p w14:paraId="3F79893F">
      <w:pPr>
        <w:numPr>
          <w:ilvl w:val="-1"/>
          <w:numId w:val="0"/>
        </w:numPr>
        <w:spacing w:line="360" w:lineRule="exact"/>
        <w:ind w:firstLine="422" w:firstLineChars="200"/>
        <w:jc w:val="left"/>
        <w:rPr>
          <w:rFonts w:hint="default" w:cs="Times New Roman" w:asciiTheme="minorEastAsia" w:hAnsiTheme="minorEastAsia" w:eastAsiaTheme="minorEastAsia"/>
          <w:b/>
          <w:kern w:val="2"/>
          <w:sz w:val="21"/>
          <w:szCs w:val="22"/>
          <w:lang w:val="en-US" w:eastAsia="zh-CN" w:bidi="ar-SA"/>
        </w:rPr>
      </w:pPr>
      <w:r>
        <w:rPr>
          <w:rFonts w:hint="eastAsia" w:cs="Times New Roman" w:asciiTheme="minorEastAsia" w:hAnsiTheme="minorEastAsia" w:eastAsiaTheme="minorEastAsia"/>
          <w:b/>
          <w:kern w:val="2"/>
          <w:sz w:val="21"/>
          <w:szCs w:val="22"/>
          <w:lang w:val="en-US" w:eastAsia="zh-CN" w:bidi="ar-SA"/>
        </w:rPr>
        <w:t>投标</w:t>
      </w:r>
      <w:r>
        <w:rPr>
          <w:rFonts w:hint="eastAsia" w:asciiTheme="minorEastAsia" w:hAnsiTheme="minorEastAsia" w:eastAsiaTheme="minorEastAsia"/>
          <w:snapToGrid w:val="0"/>
          <w:kern w:val="0"/>
        </w:rPr>
        <w:t>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4EFDBCF8">
      <w:pPr>
        <w:pStyle w:val="509"/>
        <w:wordWrap/>
        <w:spacing w:afterLines="0" w:line="360" w:lineRule="auto"/>
        <w:ind w:firstLine="420"/>
        <w:rPr>
          <w:rFonts w:cs="Times New Roman"/>
          <w:snapToGrid/>
          <w:spacing w:val="0"/>
          <w:sz w:val="21"/>
          <w:szCs w:val="21"/>
        </w:rPr>
      </w:pPr>
    </w:p>
    <w:p w14:paraId="7F842591">
      <w:pPr>
        <w:rPr>
          <w:rFonts w:hint="eastAsia"/>
        </w:rPr>
      </w:pPr>
      <w:r>
        <w:br w:type="page"/>
      </w:r>
      <w:bookmarkStart w:id="3" w:name="_Toc135293322"/>
    </w:p>
    <w:p w14:paraId="1FB01B7F">
      <w:pPr>
        <w:pStyle w:val="2"/>
      </w:pPr>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06D8F270"/>
    <w:p w14:paraId="4BE47D73"/>
    <w:p w14:paraId="0C7AE374">
      <w:pPr>
        <w:pStyle w:val="4"/>
      </w:pP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0702"/>
      <w:bookmarkStart w:id="6" w:name="_Toc135293324"/>
      <w:bookmarkStart w:id="7" w:name="_Toc44691161"/>
      <w:bookmarkStart w:id="8" w:name="_Toc44690429"/>
      <w:bookmarkStart w:id="9" w:name="_Toc44691393"/>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60</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82"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2CAD9D31">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7C05B46F">
            <w:pPr>
              <w:widowControl/>
              <w:spacing w:line="360" w:lineRule="exact"/>
              <w:jc w:val="center"/>
              <w:rPr>
                <w:rFonts w:ascii="宋体" w:hAnsi="宋体" w:cs="仿宋"/>
                <w:kern w:val="0"/>
                <w:szCs w:val="21"/>
              </w:rPr>
            </w:pPr>
            <w:r>
              <w:rPr>
                <w:rFonts w:hint="eastAsia" w:ascii="宋体" w:hAnsi="宋体" w:cs="仿宋"/>
                <w:kern w:val="0"/>
                <w:szCs w:val="21"/>
              </w:rPr>
              <w:t>40</w:t>
            </w:r>
          </w:p>
        </w:tc>
        <w:tc>
          <w:tcPr>
            <w:tcW w:w="5953" w:type="dxa"/>
            <w:vAlign w:val="center"/>
          </w:tcPr>
          <w:p w14:paraId="1C5AFA3A">
            <w:pPr>
              <w:pStyle w:val="94"/>
              <w:spacing w:line="360" w:lineRule="exact"/>
              <w:ind w:firstLine="0" w:firstLineChars="0"/>
              <w:rPr>
                <w:rFonts w:ascii="宋体" w:hAnsi="宋体"/>
                <w:szCs w:val="21"/>
              </w:rPr>
            </w:pPr>
            <w:r>
              <w:rPr>
                <w:rFonts w:hint="eastAsia" w:ascii="宋体" w:hAnsi="宋体"/>
                <w:szCs w:val="21"/>
              </w:rPr>
              <w:t>（一）评分内容：</w:t>
            </w:r>
          </w:p>
          <w:p w14:paraId="443C1B6D">
            <w:pPr>
              <w:spacing w:line="360" w:lineRule="exact"/>
              <w:jc w:val="left"/>
              <w:rPr>
                <w:rFonts w:ascii="宋体" w:hAnsi="宋体" w:cs="仿宋"/>
                <w:color w:val="auto"/>
                <w:szCs w:val="21"/>
              </w:rPr>
            </w:pPr>
            <w:r>
              <w:rPr>
                <w:rFonts w:hint="eastAsia" w:ascii="宋体" w:hAnsi="宋体" w:cs="仿宋"/>
                <w:color w:val="auto"/>
                <w:szCs w:val="21"/>
              </w:rPr>
              <w:t xml:space="preserve">投标人应如实填写《技术规格偏离表》，各项非实质性技术参数指标及要求全部满足的得 </w:t>
            </w:r>
            <w:r>
              <w:rPr>
                <w:rFonts w:hint="eastAsia" w:ascii="宋体" w:hAnsi="宋体" w:cs="仿宋"/>
                <w:color w:val="auto"/>
                <w:szCs w:val="21"/>
                <w:lang w:val="en-US" w:eastAsia="zh-CN"/>
              </w:rPr>
              <w:t>40</w:t>
            </w:r>
            <w:r>
              <w:rPr>
                <w:rFonts w:hint="eastAsia" w:ascii="宋体" w:hAnsi="宋体" w:cs="仿宋"/>
                <w:color w:val="auto"/>
                <w:szCs w:val="21"/>
              </w:rPr>
              <w:t>分；其中“▲”参数为重要指标，</w:t>
            </w:r>
            <w:r>
              <w:rPr>
                <w:rFonts w:hint="eastAsia" w:ascii="宋体" w:hAnsi="宋体" w:cs="仿宋"/>
                <w:color w:val="auto"/>
                <w:szCs w:val="21"/>
                <w:lang w:val="en-US" w:eastAsia="zh-CN"/>
              </w:rPr>
              <w:t>共7项，</w:t>
            </w:r>
            <w:r>
              <w:rPr>
                <w:rFonts w:hint="eastAsia" w:ascii="宋体" w:hAnsi="宋体" w:cs="仿宋"/>
                <w:color w:val="auto"/>
                <w:szCs w:val="21"/>
              </w:rPr>
              <w:t>每负偏离一项扣</w:t>
            </w:r>
            <w:r>
              <w:rPr>
                <w:rFonts w:hint="eastAsia" w:ascii="宋体" w:hAnsi="宋体" w:cs="仿宋"/>
                <w:color w:val="auto"/>
                <w:szCs w:val="21"/>
                <w:lang w:val="en-US" w:eastAsia="zh-CN"/>
              </w:rPr>
              <w:t>4.29</w:t>
            </w:r>
            <w:r>
              <w:rPr>
                <w:rFonts w:hint="eastAsia" w:ascii="宋体" w:hAnsi="宋体" w:cs="仿宋"/>
                <w:color w:val="auto"/>
                <w:szCs w:val="21"/>
              </w:rPr>
              <w:t>分；</w:t>
            </w:r>
            <w:r>
              <w:rPr>
                <w:rFonts w:hint="eastAsia" w:ascii="宋体" w:hAnsi="宋体" w:cs="仿宋"/>
                <w:color w:val="auto"/>
                <w:szCs w:val="21"/>
                <w:lang w:val="en-US" w:eastAsia="zh-CN"/>
              </w:rPr>
              <w:t>其他参数</w:t>
            </w:r>
            <w:r>
              <w:rPr>
                <w:rFonts w:hint="eastAsia" w:ascii="宋体" w:hAnsi="宋体" w:cs="仿宋"/>
                <w:color w:val="auto"/>
                <w:szCs w:val="21"/>
              </w:rPr>
              <w:t>每负偏离一项扣</w:t>
            </w:r>
            <w:r>
              <w:rPr>
                <w:rFonts w:hint="eastAsia" w:ascii="宋体" w:hAnsi="宋体" w:cs="仿宋"/>
                <w:color w:val="auto"/>
                <w:szCs w:val="21"/>
                <w:lang w:val="en-US" w:eastAsia="zh-CN"/>
              </w:rPr>
              <w:t>0.62</w:t>
            </w:r>
            <w:r>
              <w:rPr>
                <w:rFonts w:hint="eastAsia" w:ascii="宋体" w:hAnsi="宋体" w:cs="仿宋"/>
                <w:color w:val="auto"/>
                <w:szCs w:val="21"/>
              </w:rPr>
              <w:t>分，</w:t>
            </w:r>
            <w:r>
              <w:rPr>
                <w:rFonts w:hint="eastAsia" w:ascii="宋体" w:hAnsi="宋体"/>
                <w:bCs/>
                <w:color w:val="auto"/>
                <w:szCs w:val="21"/>
              </w:rPr>
              <w:t>最低0分</w:t>
            </w:r>
            <w:r>
              <w:rPr>
                <w:rFonts w:hint="eastAsia" w:ascii="宋体" w:hAnsi="宋体" w:cs="仿宋"/>
                <w:color w:val="auto"/>
                <w:szCs w:val="21"/>
              </w:rPr>
              <w:t>。</w:t>
            </w:r>
            <w:r>
              <w:rPr>
                <w:rFonts w:hint="eastAsia" w:ascii="宋体" w:hAnsi="宋体"/>
                <w:color w:val="auto"/>
                <w:szCs w:val="21"/>
              </w:rPr>
              <w:t>如</w:t>
            </w:r>
            <w:r>
              <w:rPr>
                <w:rFonts w:hint="eastAsia" w:ascii="宋体" w:hAnsi="宋体"/>
                <w:color w:val="auto"/>
                <w:szCs w:val="21"/>
                <w:lang w:eastAsia="zh-CN"/>
              </w:rPr>
              <w:t>投标人</w:t>
            </w:r>
            <w:r>
              <w:rPr>
                <w:rFonts w:hint="eastAsia" w:ascii="宋体" w:hAnsi="宋体"/>
                <w:color w:val="auto"/>
                <w:szCs w:val="21"/>
              </w:rPr>
              <w:t>对</w:t>
            </w:r>
            <w:r>
              <w:rPr>
                <w:rFonts w:hint="eastAsia" w:ascii="宋体" w:hAnsi="宋体"/>
                <w:color w:val="auto"/>
                <w:szCs w:val="21"/>
                <w:lang w:eastAsia="zh-CN"/>
              </w:rPr>
              <w:t>某</w:t>
            </w:r>
            <w:r>
              <w:rPr>
                <w:rFonts w:hint="eastAsia" w:ascii="宋体" w:hAnsi="宋体"/>
                <w:color w:val="auto"/>
                <w:szCs w:val="21"/>
              </w:rPr>
              <w:t>一项技术</w:t>
            </w:r>
            <w:r>
              <w:rPr>
                <w:rFonts w:hint="eastAsia" w:ascii="宋体" w:hAnsi="宋体"/>
                <w:color w:val="auto"/>
                <w:szCs w:val="21"/>
                <w:lang w:eastAsia="zh-CN"/>
              </w:rPr>
              <w:t>参数</w:t>
            </w:r>
            <w:r>
              <w:rPr>
                <w:rFonts w:hint="eastAsia" w:ascii="宋体" w:hAnsi="宋体"/>
                <w:color w:val="auto"/>
                <w:szCs w:val="21"/>
              </w:rPr>
              <w:t>（以</w:t>
            </w:r>
            <w:r>
              <w:rPr>
                <w:rFonts w:hint="eastAsia" w:ascii="宋体" w:hAnsi="宋体"/>
                <w:color w:val="auto"/>
                <w:szCs w:val="21"/>
                <w:lang w:eastAsia="zh-CN"/>
              </w:rPr>
              <w:t>招标文件技术要求中</w:t>
            </w:r>
            <w:r>
              <w:rPr>
                <w:rFonts w:hint="eastAsia" w:ascii="宋体" w:hAnsi="宋体"/>
                <w:color w:val="auto"/>
                <w:szCs w:val="21"/>
              </w:rPr>
              <w:t>划分框为准）存在两处（或以上）负偏离的，在评分时只作一项负偏离</w:t>
            </w:r>
            <w:r>
              <w:rPr>
                <w:rFonts w:hint="eastAsia" w:ascii="宋体" w:hAnsi="宋体"/>
                <w:color w:val="auto"/>
                <w:szCs w:val="21"/>
                <w:lang w:eastAsia="zh-CN"/>
              </w:rPr>
              <w:t>计算</w:t>
            </w:r>
            <w:r>
              <w:rPr>
                <w:rFonts w:hint="eastAsia" w:ascii="宋体" w:hAnsi="宋体"/>
                <w:color w:val="auto"/>
                <w:szCs w:val="21"/>
              </w:rPr>
              <w:t>扣分。</w:t>
            </w:r>
          </w:p>
          <w:p w14:paraId="7CC08926">
            <w:pPr>
              <w:spacing w:line="360" w:lineRule="exact"/>
              <w:jc w:val="left"/>
              <w:rPr>
                <w:rFonts w:hint="eastAsia" w:ascii="宋体" w:hAnsi="宋体" w:cs="仿宋"/>
                <w:szCs w:val="21"/>
              </w:rPr>
            </w:pPr>
            <w:r>
              <w:rPr>
                <w:rFonts w:hint="eastAsia" w:ascii="宋体" w:hAnsi="宋体" w:cs="仿宋"/>
                <w:szCs w:val="21"/>
              </w:rPr>
              <w:t>（二）评分依据：</w:t>
            </w:r>
          </w:p>
          <w:p w14:paraId="7E962F15">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683C76E4">
            <w:pPr>
              <w:spacing w:line="360" w:lineRule="exact"/>
              <w:jc w:val="left"/>
              <w:rPr>
                <w:rFonts w:hint="eastAsia" w:ascii="宋体" w:hAnsi="宋体" w:cs="仿宋"/>
                <w:szCs w:val="21"/>
              </w:rPr>
            </w:pPr>
            <w:r>
              <w:rPr>
                <w:rFonts w:hint="eastAsia" w:ascii="宋体" w:hAnsi="宋体" w:cs="仿宋"/>
                <w:szCs w:val="21"/>
              </w:rPr>
              <w:t>证明材料涉及检测（或检验）报告的，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716FE923">
            <w:pPr>
              <w:spacing w:line="360" w:lineRule="exact"/>
              <w:jc w:val="left"/>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AC7B54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521CD5CF">
            <w:pPr>
              <w:spacing w:line="360" w:lineRule="exact"/>
              <w:jc w:val="left"/>
              <w:rPr>
                <w:rFonts w:ascii="宋体" w:hAnsi="宋体" w:cs="仿宋"/>
                <w:szCs w:val="21"/>
              </w:rPr>
            </w:pPr>
            <w:r>
              <w:rPr>
                <w:rFonts w:hint="eastAsia" w:asciiTheme="minorEastAsia" w:hAnsiTheme="minorEastAsia" w:eastAsiaTheme="minorEastAsia"/>
                <w:kern w:val="0"/>
                <w:szCs w:val="21"/>
                <w:highlight w:val="none"/>
              </w:rPr>
              <w:t>项目技术方案</w:t>
            </w:r>
          </w:p>
        </w:tc>
        <w:tc>
          <w:tcPr>
            <w:tcW w:w="709" w:type="dxa"/>
            <w:vAlign w:val="center"/>
          </w:tcPr>
          <w:p w14:paraId="4ED36909">
            <w:pPr>
              <w:spacing w:line="360" w:lineRule="exact"/>
              <w:jc w:val="left"/>
              <w:rPr>
                <w:rFonts w:ascii="宋体" w:hAnsi="宋体" w:cs="仿宋"/>
                <w:szCs w:val="21"/>
              </w:rPr>
            </w:pPr>
            <w:r>
              <w:rPr>
                <w:rFonts w:hint="eastAsia" w:ascii="宋体" w:hAnsi="宋体" w:eastAsia="宋体" w:cs="宋体"/>
                <w:kern w:val="0"/>
                <w:sz w:val="21"/>
                <w:szCs w:val="21"/>
                <w:lang w:val="en-US" w:eastAsia="zh-CN"/>
              </w:rPr>
              <w:t>1</w:t>
            </w:r>
            <w:r>
              <w:rPr>
                <w:rFonts w:hint="eastAsia" w:ascii="宋体" w:hAnsi="宋体" w:cs="宋体"/>
                <w:kern w:val="0"/>
                <w:sz w:val="21"/>
                <w:szCs w:val="21"/>
                <w:lang w:val="en-US" w:eastAsia="zh-CN"/>
              </w:rPr>
              <w:t>0</w:t>
            </w:r>
          </w:p>
        </w:tc>
        <w:tc>
          <w:tcPr>
            <w:tcW w:w="5953" w:type="dxa"/>
            <w:vAlign w:val="center"/>
          </w:tcPr>
          <w:p w14:paraId="173EB90A">
            <w:pPr>
              <w:spacing w:line="400" w:lineRule="exac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一）评分内容：</w:t>
            </w:r>
          </w:p>
          <w:p w14:paraId="7D42A0ED">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投标人根据本项目需求制定</w:t>
            </w:r>
            <w:r>
              <w:rPr>
                <w:rFonts w:hint="eastAsia" w:asciiTheme="minorEastAsia" w:hAnsiTheme="minorEastAsia" w:eastAsiaTheme="minorEastAsia" w:cstheme="minorEastAsia"/>
                <w:szCs w:val="21"/>
                <w:lang w:val="en-US" w:eastAsia="zh-CN"/>
              </w:rPr>
              <w:t>项目技方案</w:t>
            </w:r>
            <w:r>
              <w:rPr>
                <w:rFonts w:hint="eastAsia" w:asciiTheme="minorEastAsia" w:hAnsiTheme="minorEastAsia" w:eastAsiaTheme="minorEastAsia" w:cstheme="minorEastAsia"/>
                <w:szCs w:val="21"/>
              </w:rPr>
              <w:t>，内容包括但不限于：</w:t>
            </w:r>
          </w:p>
          <w:p w14:paraId="702F49B0">
            <w:pPr>
              <w:spacing w:line="40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（1）工作措施</w:t>
            </w:r>
            <w:r>
              <w:rPr>
                <w:rFonts w:hint="eastAsia" w:asciiTheme="minorEastAsia" w:hAnsiTheme="minorEastAsia" w:eastAsiaTheme="minorEastAsia" w:cstheme="minorEastAsia"/>
                <w:szCs w:val="21"/>
                <w:lang w:eastAsia="zh-CN"/>
              </w:rPr>
              <w:t>；</w:t>
            </w:r>
          </w:p>
          <w:p w14:paraId="1DB0E2AD">
            <w:pPr>
              <w:spacing w:line="40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（2）工作方法</w:t>
            </w:r>
            <w:r>
              <w:rPr>
                <w:rFonts w:hint="eastAsia" w:asciiTheme="minorEastAsia" w:hAnsiTheme="minorEastAsia" w:eastAsiaTheme="minorEastAsia" w:cstheme="minorEastAsia"/>
                <w:szCs w:val="21"/>
                <w:lang w:eastAsia="zh-CN"/>
              </w:rPr>
              <w:t>；</w:t>
            </w:r>
          </w:p>
          <w:p w14:paraId="7DB8FBF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（3）工作流程。</w:t>
            </w:r>
          </w:p>
          <w:p w14:paraId="21ED07AA">
            <w:pPr>
              <w:spacing w:line="360" w:lineRule="exact"/>
              <w:jc w:val="left"/>
              <w:rPr>
                <w:rFonts w:hint="eastAsia" w:ascii="宋体" w:hAnsi="宋体" w:cs="仿宋"/>
                <w:szCs w:val="21"/>
              </w:rPr>
            </w:pPr>
            <w:r>
              <w:rPr>
                <w:rFonts w:hint="eastAsia" w:ascii="宋体" w:hAnsi="宋体" w:cs="仿宋"/>
                <w:szCs w:val="21"/>
              </w:rPr>
              <w:t>（二）评分标准：</w:t>
            </w:r>
          </w:p>
          <w:p w14:paraId="2E855325">
            <w:pPr>
              <w:spacing w:line="360" w:lineRule="exact"/>
              <w:jc w:val="left"/>
              <w:rPr>
                <w:rFonts w:hint="eastAsia" w:ascii="宋体" w:hAnsi="宋体" w:cs="仿宋"/>
                <w:szCs w:val="21"/>
              </w:rPr>
            </w:pPr>
            <w:r>
              <w:rPr>
                <w:rFonts w:hint="eastAsia" w:ascii="宋体" w:hAnsi="宋体" w:cs="仿宋"/>
                <w:szCs w:val="21"/>
              </w:rPr>
              <w:t>方案包含以上</w:t>
            </w:r>
            <w:r>
              <w:rPr>
                <w:rFonts w:hint="eastAsia" w:ascii="宋体" w:hAnsi="宋体" w:cs="仿宋"/>
                <w:szCs w:val="21"/>
                <w:lang w:val="en-US" w:eastAsia="zh-CN"/>
              </w:rPr>
              <w:t>三</w:t>
            </w:r>
            <w:r>
              <w:rPr>
                <w:rFonts w:hint="eastAsia" w:ascii="宋体" w:hAnsi="宋体" w:cs="仿宋"/>
                <w:szCs w:val="21"/>
              </w:rPr>
              <w:t>项内容得</w:t>
            </w:r>
            <w:r>
              <w:rPr>
                <w:rFonts w:hint="eastAsia" w:ascii="宋体" w:hAnsi="宋体" w:cs="仿宋"/>
                <w:szCs w:val="21"/>
                <w:lang w:val="en-US" w:eastAsia="zh-CN"/>
              </w:rPr>
              <w:t>3</w:t>
            </w:r>
            <w:r>
              <w:rPr>
                <w:rFonts w:hint="eastAsia" w:ascii="宋体" w:hAnsi="宋体" w:cs="仿宋"/>
                <w:szCs w:val="21"/>
              </w:rPr>
              <w:t>分；包含以上二项内容得2分；包含以上一项内容得1分；其他情况不得分。</w:t>
            </w:r>
          </w:p>
          <w:p w14:paraId="535F3462">
            <w:pPr>
              <w:spacing w:line="360" w:lineRule="exact"/>
              <w:jc w:val="left"/>
              <w:rPr>
                <w:rFonts w:hint="eastAsia" w:ascii="宋体" w:hAnsi="宋体" w:cs="仿宋"/>
                <w:szCs w:val="21"/>
              </w:rPr>
            </w:pPr>
            <w:r>
              <w:rPr>
                <w:rFonts w:hint="eastAsia" w:ascii="宋体" w:hAnsi="宋体" w:cs="仿宋"/>
                <w:szCs w:val="21"/>
              </w:rPr>
              <w:t>在此基础上，根据方案响应情况进一步评审：</w:t>
            </w:r>
          </w:p>
          <w:p w14:paraId="5D5F4C90">
            <w:pPr>
              <w:spacing w:line="360" w:lineRule="exact"/>
              <w:jc w:val="left"/>
              <w:rPr>
                <w:rFonts w:hint="eastAsia" w:ascii="宋体" w:hAnsi="宋体" w:cs="仿宋"/>
                <w:szCs w:val="21"/>
              </w:rPr>
            </w:pPr>
            <w:r>
              <w:rPr>
                <w:rFonts w:hint="eastAsia" w:ascii="宋体" w:hAnsi="宋体" w:cs="仿宋"/>
                <w:szCs w:val="21"/>
              </w:rPr>
              <w:t>1、技术方案内容全面、具体，</w:t>
            </w:r>
            <w:r>
              <w:rPr>
                <w:rFonts w:hint="eastAsia" w:asciiTheme="minorEastAsia" w:hAnsiTheme="minorEastAsia" w:eastAsiaTheme="minorEastAsia" w:cstheme="minorEastAsia"/>
                <w:szCs w:val="21"/>
              </w:rPr>
              <w:t>工作措施</w:t>
            </w:r>
            <w:r>
              <w:rPr>
                <w:rFonts w:hint="eastAsia" w:ascii="宋体" w:hAnsi="宋体" w:cs="仿宋"/>
                <w:szCs w:val="21"/>
              </w:rPr>
              <w:t>可行性高的，</w:t>
            </w:r>
            <w:r>
              <w:rPr>
                <w:rFonts w:hint="eastAsia" w:asciiTheme="minorEastAsia" w:hAnsiTheme="minorEastAsia" w:eastAsiaTheme="minorEastAsia" w:cstheme="minorEastAsia"/>
                <w:szCs w:val="21"/>
              </w:rPr>
              <w:t>工作方法</w:t>
            </w:r>
            <w:r>
              <w:rPr>
                <w:rFonts w:hint="eastAsia" w:asciiTheme="minorEastAsia" w:hAnsiTheme="minorEastAsia" w:eastAsiaTheme="minorEastAsia" w:cstheme="minorEastAsia"/>
                <w:szCs w:val="21"/>
                <w:lang w:val="en-US" w:eastAsia="zh-CN"/>
              </w:rPr>
              <w:t>针对性强，</w:t>
            </w:r>
            <w:r>
              <w:rPr>
                <w:rFonts w:hint="eastAsia" w:ascii="宋体" w:hAnsi="宋体" w:cs="仿宋"/>
                <w:szCs w:val="21"/>
              </w:rPr>
              <w:t>且</w:t>
            </w:r>
            <w:r>
              <w:rPr>
                <w:rFonts w:hint="eastAsia" w:asciiTheme="minorEastAsia" w:hAnsiTheme="minorEastAsia" w:eastAsiaTheme="minorEastAsia" w:cstheme="minorEastAsia"/>
                <w:szCs w:val="21"/>
              </w:rPr>
              <w:t>工作流程</w:t>
            </w:r>
            <w:r>
              <w:rPr>
                <w:rFonts w:hint="eastAsia" w:ascii="宋体" w:hAnsi="宋体" w:cs="仿宋"/>
                <w:szCs w:val="21"/>
              </w:rPr>
              <w:t>不少于4项，加</w:t>
            </w:r>
            <w:r>
              <w:rPr>
                <w:rFonts w:hint="eastAsia" w:ascii="宋体" w:hAnsi="宋体" w:cs="仿宋"/>
                <w:szCs w:val="21"/>
                <w:lang w:val="en-US" w:eastAsia="zh-CN"/>
              </w:rPr>
              <w:t>7</w:t>
            </w:r>
            <w:r>
              <w:rPr>
                <w:rFonts w:hint="eastAsia" w:ascii="宋体" w:hAnsi="宋体" w:cs="仿宋"/>
                <w:szCs w:val="21"/>
              </w:rPr>
              <w:t>分；</w:t>
            </w:r>
          </w:p>
          <w:p w14:paraId="05FA9C17">
            <w:pPr>
              <w:spacing w:line="360" w:lineRule="exact"/>
              <w:jc w:val="left"/>
              <w:rPr>
                <w:rFonts w:hint="eastAsia" w:ascii="宋体" w:hAnsi="宋体" w:cs="仿宋"/>
                <w:szCs w:val="21"/>
              </w:rPr>
            </w:pPr>
            <w:r>
              <w:rPr>
                <w:rFonts w:hint="eastAsia" w:ascii="宋体" w:hAnsi="宋体" w:cs="仿宋"/>
                <w:szCs w:val="21"/>
              </w:rPr>
              <w:t>2、技术方案内容较全面，</w:t>
            </w:r>
            <w:r>
              <w:rPr>
                <w:rFonts w:hint="eastAsia" w:asciiTheme="minorEastAsia" w:hAnsiTheme="minorEastAsia" w:eastAsiaTheme="minorEastAsia" w:cstheme="minorEastAsia"/>
                <w:szCs w:val="21"/>
              </w:rPr>
              <w:t>工作措施</w:t>
            </w:r>
            <w:r>
              <w:rPr>
                <w:rFonts w:hint="eastAsia" w:ascii="宋体" w:hAnsi="宋体" w:cs="仿宋"/>
                <w:szCs w:val="21"/>
              </w:rPr>
              <w:t>可行性较高的，</w:t>
            </w:r>
            <w:r>
              <w:rPr>
                <w:rFonts w:hint="eastAsia" w:asciiTheme="minorEastAsia" w:hAnsiTheme="minorEastAsia" w:eastAsiaTheme="minorEastAsia" w:cstheme="minorEastAsia"/>
                <w:szCs w:val="21"/>
              </w:rPr>
              <w:t>工作方法</w:t>
            </w:r>
            <w:r>
              <w:rPr>
                <w:rFonts w:hint="eastAsia" w:asciiTheme="minorEastAsia" w:hAnsiTheme="minorEastAsia" w:eastAsiaTheme="minorEastAsia" w:cstheme="minorEastAsia"/>
                <w:szCs w:val="21"/>
                <w:lang w:val="en-US" w:eastAsia="zh-CN"/>
              </w:rPr>
              <w:t>针对性较强，</w:t>
            </w:r>
            <w:r>
              <w:rPr>
                <w:rFonts w:hint="eastAsia" w:ascii="宋体" w:hAnsi="宋体" w:cs="仿宋"/>
                <w:szCs w:val="21"/>
              </w:rPr>
              <w:t>且产</w:t>
            </w:r>
            <w:r>
              <w:rPr>
                <w:rFonts w:hint="eastAsia" w:asciiTheme="minorEastAsia" w:hAnsiTheme="minorEastAsia" w:eastAsiaTheme="minorEastAsia" w:cstheme="minorEastAsia"/>
                <w:szCs w:val="21"/>
              </w:rPr>
              <w:t>工作流程</w:t>
            </w:r>
            <w:r>
              <w:rPr>
                <w:rFonts w:hint="eastAsia" w:ascii="宋体" w:hAnsi="宋体" w:cs="仿宋"/>
                <w:szCs w:val="21"/>
              </w:rPr>
              <w:t>不少于3项，加</w:t>
            </w:r>
            <w:r>
              <w:rPr>
                <w:rFonts w:hint="eastAsia" w:ascii="宋体" w:hAnsi="宋体" w:cs="仿宋"/>
                <w:szCs w:val="21"/>
                <w:lang w:val="en-US" w:eastAsia="zh-CN"/>
              </w:rPr>
              <w:t>4</w:t>
            </w:r>
            <w:r>
              <w:rPr>
                <w:rFonts w:hint="eastAsia" w:ascii="宋体" w:hAnsi="宋体" w:cs="仿宋"/>
                <w:szCs w:val="21"/>
              </w:rPr>
              <w:t>分；</w:t>
            </w:r>
          </w:p>
          <w:p w14:paraId="4AD5E238">
            <w:pPr>
              <w:spacing w:line="360" w:lineRule="exact"/>
              <w:jc w:val="left"/>
              <w:rPr>
                <w:rFonts w:hint="eastAsia" w:ascii="宋体" w:hAnsi="宋体" w:cs="仿宋"/>
                <w:szCs w:val="21"/>
              </w:rPr>
            </w:pPr>
            <w:r>
              <w:rPr>
                <w:rFonts w:hint="eastAsia" w:ascii="宋体" w:hAnsi="宋体" w:cs="仿宋"/>
                <w:szCs w:val="21"/>
              </w:rPr>
              <w:t>3、技术方案内容不够全面，</w:t>
            </w:r>
            <w:r>
              <w:rPr>
                <w:rFonts w:hint="eastAsia" w:asciiTheme="minorEastAsia" w:hAnsiTheme="minorEastAsia" w:eastAsiaTheme="minorEastAsia" w:cstheme="minorEastAsia"/>
                <w:szCs w:val="21"/>
              </w:rPr>
              <w:t>工作措施</w:t>
            </w:r>
            <w:r>
              <w:rPr>
                <w:rFonts w:hint="eastAsia" w:ascii="宋体" w:hAnsi="宋体" w:cs="仿宋"/>
                <w:szCs w:val="21"/>
              </w:rPr>
              <w:t>可行性一般的，</w:t>
            </w:r>
            <w:r>
              <w:rPr>
                <w:rFonts w:hint="eastAsia" w:asciiTheme="minorEastAsia" w:hAnsiTheme="minorEastAsia" w:eastAsiaTheme="minorEastAsia" w:cstheme="minorEastAsia"/>
                <w:szCs w:val="21"/>
              </w:rPr>
              <w:t>工作方法</w:t>
            </w:r>
            <w:r>
              <w:rPr>
                <w:rFonts w:hint="eastAsia" w:asciiTheme="minorEastAsia" w:hAnsiTheme="minorEastAsia" w:eastAsiaTheme="minorEastAsia" w:cstheme="minorEastAsia"/>
                <w:szCs w:val="21"/>
                <w:lang w:val="en-US" w:eastAsia="zh-CN"/>
              </w:rPr>
              <w:t>针对性较一般，</w:t>
            </w:r>
            <w:r>
              <w:rPr>
                <w:rFonts w:hint="eastAsia" w:ascii="宋体" w:hAnsi="宋体" w:cs="仿宋"/>
                <w:szCs w:val="21"/>
              </w:rPr>
              <w:t>且</w:t>
            </w:r>
            <w:r>
              <w:rPr>
                <w:rFonts w:hint="eastAsia" w:asciiTheme="minorEastAsia" w:hAnsiTheme="minorEastAsia" w:eastAsiaTheme="minorEastAsia" w:cstheme="minorEastAsia"/>
                <w:szCs w:val="21"/>
              </w:rPr>
              <w:t>工作流程</w:t>
            </w:r>
            <w:r>
              <w:rPr>
                <w:rFonts w:hint="eastAsia" w:ascii="宋体" w:hAnsi="宋体" w:cs="仿宋"/>
                <w:szCs w:val="21"/>
              </w:rPr>
              <w:t>不少于2项，加</w:t>
            </w:r>
            <w:r>
              <w:rPr>
                <w:rFonts w:hint="eastAsia" w:ascii="宋体" w:hAnsi="宋体" w:cs="仿宋"/>
                <w:szCs w:val="21"/>
                <w:lang w:val="en-US" w:eastAsia="zh-CN"/>
              </w:rPr>
              <w:t>3</w:t>
            </w:r>
            <w:r>
              <w:rPr>
                <w:rFonts w:hint="eastAsia" w:ascii="宋体" w:hAnsi="宋体" w:cs="仿宋"/>
                <w:szCs w:val="21"/>
              </w:rPr>
              <w:t>分；</w:t>
            </w:r>
          </w:p>
          <w:p w14:paraId="7ED08245">
            <w:pPr>
              <w:pStyle w:val="18"/>
              <w:rPr>
                <w:rFonts w:ascii="宋体" w:hAnsi="宋体" w:cs="仿宋"/>
                <w:szCs w:val="21"/>
              </w:rPr>
            </w:pPr>
            <w:r>
              <w:rPr>
                <w:rFonts w:hint="eastAsia" w:ascii="宋体" w:hAnsi="宋体" w:cs="仿宋"/>
                <w:szCs w:val="21"/>
              </w:rPr>
              <w:t>4、技术方案内容不全面，</w:t>
            </w:r>
            <w:r>
              <w:rPr>
                <w:rFonts w:hint="eastAsia" w:asciiTheme="minorEastAsia" w:hAnsiTheme="minorEastAsia" w:eastAsiaTheme="minorEastAsia" w:cstheme="minorEastAsia"/>
                <w:szCs w:val="21"/>
              </w:rPr>
              <w:t>工作措施</w:t>
            </w:r>
            <w:r>
              <w:rPr>
                <w:rFonts w:hint="eastAsia" w:ascii="宋体" w:hAnsi="宋体" w:cs="仿宋"/>
                <w:szCs w:val="21"/>
              </w:rPr>
              <w:t>可行性低的，</w:t>
            </w:r>
            <w:r>
              <w:rPr>
                <w:rFonts w:hint="eastAsia" w:asciiTheme="minorEastAsia" w:hAnsiTheme="minorEastAsia" w:eastAsiaTheme="minorEastAsia" w:cstheme="minorEastAsia"/>
                <w:szCs w:val="21"/>
              </w:rPr>
              <w:t>工作方法</w:t>
            </w:r>
            <w:r>
              <w:rPr>
                <w:rFonts w:hint="eastAsia" w:asciiTheme="minorEastAsia" w:hAnsiTheme="minorEastAsia" w:eastAsiaTheme="minorEastAsia" w:cstheme="minorEastAsia"/>
                <w:szCs w:val="21"/>
                <w:lang w:val="en-US" w:eastAsia="zh-CN"/>
              </w:rPr>
              <w:t>针对性一般</w:t>
            </w:r>
            <w:r>
              <w:rPr>
                <w:rFonts w:hint="eastAsia" w:ascii="宋体" w:hAnsi="宋体" w:cs="仿宋"/>
                <w:szCs w:val="21"/>
              </w:rPr>
              <w:t>或</w:t>
            </w:r>
            <w:r>
              <w:rPr>
                <w:rFonts w:hint="eastAsia" w:asciiTheme="minorEastAsia" w:hAnsiTheme="minorEastAsia" w:eastAsiaTheme="minorEastAsia" w:cstheme="minorEastAsia"/>
                <w:szCs w:val="21"/>
              </w:rPr>
              <w:t>工作流程</w:t>
            </w:r>
            <w:r>
              <w:rPr>
                <w:rFonts w:hint="eastAsia" w:ascii="宋体" w:hAnsi="宋体" w:cs="仿宋"/>
                <w:szCs w:val="21"/>
              </w:rPr>
              <w:t>少于2项，不加分。</w:t>
            </w:r>
          </w:p>
        </w:tc>
        <w:tc>
          <w:tcPr>
            <w:tcW w:w="1187" w:type="dxa"/>
            <w:vAlign w:val="center"/>
          </w:tcPr>
          <w:p w14:paraId="4CBE210C">
            <w:pPr>
              <w:spacing w:line="360" w:lineRule="exact"/>
              <w:jc w:val="center"/>
              <w:rPr>
                <w:rFonts w:ascii="宋体" w:hAnsi="宋体" w:cs="仿宋"/>
                <w:szCs w:val="21"/>
                <w:lang w:val="zh-CN"/>
              </w:rPr>
            </w:pPr>
            <w:r>
              <w:rPr>
                <w:rFonts w:hint="eastAsia" w:ascii="宋体" w:hAnsi="宋体" w:cs="仿宋"/>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A91A8AA">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143" w:type="dxa"/>
            <w:vAlign w:val="center"/>
          </w:tcPr>
          <w:p w14:paraId="3729F656">
            <w:pPr>
              <w:spacing w:line="360" w:lineRule="exact"/>
              <w:jc w:val="center"/>
              <w:rPr>
                <w:rFonts w:ascii="宋体" w:hAnsi="宋体" w:cs="宋体"/>
                <w:szCs w:val="21"/>
              </w:rPr>
            </w:pPr>
            <w:r>
              <w:rPr>
                <w:rFonts w:hint="eastAsia" w:asciiTheme="minorEastAsia" w:hAnsiTheme="minorEastAsia" w:eastAsiaTheme="minorEastAsia" w:cstheme="minorEastAsia"/>
                <w:szCs w:val="21"/>
              </w:rPr>
              <w:t>拟安排项目</w:t>
            </w:r>
            <w:r>
              <w:rPr>
                <w:rFonts w:hint="eastAsia" w:asciiTheme="minorEastAsia" w:hAnsiTheme="minorEastAsia" w:eastAsiaTheme="minorEastAsia" w:cstheme="minorEastAsia"/>
                <w:szCs w:val="21"/>
                <w:lang w:val="en-US" w:eastAsia="zh-CN"/>
              </w:rPr>
              <w:t>售后</w:t>
            </w:r>
            <w:r>
              <w:rPr>
                <w:rFonts w:hint="eastAsia" w:asciiTheme="minorEastAsia" w:hAnsiTheme="minorEastAsia" w:eastAsiaTheme="minorEastAsia" w:cstheme="minorEastAsia"/>
                <w:szCs w:val="21"/>
              </w:rPr>
              <w:t>负责人（仅限1人）</w:t>
            </w:r>
          </w:p>
        </w:tc>
        <w:tc>
          <w:tcPr>
            <w:tcW w:w="709" w:type="dxa"/>
            <w:vAlign w:val="center"/>
          </w:tcPr>
          <w:p w14:paraId="017C8D52">
            <w:pPr>
              <w:spacing w:line="360" w:lineRule="exact"/>
              <w:jc w:val="center"/>
              <w:rPr>
                <w:rFonts w:ascii="宋体" w:hAnsi="宋体" w:cs="宋体"/>
                <w:kern w:val="0"/>
                <w:szCs w:val="21"/>
              </w:rPr>
            </w:pPr>
            <w:r>
              <w:rPr>
                <w:rFonts w:hint="eastAsia" w:asciiTheme="minorEastAsia" w:hAnsiTheme="minorEastAsia" w:eastAsiaTheme="minorEastAsia" w:cstheme="minorEastAsia"/>
                <w:kern w:val="0"/>
                <w:szCs w:val="21"/>
                <w:lang w:val="en-US" w:eastAsia="zh-CN"/>
              </w:rPr>
              <w:t>6</w:t>
            </w:r>
          </w:p>
        </w:tc>
        <w:tc>
          <w:tcPr>
            <w:tcW w:w="5953" w:type="dxa"/>
            <w:vAlign w:val="center"/>
          </w:tcPr>
          <w:p w14:paraId="75A12371">
            <w:pPr>
              <w:spacing w:line="360" w:lineRule="exact"/>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（一）评分内容：</w:t>
            </w:r>
          </w:p>
          <w:p w14:paraId="45B6BDBC">
            <w:pPr>
              <w:ind w:firstLineChars="0"/>
              <w:jc w:val="left"/>
              <w:rPr>
                <w:rFonts w:asciiTheme="minorEastAsia" w:hAnsiTheme="minorEastAsia" w:eastAsiaTheme="minorEastAsia"/>
                <w:szCs w:val="21"/>
              </w:rPr>
            </w:pPr>
            <w:r>
              <w:rPr>
                <w:rFonts w:hint="eastAsia" w:asciiTheme="minorEastAsia" w:hAnsiTheme="minorEastAsia" w:eastAsiaTheme="minorEastAsia"/>
                <w:szCs w:val="21"/>
              </w:rPr>
              <w:t>拟安排的</w:t>
            </w:r>
            <w:r>
              <w:rPr>
                <w:rFonts w:hint="eastAsia" w:asciiTheme="minorEastAsia" w:hAnsiTheme="minorEastAsia" w:eastAsiaTheme="minorEastAsia"/>
                <w:szCs w:val="21"/>
                <w:lang w:val="en-US" w:eastAsia="zh-CN"/>
              </w:rPr>
              <w:t>项目售后</w:t>
            </w:r>
            <w:r>
              <w:rPr>
                <w:rFonts w:hint="eastAsia" w:asciiTheme="minorEastAsia" w:hAnsiTheme="minorEastAsia" w:eastAsiaTheme="minorEastAsia"/>
                <w:szCs w:val="21"/>
              </w:rPr>
              <w:t>负责人</w:t>
            </w:r>
            <w:r>
              <w:rPr>
                <w:rFonts w:hint="eastAsia" w:cs="宋体" w:asciiTheme="minorEastAsia" w:hAnsiTheme="minorEastAsia" w:eastAsiaTheme="minorEastAsia"/>
                <w:color w:val="000000"/>
                <w:kern w:val="0"/>
                <w:szCs w:val="21"/>
              </w:rPr>
              <w:t>(仅限1人）</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14:textFill>
                  <w14:solidFill>
                    <w14:schemeClr w14:val="tx1"/>
                  </w14:solidFill>
                </w14:textFill>
              </w:rPr>
              <w:t>正式聘任</w:t>
            </w:r>
            <w:r>
              <w:rPr>
                <w:rFonts w:hint="eastAsia" w:asciiTheme="minorEastAsia" w:hAnsiTheme="minorEastAsia" w:eastAsiaTheme="minorEastAsia"/>
                <w:szCs w:val="21"/>
              </w:rPr>
              <w:t>员工，否则本项不得分。在此基础上，按以下标准评分：</w:t>
            </w:r>
          </w:p>
          <w:p w14:paraId="55469EE3">
            <w:pPr>
              <w:numPr>
                <w:ilvl w:val="-1"/>
                <w:numId w:val="0"/>
              </w:numPr>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拟安排的项目</w:t>
            </w:r>
            <w:r>
              <w:rPr>
                <w:rFonts w:hint="eastAsia" w:asciiTheme="minorEastAsia" w:hAnsiTheme="minorEastAsia" w:eastAsiaTheme="minorEastAsia"/>
                <w:szCs w:val="21"/>
                <w:lang w:val="en-US" w:eastAsia="zh-CN"/>
              </w:rPr>
              <w:t>售后</w:t>
            </w:r>
            <w:r>
              <w:rPr>
                <w:rFonts w:hint="eastAsia" w:asciiTheme="minorEastAsia" w:hAnsiTheme="minorEastAsia" w:eastAsiaTheme="minorEastAsia" w:cstheme="minorEastAsia"/>
                <w:szCs w:val="21"/>
              </w:rPr>
              <w:t>负责人具有</w:t>
            </w:r>
            <w:r>
              <w:rPr>
                <w:rFonts w:hint="eastAsia" w:asciiTheme="minorEastAsia" w:hAnsiTheme="minorEastAsia" w:eastAsiaTheme="minorEastAsia" w:cstheme="minorEastAsia"/>
                <w:szCs w:val="21"/>
                <w:lang w:val="en-US" w:eastAsia="zh-CN"/>
              </w:rPr>
              <w:t>管理类</w:t>
            </w:r>
            <w:r>
              <w:rPr>
                <w:rFonts w:hint="eastAsia" w:asciiTheme="minorEastAsia" w:hAnsiTheme="minorEastAsia" w:eastAsiaTheme="minorEastAsia" w:cstheme="minorEastAsia"/>
                <w:szCs w:val="21"/>
              </w:rPr>
              <w:t>本科或以上学历的得</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分，具有大专学历的得</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分，否则不得分。</w:t>
            </w:r>
          </w:p>
          <w:p w14:paraId="72515A44">
            <w:pPr>
              <w:spacing w:line="4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、拟安排的项目</w:t>
            </w:r>
            <w:r>
              <w:rPr>
                <w:rFonts w:hint="eastAsia" w:asciiTheme="minorEastAsia" w:hAnsiTheme="minorEastAsia" w:eastAsiaTheme="minorEastAsia"/>
                <w:szCs w:val="21"/>
                <w:lang w:val="en-US" w:eastAsia="zh-CN"/>
              </w:rPr>
              <w:t>售后</w:t>
            </w:r>
            <w:r>
              <w:rPr>
                <w:rFonts w:hint="eastAsia" w:asciiTheme="minorEastAsia" w:hAnsiTheme="minorEastAsia" w:eastAsiaTheme="minorEastAsia" w:cstheme="minorEastAsia"/>
                <w:szCs w:val="21"/>
              </w:rPr>
              <w:t xml:space="preserve">负责人具备信息系统项目管理师（高级）得 </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 xml:space="preserve"> 分；具备系统集成项目管理工程师（中级）得 </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分；本</w:t>
            </w:r>
            <w:r>
              <w:rPr>
                <w:rFonts w:hint="eastAsia" w:asciiTheme="minorEastAsia" w:hAnsiTheme="minorEastAsia" w:eastAsiaTheme="minorEastAsia" w:cstheme="minorEastAsia"/>
                <w:szCs w:val="21"/>
                <w:lang w:val="en-US" w:eastAsia="zh-CN"/>
              </w:rPr>
              <w:t>小项最高分为2分</w:t>
            </w:r>
            <w:r>
              <w:rPr>
                <w:rFonts w:hint="eastAsia" w:asciiTheme="minorEastAsia" w:hAnsiTheme="minorEastAsia" w:eastAsiaTheme="minorEastAsia" w:cstheme="minorEastAsia"/>
                <w:szCs w:val="21"/>
              </w:rPr>
              <w:t>。</w:t>
            </w:r>
          </w:p>
          <w:p w14:paraId="6F5E0899">
            <w:pPr>
              <w:spacing w:line="4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、拟安排项目</w:t>
            </w:r>
            <w:r>
              <w:rPr>
                <w:rFonts w:hint="eastAsia" w:asciiTheme="minorEastAsia" w:hAnsiTheme="minorEastAsia" w:eastAsiaTheme="minorEastAsia" w:cstheme="minorEastAsia"/>
                <w:szCs w:val="21"/>
                <w:lang w:val="en-US" w:eastAsia="zh-CN"/>
              </w:rPr>
              <w:t>售后</w:t>
            </w:r>
            <w:r>
              <w:rPr>
                <w:rFonts w:hint="eastAsia" w:asciiTheme="minorEastAsia" w:hAnsiTheme="minorEastAsia" w:eastAsiaTheme="minorEastAsia" w:cstheme="minorEastAsia"/>
                <w:szCs w:val="21"/>
              </w:rPr>
              <w:t>负责人具有注册信息安全专业人员（CISP）证书的得 2 分，否则不得分。</w:t>
            </w:r>
          </w:p>
          <w:p w14:paraId="436E4E15">
            <w:pPr>
              <w:spacing w:line="4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w:t>
            </w:r>
            <w:r>
              <w:rPr>
                <w:rFonts w:hint="eastAsia" w:asciiTheme="minorEastAsia" w:hAnsiTheme="minorEastAsia" w:eastAsiaTheme="minorEastAsia" w:cstheme="minorEastAsia"/>
                <w:szCs w:val="21"/>
                <w:lang w:val="en-US" w:eastAsia="zh-CN"/>
              </w:rPr>
              <w:t>四</w:t>
            </w:r>
            <w:r>
              <w:rPr>
                <w:rFonts w:hint="eastAsia" w:asciiTheme="minorEastAsia" w:hAnsiTheme="minorEastAsia" w:eastAsiaTheme="minorEastAsia" w:cstheme="minorEastAsia"/>
                <w:szCs w:val="21"/>
              </w:rPr>
              <w:t>项累计得分，满分</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分。</w:t>
            </w:r>
          </w:p>
          <w:p w14:paraId="0A8DA456">
            <w:pPr>
              <w:spacing w:line="400" w:lineRule="exact"/>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（二）评分依据：</w:t>
            </w:r>
          </w:p>
          <w:p w14:paraId="7D982503">
            <w:pPr>
              <w:spacing w:line="360" w:lineRule="exact"/>
              <w:jc w:val="left"/>
              <w:rPr>
                <w:rFonts w:ascii="宋体" w:hAnsi="宋体"/>
                <w:szCs w:val="21"/>
              </w:rPr>
            </w:pPr>
            <w:r>
              <w:rPr>
                <w:rFonts w:hint="eastAsia" w:ascii="宋体" w:hAnsi="宋体"/>
                <w:szCs w:val="21"/>
              </w:rPr>
              <w:t>1. 提供项目</w:t>
            </w:r>
            <w:r>
              <w:rPr>
                <w:rFonts w:hint="eastAsia" w:ascii="宋体" w:hAnsi="宋体"/>
                <w:szCs w:val="21"/>
                <w:lang w:val="en-US" w:eastAsia="zh-CN"/>
              </w:rPr>
              <w:t>售后</w:t>
            </w:r>
            <w:r>
              <w:rPr>
                <w:rFonts w:hint="eastAsia" w:ascii="宋体" w:hAnsi="宋体"/>
                <w:szCs w:val="21"/>
              </w:rPr>
              <w:t>负责人通过投标单位缴纳的载有社保部门或税务部门公章</w:t>
            </w:r>
            <w:r>
              <w:rPr>
                <w:rFonts w:hint="eastAsia" w:ascii="宋体" w:hAnsi="宋体"/>
                <w:szCs w:val="21"/>
                <w:lang w:val="en-US" w:eastAsia="zh-CN"/>
              </w:rPr>
              <w:t>或业务章</w:t>
            </w:r>
            <w:r>
              <w:rPr>
                <w:rFonts w:hint="eastAsia" w:ascii="宋体" w:hAnsi="宋体"/>
                <w:szCs w:val="21"/>
              </w:rPr>
              <w:t>的近三个月（含</w:t>
            </w:r>
            <w:r>
              <w:rPr>
                <w:rFonts w:hint="eastAsia" w:ascii="宋体" w:hAnsi="宋体"/>
                <w:szCs w:val="21"/>
                <w:lang w:eastAsia="zh-CN"/>
              </w:rPr>
              <w:t>投</w:t>
            </w:r>
            <w:r>
              <w:rPr>
                <w:rFonts w:hint="eastAsia" w:ascii="宋体" w:hAnsi="宋体"/>
                <w:szCs w:val="21"/>
              </w:rPr>
              <w:t>标当月）内任意一个月的个人社保证明；如供应商为新成立单位且成立时间不足一个月</w:t>
            </w:r>
            <w:r>
              <w:rPr>
                <w:rFonts w:hint="eastAsia" w:ascii="宋体" w:hAnsi="宋体"/>
                <w:szCs w:val="21"/>
                <w:lang w:eastAsia="zh-CN"/>
              </w:rPr>
              <w:t>或人员入职不足一个月</w:t>
            </w:r>
            <w:r>
              <w:rPr>
                <w:rFonts w:hint="eastAsia" w:ascii="宋体" w:hAnsi="宋体"/>
                <w:szCs w:val="21"/>
              </w:rPr>
              <w:t>的，可提供加盖公章的情况说明或者证明材料，无需提供相关人员社保，亦视为符合；如为退休返聘人员则提供劳动合同或返聘协议，无需提供相关人员社保，亦视为符合；</w:t>
            </w:r>
          </w:p>
          <w:p w14:paraId="1EF09F8C">
            <w:pPr>
              <w:spacing w:line="360" w:lineRule="exact"/>
              <w:jc w:val="left"/>
              <w:rPr>
                <w:rFonts w:hint="eastAsia" w:ascii="宋体" w:hAnsi="宋体"/>
                <w:szCs w:val="21"/>
                <w:lang w:eastAsia="zh-CN"/>
              </w:rPr>
            </w:pPr>
            <w:r>
              <w:rPr>
                <w:rFonts w:hint="eastAsia" w:ascii="宋体" w:hAnsi="宋体"/>
                <w:szCs w:val="21"/>
              </w:rPr>
              <w:t>2. 提供项目负责人资格证</w:t>
            </w:r>
            <w:r>
              <w:rPr>
                <w:rFonts w:hint="eastAsia" w:ascii="宋体" w:hAnsi="宋体"/>
                <w:szCs w:val="21"/>
                <w:lang w:eastAsia="zh-CN"/>
              </w:rPr>
              <w:t>书；</w:t>
            </w:r>
          </w:p>
          <w:p w14:paraId="4923E055">
            <w:pPr>
              <w:spacing w:line="360" w:lineRule="exact"/>
              <w:jc w:val="left"/>
              <w:rPr>
                <w:rFonts w:ascii="宋体" w:hAnsi="宋体"/>
                <w:szCs w:val="21"/>
              </w:rPr>
            </w:pPr>
            <w:r>
              <w:rPr>
                <w:rFonts w:hint="eastAsia" w:ascii="宋体" w:hAnsi="宋体"/>
                <w:szCs w:val="21"/>
                <w:lang w:val="en-US" w:eastAsia="zh-CN"/>
              </w:rPr>
              <w:t>3. 涉及考察学历或学位的，提供</w:t>
            </w:r>
            <w:r>
              <w:rPr>
                <w:rFonts w:hint="eastAsia" w:ascii="宋体" w:hAnsi="宋体"/>
                <w:szCs w:val="21"/>
              </w:rPr>
              <w:t>毕业证书（或学位证书）以及学信网查询记录，对于学信网无法查询的，还需提供毕业院校或人社部门或教育部门等颁发机构或监管机构出具的证明，否则无效；</w:t>
            </w:r>
          </w:p>
          <w:p w14:paraId="76DF368A">
            <w:pPr>
              <w:spacing w:line="360" w:lineRule="exact"/>
              <w:jc w:val="left"/>
              <w:rPr>
                <w:rFonts w:ascii="宋体" w:hAnsi="宋体"/>
                <w:szCs w:val="21"/>
              </w:rPr>
            </w:pPr>
            <w:r>
              <w:rPr>
                <w:rFonts w:hint="eastAsia" w:ascii="宋体" w:hAnsi="宋体"/>
                <w:szCs w:val="21"/>
                <w:lang w:val="en-US" w:eastAsia="zh-CN"/>
              </w:rPr>
              <w:t>4</w:t>
            </w:r>
            <w:r>
              <w:rPr>
                <w:rFonts w:hint="eastAsia" w:ascii="宋体" w:hAnsi="宋体"/>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21BA870F">
            <w:pPr>
              <w:spacing w:line="360" w:lineRule="exact"/>
              <w:jc w:val="center"/>
              <w:rPr>
                <w:rFonts w:hint="eastAsia" w:ascii="宋体" w:hAnsi="宋体" w:eastAsia="宋体" w:cs="仿宋"/>
                <w:szCs w:val="21"/>
                <w:lang w:val="en-US" w:eastAsia="zh-CN"/>
              </w:rPr>
            </w:pPr>
            <w:r>
              <w:rPr>
                <w:rFonts w:hint="eastAsia" w:ascii="宋体" w:hAnsi="宋体" w:cs="仿宋"/>
                <w:szCs w:val="21"/>
              </w:rPr>
              <w:t>评委打分</w:t>
            </w:r>
          </w:p>
        </w:tc>
      </w:tr>
      <w:tr w14:paraId="26CA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15" w:hRule="atLeast"/>
          <w:jc w:val="center"/>
        </w:trPr>
        <w:tc>
          <w:tcPr>
            <w:tcW w:w="754" w:type="dxa"/>
            <w:vAlign w:val="center"/>
          </w:tcPr>
          <w:p w14:paraId="34CE26F6">
            <w:pPr>
              <w:widowControl/>
              <w:snapToGrid w:val="0"/>
              <w:spacing w:line="360" w:lineRule="exact"/>
              <w:jc w:val="center"/>
              <w:rPr>
                <w:rFonts w:ascii="宋体" w:hAnsi="宋体"/>
                <w:kern w:val="0"/>
                <w:szCs w:val="21"/>
              </w:rPr>
            </w:pPr>
            <w:r>
              <w:rPr>
                <w:rFonts w:hint="eastAsia" w:ascii="宋体" w:hAnsi="宋体"/>
                <w:kern w:val="0"/>
                <w:szCs w:val="21"/>
              </w:rPr>
              <w:t>4</w:t>
            </w:r>
          </w:p>
        </w:tc>
        <w:tc>
          <w:tcPr>
            <w:tcW w:w="1143" w:type="dxa"/>
            <w:vAlign w:val="center"/>
          </w:tcPr>
          <w:p w14:paraId="2F15FD9A">
            <w:pPr>
              <w:spacing w:line="360" w:lineRule="exact"/>
              <w:jc w:val="center"/>
              <w:rPr>
                <w:rFonts w:ascii="宋体" w:hAnsi="宋体" w:cs="宋体"/>
                <w:szCs w:val="21"/>
              </w:rPr>
            </w:pPr>
            <w:r>
              <w:rPr>
                <w:rFonts w:hint="eastAsia" w:asciiTheme="minorEastAsia" w:hAnsiTheme="minorEastAsia" w:eastAsiaTheme="minorEastAsia" w:cstheme="minorEastAsia"/>
                <w:szCs w:val="21"/>
              </w:rPr>
              <w:t>拟安排的项目</w:t>
            </w:r>
            <w:r>
              <w:rPr>
                <w:rFonts w:hint="eastAsia" w:asciiTheme="minorEastAsia" w:hAnsiTheme="minorEastAsia" w:eastAsiaTheme="minorEastAsia" w:cstheme="minorEastAsia"/>
                <w:szCs w:val="21"/>
                <w:lang w:val="en-US" w:eastAsia="zh-CN"/>
              </w:rPr>
              <w:t>售后服务人员</w:t>
            </w:r>
            <w:r>
              <w:rPr>
                <w:rFonts w:hint="eastAsia" w:asciiTheme="minorEastAsia" w:hAnsiTheme="minorEastAsia" w:eastAsiaTheme="minorEastAsia" w:cstheme="minorEastAsia"/>
                <w:szCs w:val="21"/>
              </w:rPr>
              <w:t>（项目负责人除外）情况</w:t>
            </w:r>
          </w:p>
        </w:tc>
        <w:tc>
          <w:tcPr>
            <w:tcW w:w="709" w:type="dxa"/>
            <w:vAlign w:val="center"/>
          </w:tcPr>
          <w:p w14:paraId="5F4FEAEE">
            <w:pPr>
              <w:spacing w:line="360" w:lineRule="exact"/>
              <w:jc w:val="center"/>
              <w:rPr>
                <w:rFonts w:ascii="宋体" w:hAnsi="宋体" w:cs="宋体"/>
                <w:kern w:val="0"/>
                <w:szCs w:val="21"/>
              </w:rPr>
            </w:pPr>
            <w:r>
              <w:rPr>
                <w:rFonts w:hint="eastAsia" w:asciiTheme="minorEastAsia" w:hAnsiTheme="minorEastAsia" w:eastAsiaTheme="minorEastAsia" w:cstheme="minorEastAsia"/>
                <w:kern w:val="0"/>
                <w:szCs w:val="21"/>
                <w:lang w:val="en-US" w:eastAsia="zh-CN"/>
              </w:rPr>
              <w:t>4</w:t>
            </w:r>
          </w:p>
        </w:tc>
        <w:tc>
          <w:tcPr>
            <w:tcW w:w="5953" w:type="dxa"/>
            <w:vAlign w:val="center"/>
          </w:tcPr>
          <w:p w14:paraId="43C88D82">
            <w:pPr>
              <w:autoSpaceDE w:val="0"/>
              <w:autoSpaceDN w:val="0"/>
              <w:adjustRightInd w:val="0"/>
              <w:spacing w:line="360" w:lineRule="exact"/>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（一）评分内容：</w:t>
            </w:r>
          </w:p>
          <w:p w14:paraId="6AEBE84A">
            <w:pPr>
              <w:autoSpaceDE w:val="0"/>
              <w:autoSpaceDN w:val="0"/>
              <w:adjustRightInd w:val="0"/>
              <w:jc w:val="left"/>
              <w:rPr>
                <w:rFonts w:asciiTheme="minorEastAsia" w:hAnsiTheme="minorEastAsia" w:eastAsiaTheme="minorEastAsia"/>
                <w:szCs w:val="21"/>
              </w:rPr>
            </w:pPr>
            <w:r>
              <w:rPr>
                <w:rFonts w:hint="eastAsia" w:cs="宋体" w:asciiTheme="minorEastAsia" w:hAnsiTheme="minorEastAsia" w:eastAsiaTheme="minorEastAsia"/>
                <w:szCs w:val="21"/>
              </w:rPr>
              <w:t>拟安排的项目</w:t>
            </w:r>
            <w:r>
              <w:rPr>
                <w:rFonts w:hint="eastAsia" w:cs="宋体" w:asciiTheme="minorEastAsia" w:hAnsiTheme="minorEastAsia" w:eastAsiaTheme="minorEastAsia"/>
                <w:szCs w:val="21"/>
                <w:lang w:val="en-US" w:eastAsia="zh-CN"/>
              </w:rPr>
              <w:t>售后</w:t>
            </w:r>
            <w:r>
              <w:rPr>
                <w:rFonts w:hint="eastAsia" w:cs="宋体" w:asciiTheme="minorEastAsia" w:hAnsiTheme="minorEastAsia" w:eastAsiaTheme="minorEastAsia"/>
                <w:szCs w:val="21"/>
              </w:rPr>
              <w:t>团队成员（项目</w:t>
            </w:r>
            <w:r>
              <w:rPr>
                <w:rFonts w:hint="eastAsia" w:cs="宋体" w:asciiTheme="minorEastAsia" w:hAnsiTheme="minorEastAsia" w:eastAsiaTheme="minorEastAsia"/>
                <w:szCs w:val="21"/>
                <w:lang w:val="en-US" w:eastAsia="zh-CN"/>
              </w:rPr>
              <w:t>售后</w:t>
            </w:r>
            <w:r>
              <w:rPr>
                <w:rFonts w:hint="eastAsia" w:cs="宋体" w:asciiTheme="minorEastAsia" w:hAnsiTheme="minorEastAsia" w:eastAsiaTheme="minorEastAsia"/>
                <w:szCs w:val="21"/>
              </w:rPr>
              <w:t>负责人除外）</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14:textFill>
                  <w14:solidFill>
                    <w14:schemeClr w14:val="tx1"/>
                  </w14:solidFill>
                </w14:textFill>
              </w:rPr>
              <w:t>正式聘任</w:t>
            </w:r>
            <w:r>
              <w:rPr>
                <w:rFonts w:hint="eastAsia" w:asciiTheme="minorEastAsia" w:hAnsiTheme="minorEastAsia" w:eastAsiaTheme="minorEastAsia"/>
                <w:szCs w:val="21"/>
              </w:rPr>
              <w:t>员工，否则本项不得分。在此基础上，按以下标准评分：</w:t>
            </w:r>
          </w:p>
          <w:p w14:paraId="159678E2">
            <w:pPr>
              <w:autoSpaceDE w:val="0"/>
              <w:autoSpaceDN w:val="0"/>
              <w:adjustRightInd w:val="0"/>
              <w:spacing w:line="36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项目团队成员具有工业和信息化部教育与考试中心颁发的数据通信应用工程师证书，得</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分，否则不得分。</w:t>
            </w:r>
          </w:p>
          <w:p w14:paraId="0817ADE2">
            <w:pPr>
              <w:autoSpaceDE w:val="0"/>
              <w:autoSpaceDN w:val="0"/>
              <w:adjustRightInd w:val="0"/>
              <w:spacing w:line="360" w:lineRule="exact"/>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（二）评分依据：</w:t>
            </w:r>
          </w:p>
          <w:p w14:paraId="444AEB68">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1. 提供项目</w:t>
            </w:r>
            <w:r>
              <w:rPr>
                <w:rFonts w:hint="eastAsia" w:asciiTheme="minorEastAsia" w:hAnsiTheme="minorEastAsia" w:eastAsiaTheme="minorEastAsia"/>
                <w:szCs w:val="21"/>
                <w:lang w:val="en-US" w:eastAsia="zh-CN"/>
              </w:rPr>
              <w:t>售后</w:t>
            </w:r>
            <w:r>
              <w:rPr>
                <w:rFonts w:hint="eastAsia" w:asciiTheme="minorEastAsia" w:hAnsiTheme="minorEastAsia" w:eastAsiaTheme="minorEastAsia"/>
                <w:szCs w:val="21"/>
              </w:rPr>
              <w:t>团队成员通过投标单位缴纳的载有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44184A41">
            <w:pPr>
              <w:autoSpaceDE w:val="0"/>
              <w:autoSpaceDN w:val="0"/>
              <w:adjustRightInd w:val="0"/>
              <w:jc w:val="left"/>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提供项目团队成员资格证书</w:t>
            </w:r>
            <w:r>
              <w:rPr>
                <w:rFonts w:hint="eastAsia" w:asciiTheme="minorEastAsia" w:hAnsiTheme="minorEastAsia" w:eastAsiaTheme="minorEastAsia"/>
                <w:szCs w:val="21"/>
                <w:lang w:eastAsia="zh-CN"/>
              </w:rPr>
              <w:t>；</w:t>
            </w:r>
          </w:p>
          <w:p w14:paraId="101B0177">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 涉及考察学历或学位的，提供</w:t>
            </w:r>
            <w:r>
              <w:rPr>
                <w:rFonts w:hint="eastAsia" w:asciiTheme="minorEastAsia" w:hAnsiTheme="minorEastAsia" w:eastAsiaTheme="minorEastAsia"/>
                <w:szCs w:val="21"/>
              </w:rPr>
              <w:t>毕业证书（或学位证书）以及学信网查询记录，对于学信网无法查询的，还需提供毕业院校或人社部门或教育部门等颁发机构或监管机构出具的证明，否则无效；</w:t>
            </w:r>
          </w:p>
          <w:p w14:paraId="3370C15C">
            <w:pPr>
              <w:spacing w:line="360" w:lineRule="exact"/>
              <w:jc w:val="left"/>
              <w:rPr>
                <w:rFonts w:ascii="宋体" w:hAnsi="宋体"/>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7299FC23">
            <w:pPr>
              <w:spacing w:line="360" w:lineRule="exact"/>
              <w:jc w:val="center"/>
              <w:rPr>
                <w:rFonts w:ascii="宋体" w:hAnsi="宋体" w:cs="仿宋"/>
                <w:szCs w:val="21"/>
                <w:lang w:val="zh-CN"/>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10</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6" w:hRule="atLeast"/>
          <w:jc w:val="center"/>
        </w:trPr>
        <w:tc>
          <w:tcPr>
            <w:tcW w:w="754" w:type="dxa"/>
            <w:vAlign w:val="center"/>
          </w:tcPr>
          <w:p w14:paraId="5C83240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14:paraId="66998310">
            <w:pPr>
              <w:widowControl/>
              <w:spacing w:line="360" w:lineRule="exact"/>
              <w:jc w:val="center"/>
              <w:rPr>
                <w:rFonts w:ascii="宋体" w:hAnsi="宋体" w:cs="仿宋"/>
                <w:kern w:val="0"/>
                <w:szCs w:val="21"/>
              </w:rPr>
            </w:pPr>
            <w:r>
              <w:rPr>
                <w:rFonts w:hint="eastAsia" w:ascii="宋体" w:hAnsi="宋体" w:cs="宋体"/>
                <w:kern w:val="0"/>
                <w:szCs w:val="21"/>
                <w:lang w:val="en-US" w:eastAsia="zh-CN"/>
              </w:rPr>
              <w:t>商务要求</w:t>
            </w:r>
            <w:r>
              <w:rPr>
                <w:rFonts w:hint="eastAsia" w:ascii="宋体" w:hAnsi="宋体" w:cs="宋体"/>
                <w:kern w:val="0"/>
                <w:szCs w:val="21"/>
              </w:rPr>
              <w:t>偏离情况</w:t>
            </w:r>
          </w:p>
        </w:tc>
        <w:tc>
          <w:tcPr>
            <w:tcW w:w="709" w:type="dxa"/>
            <w:vAlign w:val="center"/>
          </w:tcPr>
          <w:p w14:paraId="704CD572">
            <w:pPr>
              <w:widowControl/>
              <w:spacing w:line="360" w:lineRule="exact"/>
              <w:jc w:val="center"/>
              <w:rPr>
                <w:rFonts w:ascii="宋体" w:hAnsi="宋体" w:cs="仿宋"/>
                <w:kern w:val="0"/>
                <w:szCs w:val="21"/>
              </w:rPr>
            </w:pPr>
            <w:r>
              <w:rPr>
                <w:rFonts w:hint="eastAsia" w:ascii="宋体" w:hAnsi="宋体" w:cs="仿宋"/>
                <w:kern w:val="0"/>
                <w:szCs w:val="21"/>
                <w:lang w:val="en-US" w:eastAsia="zh-CN"/>
              </w:rPr>
              <w:t>3</w:t>
            </w:r>
          </w:p>
        </w:tc>
        <w:tc>
          <w:tcPr>
            <w:tcW w:w="5953" w:type="dxa"/>
            <w:vAlign w:val="center"/>
          </w:tcPr>
          <w:p w14:paraId="534794BE">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投标人应如实填写《商务条款偏离表》，评审委员会根据服务条款响应情况进行评审</w:t>
            </w:r>
            <w:r>
              <w:rPr>
                <w:rFonts w:hint="eastAsia" w:ascii="宋体" w:hAnsi="宋体" w:cs="仿宋"/>
                <w:szCs w:val="21"/>
              </w:rPr>
              <w:t>：</w:t>
            </w:r>
          </w:p>
          <w:p w14:paraId="50FBB43A">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w:t>
            </w:r>
            <w:r>
              <w:rPr>
                <w:rFonts w:hint="eastAsia" w:ascii="宋体" w:hAnsi="宋体" w:cs="宋体"/>
                <w:kern w:val="0"/>
                <w:szCs w:val="21"/>
                <w:lang w:val="en-US" w:eastAsia="zh-CN"/>
              </w:rPr>
              <w:t>1</w:t>
            </w:r>
            <w:r>
              <w:rPr>
                <w:rFonts w:hint="eastAsia" w:ascii="宋体" w:hAnsi="宋体" w:cs="宋体"/>
                <w:kern w:val="0"/>
                <w:szCs w:val="21"/>
              </w:rPr>
              <w:t>分，</w:t>
            </w:r>
            <w:r>
              <w:rPr>
                <w:rFonts w:hint="eastAsia" w:ascii="宋体" w:hAnsi="宋体" w:cs="仿宋"/>
                <w:szCs w:val="21"/>
              </w:rPr>
              <w:t>最低得0分</w:t>
            </w:r>
            <w:r>
              <w:rPr>
                <w:rFonts w:hint="eastAsia" w:ascii="宋体" w:hAnsi="宋体" w:cs="宋体"/>
                <w:kern w:val="0"/>
                <w:szCs w:val="21"/>
              </w:rPr>
              <w:t>。</w:t>
            </w:r>
          </w:p>
          <w:p w14:paraId="667D8206">
            <w:pPr>
              <w:pStyle w:val="18"/>
              <w:rPr>
                <w:rFonts w:ascii="宋体" w:hAnsi="宋体" w:cs="仿宋"/>
                <w:szCs w:val="21"/>
              </w:rPr>
            </w:pP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w:t>
            </w:r>
            <w:r>
              <w:rPr>
                <w:rFonts w:hint="eastAsia" w:ascii="宋体" w:hAnsi="宋体"/>
                <w:szCs w:val="21"/>
                <w:lang w:eastAsia="zh-CN"/>
              </w:rPr>
              <w:t>商务条款</w:t>
            </w:r>
            <w:r>
              <w:rPr>
                <w:rFonts w:hint="eastAsia" w:ascii="宋体" w:hAnsi="宋体"/>
                <w:szCs w:val="21"/>
              </w:rPr>
              <w:t>（以</w:t>
            </w:r>
            <w:r>
              <w:rPr>
                <w:rFonts w:hint="eastAsia" w:ascii="宋体" w:hAnsi="宋体"/>
                <w:szCs w:val="21"/>
                <w:lang w:eastAsia="zh-CN"/>
              </w:rPr>
              <w:t>招标文件商务要求中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tc>
        <w:tc>
          <w:tcPr>
            <w:tcW w:w="1187" w:type="dxa"/>
            <w:vAlign w:val="center"/>
          </w:tcPr>
          <w:p w14:paraId="724A856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4DE9F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0" w:hRule="atLeast"/>
          <w:jc w:val="center"/>
        </w:trPr>
        <w:tc>
          <w:tcPr>
            <w:tcW w:w="754" w:type="dxa"/>
            <w:vAlign w:val="center"/>
          </w:tcPr>
          <w:p w14:paraId="640C973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2</w:t>
            </w:r>
          </w:p>
        </w:tc>
        <w:tc>
          <w:tcPr>
            <w:tcW w:w="1143" w:type="dxa"/>
            <w:vAlign w:val="center"/>
          </w:tcPr>
          <w:p w14:paraId="29B1B0B3">
            <w:pPr>
              <w:spacing w:line="360" w:lineRule="exact"/>
              <w:jc w:val="center"/>
              <w:rPr>
                <w:rFonts w:ascii="宋体" w:hAnsi="宋体" w:cs="宋体"/>
                <w:kern w:val="0"/>
                <w:szCs w:val="21"/>
              </w:rPr>
            </w:pPr>
            <w:r>
              <w:rPr>
                <w:rFonts w:hint="eastAsia" w:ascii="宋体" w:hAnsi="宋体" w:cs="宋体"/>
                <w:color w:val="000000"/>
                <w:kern w:val="0"/>
                <w:szCs w:val="21"/>
              </w:rPr>
              <w:t>同类项目业绩情况</w:t>
            </w:r>
          </w:p>
        </w:tc>
        <w:tc>
          <w:tcPr>
            <w:tcW w:w="709" w:type="dxa"/>
            <w:vAlign w:val="center"/>
          </w:tcPr>
          <w:p w14:paraId="5CEF694C">
            <w:pPr>
              <w:spacing w:line="360" w:lineRule="exact"/>
              <w:jc w:val="center"/>
              <w:rPr>
                <w:rFonts w:ascii="宋体" w:hAnsi="宋体" w:cs="仿宋"/>
                <w:szCs w:val="21"/>
              </w:rPr>
            </w:pPr>
            <w:r>
              <w:rPr>
                <w:rFonts w:hint="eastAsia" w:ascii="宋体" w:hAnsi="宋体" w:cs="仿宋"/>
                <w:szCs w:val="21"/>
                <w:lang w:val="en-US" w:eastAsia="zh-CN"/>
              </w:rPr>
              <w:t>2</w:t>
            </w:r>
          </w:p>
        </w:tc>
        <w:tc>
          <w:tcPr>
            <w:tcW w:w="5953" w:type="dxa"/>
            <w:vAlign w:val="center"/>
          </w:tcPr>
          <w:p w14:paraId="2A278124">
            <w:pPr>
              <w:pStyle w:val="94"/>
              <w:spacing w:line="360" w:lineRule="exact"/>
              <w:ind w:firstLine="0" w:firstLineChars="0"/>
              <w:rPr>
                <w:rFonts w:ascii="宋体" w:hAnsi="宋体"/>
                <w:szCs w:val="21"/>
              </w:rPr>
            </w:pPr>
            <w:r>
              <w:rPr>
                <w:rFonts w:hint="eastAsia" w:ascii="宋体" w:hAnsi="宋体"/>
                <w:szCs w:val="21"/>
              </w:rPr>
              <w:t>（一）评分内容：</w:t>
            </w:r>
          </w:p>
          <w:p w14:paraId="4D06A73C">
            <w:pPr>
              <w:widowControl/>
              <w:spacing w:line="360" w:lineRule="exact"/>
              <w:rPr>
                <w:rFonts w:hint="default" w:ascii="宋体" w:hAnsi="宋体" w:eastAsia="宋体" w:cs="仿宋"/>
                <w:szCs w:val="21"/>
                <w:lang w:val="en-US" w:eastAsia="zh-CN"/>
              </w:rPr>
            </w:pPr>
            <w:r>
              <w:rPr>
                <w:rFonts w:hint="eastAsia" w:ascii="宋体" w:hAnsi="宋体" w:cs="宋体"/>
                <w:szCs w:val="21"/>
              </w:rPr>
              <w:t>20</w:t>
            </w:r>
            <w:r>
              <w:rPr>
                <w:rFonts w:hint="eastAsia" w:ascii="宋体" w:hAnsi="宋体" w:cs="宋体"/>
                <w:szCs w:val="21"/>
                <w:lang w:val="en-US" w:eastAsia="zh-CN"/>
              </w:rPr>
              <w:t>23</w:t>
            </w:r>
            <w:r>
              <w:rPr>
                <w:rFonts w:hint="eastAsia" w:ascii="宋体" w:hAnsi="宋体" w:cs="宋体"/>
                <w:szCs w:val="21"/>
              </w:rPr>
              <w:t>年1月1日至本项目投标截止日（以合同签订日期为准），投标人</w:t>
            </w:r>
            <w:r>
              <w:rPr>
                <w:rFonts w:hint="eastAsia" w:ascii="宋体" w:hAnsi="宋体" w:cs="仿宋"/>
                <w:szCs w:val="21"/>
              </w:rPr>
              <w:t>具有同类</w:t>
            </w:r>
            <w:r>
              <w:rPr>
                <w:rFonts w:hint="eastAsia" w:ascii="宋体" w:hAnsi="宋体" w:cs="仿宋"/>
                <w:szCs w:val="21"/>
                <w:lang w:val="en-US" w:eastAsia="zh-CN"/>
              </w:rPr>
              <w:t>网络改造</w:t>
            </w:r>
            <w:r>
              <w:rPr>
                <w:rFonts w:hint="eastAsia" w:ascii="宋体" w:hAnsi="宋体" w:cs="仿宋"/>
                <w:szCs w:val="21"/>
              </w:rPr>
              <w:t>项目业绩的，每提供1个项目得</w:t>
            </w:r>
            <w:r>
              <w:rPr>
                <w:rFonts w:hint="eastAsia" w:ascii="宋体" w:hAnsi="宋体" w:cs="仿宋"/>
                <w:szCs w:val="21"/>
                <w:lang w:val="en-US" w:eastAsia="zh-CN"/>
              </w:rPr>
              <w:t>1</w:t>
            </w:r>
            <w:r>
              <w:rPr>
                <w:rFonts w:hint="eastAsia" w:ascii="宋体" w:hAnsi="宋体" w:cs="仿宋"/>
                <w:szCs w:val="21"/>
              </w:rPr>
              <w:t>分，最高得2分。</w:t>
            </w:r>
            <w:r>
              <w:rPr>
                <w:rFonts w:hint="eastAsia" w:ascii="宋体" w:hAnsi="宋体" w:cs="仿宋"/>
                <w:szCs w:val="21"/>
                <w:lang w:val="en-US" w:eastAsia="zh-CN"/>
              </w:rPr>
              <w:t>注：同一项目续签的只计一次分。</w:t>
            </w:r>
          </w:p>
          <w:p w14:paraId="302689B4">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424D8D5F">
            <w:pPr>
              <w:adjustRightInd w:val="0"/>
              <w:snapToGrid w:val="0"/>
              <w:spacing w:line="360" w:lineRule="exact"/>
              <w:rPr>
                <w:rFonts w:ascii="宋体" w:hAnsi="宋体"/>
                <w:szCs w:val="21"/>
              </w:rPr>
            </w:pPr>
            <w:r>
              <w:rPr>
                <w:rFonts w:hint="eastAsia" w:ascii="宋体" w:hAnsi="宋体" w:cs="仿宋"/>
                <w:szCs w:val="21"/>
              </w:rPr>
              <w:t>1. 提供合同关键页</w:t>
            </w:r>
            <w:r>
              <w:rPr>
                <w:rFonts w:hint="eastAsia" w:asciiTheme="minorEastAsia" w:hAnsiTheme="minorEastAsia" w:eastAsiaTheme="minorEastAsia"/>
                <w:szCs w:val="21"/>
              </w:rPr>
              <w:t>（至少包含货物清单、采购人名称、合同签订日期和签字盖章页）</w:t>
            </w:r>
            <w:r>
              <w:rPr>
                <w:rFonts w:hint="eastAsia" w:asciiTheme="minorEastAsia" w:hAnsiTheme="minorEastAsia" w:eastAsiaTheme="minorEastAsia"/>
                <w:bCs/>
                <w:szCs w:val="21"/>
              </w:rPr>
              <w:t>且各项信息不得有任何遮挡</w:t>
            </w:r>
            <w:r>
              <w:rPr>
                <w:rFonts w:hint="eastAsia" w:ascii="宋体" w:hAnsi="宋体"/>
                <w:szCs w:val="21"/>
              </w:rPr>
              <w:t>；</w:t>
            </w:r>
          </w:p>
          <w:p w14:paraId="77D1E4C4">
            <w:pPr>
              <w:widowControl/>
              <w:spacing w:line="360" w:lineRule="exact"/>
              <w:rPr>
                <w:rFonts w:ascii="宋体" w:hAnsi="宋体" w:cs="宋体"/>
                <w:kern w:val="0"/>
                <w:szCs w:val="21"/>
              </w:rPr>
            </w:pPr>
            <w:r>
              <w:rPr>
                <w:rFonts w:hint="eastAsia" w:ascii="宋体" w:hAnsi="宋体"/>
                <w:szCs w:val="21"/>
              </w:rPr>
              <w:t>2.</w:t>
            </w:r>
            <w:r>
              <w:rPr>
                <w:rFonts w:hint="eastAsia" w:ascii="宋体" w:hAnsi="宋体"/>
                <w:kern w:val="0"/>
                <w:szCs w:val="21"/>
              </w:rPr>
              <w:t xml:space="preserve"> 以上</w:t>
            </w:r>
            <w:r>
              <w:rPr>
                <w:rFonts w:hint="eastAsia" w:ascii="宋体" w:hAnsi="宋体"/>
                <w:szCs w:val="21"/>
              </w:rPr>
              <w:t>证明文件</w:t>
            </w:r>
            <w:r>
              <w:rPr>
                <w:rFonts w:hint="eastAsia" w:ascii="宋体" w:hAnsi="宋体"/>
                <w:kern w:val="0"/>
                <w:szCs w:val="21"/>
              </w:rPr>
              <w:t>均提供复印件或扫描件加盖投标人公章，原件备查。</w:t>
            </w:r>
            <w:r>
              <w:rPr>
                <w:rFonts w:hint="eastAsia" w:ascii="宋体" w:hAnsi="宋体"/>
                <w:szCs w:val="21"/>
              </w:rPr>
              <w:t>未按要求提供有效证明材料或提供不清晰导致评委无法识别的不计得分。</w:t>
            </w:r>
          </w:p>
        </w:tc>
        <w:tc>
          <w:tcPr>
            <w:tcW w:w="1187" w:type="dxa"/>
            <w:vAlign w:val="center"/>
          </w:tcPr>
          <w:p w14:paraId="52716949">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1"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14:paraId="494B7C60">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44691162"/>
      <w:bookmarkStart w:id="12" w:name="_Toc44690703"/>
      <w:bookmarkStart w:id="13" w:name="_Toc135293326"/>
      <w:bookmarkStart w:id="14" w:name="_Toc44691394"/>
      <w:bookmarkStart w:id="15" w:name="_Toc44690430"/>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Ansi="宋体"/>
              </w:rPr>
            </w:pPr>
            <w:r>
              <w:rPr>
                <w:rFonts w:hint="eastAsia" w:hAnsi="宋体"/>
              </w:rPr>
              <w:t>项号</w:t>
            </w:r>
          </w:p>
        </w:tc>
        <w:tc>
          <w:tcPr>
            <w:tcW w:w="1038" w:type="dxa"/>
            <w:vAlign w:val="center"/>
          </w:tcPr>
          <w:p w14:paraId="1A021A33">
            <w:pPr>
              <w:pStyle w:val="27"/>
              <w:spacing w:line="360" w:lineRule="auto"/>
              <w:jc w:val="center"/>
              <w:rPr>
                <w:rFonts w:hAnsi="宋体"/>
              </w:rPr>
            </w:pPr>
            <w:r>
              <w:rPr>
                <w:rFonts w:hint="eastAsia" w:hAnsi="宋体"/>
              </w:rPr>
              <w:t>条款号</w:t>
            </w:r>
          </w:p>
        </w:tc>
        <w:tc>
          <w:tcPr>
            <w:tcW w:w="1843" w:type="dxa"/>
            <w:vAlign w:val="center"/>
          </w:tcPr>
          <w:p w14:paraId="6C99B8DD">
            <w:pPr>
              <w:pStyle w:val="27"/>
              <w:spacing w:line="360" w:lineRule="auto"/>
              <w:jc w:val="center"/>
              <w:rPr>
                <w:rFonts w:hAnsi="宋体"/>
              </w:rPr>
            </w:pPr>
            <w:r>
              <w:rPr>
                <w:rFonts w:hint="eastAsia" w:hAnsi="宋体"/>
              </w:rPr>
              <w:t>内容</w:t>
            </w:r>
          </w:p>
        </w:tc>
        <w:tc>
          <w:tcPr>
            <w:tcW w:w="6520" w:type="dxa"/>
          </w:tcPr>
          <w:p w14:paraId="79032F6D">
            <w:pPr>
              <w:pStyle w:val="27"/>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Ansi="宋体"/>
              </w:rPr>
            </w:pPr>
            <w:r>
              <w:rPr>
                <w:rFonts w:hAnsi="宋体"/>
              </w:rPr>
              <w:t>1</w:t>
            </w:r>
          </w:p>
        </w:tc>
        <w:tc>
          <w:tcPr>
            <w:tcW w:w="1038" w:type="dxa"/>
            <w:vAlign w:val="center"/>
          </w:tcPr>
          <w:p w14:paraId="08DCF3BC">
            <w:pPr>
              <w:pStyle w:val="27"/>
              <w:spacing w:line="360" w:lineRule="auto"/>
              <w:jc w:val="center"/>
              <w:rPr>
                <w:rFonts w:hAnsi="宋体"/>
              </w:rPr>
            </w:pPr>
            <w:r>
              <w:rPr>
                <w:rFonts w:hAnsi="宋体"/>
              </w:rPr>
              <w:t>1.1</w:t>
            </w:r>
          </w:p>
        </w:tc>
        <w:tc>
          <w:tcPr>
            <w:tcW w:w="1843" w:type="dxa"/>
            <w:vAlign w:val="center"/>
          </w:tcPr>
          <w:p w14:paraId="5DB3C0C3">
            <w:pPr>
              <w:pStyle w:val="27"/>
              <w:spacing w:line="360" w:lineRule="exact"/>
              <w:jc w:val="center"/>
              <w:rPr>
                <w:rFonts w:hAnsi="宋体"/>
              </w:rPr>
            </w:pPr>
            <w:r>
              <w:rPr>
                <w:rFonts w:hint="eastAsia" w:hAnsi="宋体"/>
              </w:rPr>
              <w:t>项目名称</w:t>
            </w:r>
          </w:p>
        </w:tc>
        <w:tc>
          <w:tcPr>
            <w:tcW w:w="6520" w:type="dxa"/>
            <w:vAlign w:val="center"/>
          </w:tcPr>
          <w:p w14:paraId="4CD063BC">
            <w:pPr>
              <w:pStyle w:val="27"/>
              <w:spacing w:line="360" w:lineRule="exact"/>
              <w:rPr>
                <w:rFonts w:hint="eastAsia" w:eastAsia="宋体"/>
                <w:lang w:eastAsia="zh-CN"/>
              </w:rPr>
            </w:pPr>
            <w:r>
              <w:rPr>
                <w:rFonts w:hint="eastAsia" w:asciiTheme="minorEastAsia" w:hAnsiTheme="minorEastAsia" w:eastAsiaTheme="minorEastAsia"/>
                <w:lang w:eastAsia="zh-CN"/>
              </w:rPr>
              <w:t>高中部网络中心机房改造</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Ansi="宋体"/>
              </w:rPr>
            </w:pPr>
            <w:r>
              <w:rPr>
                <w:rFonts w:hint="eastAsia" w:hAnsi="宋体"/>
              </w:rPr>
              <w:t>2</w:t>
            </w:r>
          </w:p>
        </w:tc>
        <w:tc>
          <w:tcPr>
            <w:tcW w:w="1038" w:type="dxa"/>
            <w:vAlign w:val="center"/>
          </w:tcPr>
          <w:p w14:paraId="75EDB50D">
            <w:pPr>
              <w:pStyle w:val="27"/>
              <w:spacing w:line="360" w:lineRule="auto"/>
              <w:jc w:val="center"/>
              <w:rPr>
                <w:rFonts w:hAnsi="宋体"/>
              </w:rPr>
            </w:pPr>
            <w:r>
              <w:rPr>
                <w:rFonts w:hAnsi="宋体"/>
              </w:rPr>
              <w:t>2.1</w:t>
            </w:r>
          </w:p>
        </w:tc>
        <w:tc>
          <w:tcPr>
            <w:tcW w:w="1843" w:type="dxa"/>
            <w:vAlign w:val="center"/>
          </w:tcPr>
          <w:p w14:paraId="0DD45AF4">
            <w:pPr>
              <w:pStyle w:val="27"/>
              <w:spacing w:line="360" w:lineRule="exact"/>
              <w:jc w:val="center"/>
              <w:rPr>
                <w:rFonts w:hAnsi="宋体"/>
              </w:rPr>
            </w:pPr>
            <w:r>
              <w:rPr>
                <w:rFonts w:hint="eastAsia" w:hAnsi="宋体"/>
              </w:rPr>
              <w:t>采购人</w:t>
            </w:r>
          </w:p>
        </w:tc>
        <w:tc>
          <w:tcPr>
            <w:tcW w:w="6520" w:type="dxa"/>
            <w:vAlign w:val="center"/>
          </w:tcPr>
          <w:p w14:paraId="522BEA8D">
            <w:pPr>
              <w:pStyle w:val="27"/>
              <w:spacing w:line="360" w:lineRule="exact"/>
              <w:rPr>
                <w:rFonts w:hint="default" w:hAnsi="宋体" w:eastAsia="宋体"/>
                <w:szCs w:val="24"/>
                <w:lang w:val="en-US" w:eastAsia="zh-CN"/>
              </w:rPr>
            </w:pPr>
            <w:r>
              <w:rPr>
                <w:rFonts w:hint="eastAsia" w:hAnsi="宋体"/>
                <w:szCs w:val="24"/>
              </w:rPr>
              <w:t>深圳</w:t>
            </w:r>
            <w:r>
              <w:rPr>
                <w:rFonts w:hint="eastAsia" w:hAnsi="宋体"/>
                <w:szCs w:val="24"/>
                <w:lang w:val="en-US" w:eastAsia="zh-CN"/>
              </w:rPr>
              <w:t>实验学校</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Ansi="宋体"/>
              </w:rPr>
            </w:pPr>
            <w:r>
              <w:rPr>
                <w:rFonts w:hint="eastAsia" w:hAnsi="宋体"/>
              </w:rPr>
              <w:t>3</w:t>
            </w:r>
          </w:p>
        </w:tc>
        <w:tc>
          <w:tcPr>
            <w:tcW w:w="1038" w:type="dxa"/>
            <w:vAlign w:val="center"/>
          </w:tcPr>
          <w:p w14:paraId="13B91ECC">
            <w:pPr>
              <w:pStyle w:val="27"/>
              <w:spacing w:line="360" w:lineRule="auto"/>
              <w:jc w:val="center"/>
              <w:rPr>
                <w:rFonts w:hAnsi="宋体"/>
              </w:rPr>
            </w:pPr>
            <w:r>
              <w:rPr>
                <w:rFonts w:hAnsi="宋体"/>
              </w:rPr>
              <w:t>2.2</w:t>
            </w:r>
          </w:p>
        </w:tc>
        <w:tc>
          <w:tcPr>
            <w:tcW w:w="1843" w:type="dxa"/>
            <w:vAlign w:val="center"/>
          </w:tcPr>
          <w:p w14:paraId="132E9C30">
            <w:pPr>
              <w:pStyle w:val="27"/>
              <w:spacing w:line="360" w:lineRule="exact"/>
              <w:jc w:val="center"/>
              <w:rPr>
                <w:rFonts w:hAnsi="宋体"/>
              </w:rPr>
            </w:pPr>
            <w:r>
              <w:rPr>
                <w:rFonts w:hint="eastAsia" w:hAnsi="宋体"/>
              </w:rPr>
              <w:t>采购代理机构</w:t>
            </w:r>
          </w:p>
        </w:tc>
        <w:tc>
          <w:tcPr>
            <w:tcW w:w="6520" w:type="dxa"/>
            <w:vAlign w:val="center"/>
          </w:tcPr>
          <w:p w14:paraId="5B81D321">
            <w:pPr>
              <w:pStyle w:val="27"/>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Ansi="宋体"/>
              </w:rPr>
            </w:pPr>
            <w:r>
              <w:rPr>
                <w:rFonts w:hint="eastAsia" w:hAnsi="宋体"/>
              </w:rPr>
              <w:t>4</w:t>
            </w:r>
          </w:p>
        </w:tc>
        <w:tc>
          <w:tcPr>
            <w:tcW w:w="1038" w:type="dxa"/>
            <w:vAlign w:val="center"/>
          </w:tcPr>
          <w:p w14:paraId="31572A4E">
            <w:pPr>
              <w:pStyle w:val="27"/>
              <w:spacing w:line="360" w:lineRule="auto"/>
              <w:jc w:val="center"/>
              <w:rPr>
                <w:rFonts w:hAnsi="宋体"/>
              </w:rPr>
            </w:pPr>
            <w:r>
              <w:rPr>
                <w:rFonts w:hint="eastAsia" w:hAnsi="宋体"/>
              </w:rPr>
              <w:t>3.1</w:t>
            </w:r>
          </w:p>
        </w:tc>
        <w:tc>
          <w:tcPr>
            <w:tcW w:w="1843" w:type="dxa"/>
            <w:vAlign w:val="center"/>
          </w:tcPr>
          <w:p w14:paraId="0405CD55">
            <w:pPr>
              <w:pStyle w:val="27"/>
              <w:spacing w:line="360" w:lineRule="exact"/>
              <w:jc w:val="center"/>
              <w:rPr>
                <w:rFonts w:hAnsi="宋体"/>
              </w:rPr>
            </w:pPr>
            <w:r>
              <w:rPr>
                <w:rFonts w:hint="eastAsia" w:hAnsi="宋体"/>
              </w:rPr>
              <w:t>资金来源</w:t>
            </w:r>
          </w:p>
        </w:tc>
        <w:tc>
          <w:tcPr>
            <w:tcW w:w="6520" w:type="dxa"/>
            <w:vAlign w:val="center"/>
          </w:tcPr>
          <w:p w14:paraId="5817DB0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Ansi="宋体"/>
              </w:rPr>
            </w:pPr>
            <w:r>
              <w:rPr>
                <w:rFonts w:hint="eastAsia" w:hAnsi="宋体"/>
              </w:rPr>
              <w:t>5</w:t>
            </w:r>
          </w:p>
        </w:tc>
        <w:tc>
          <w:tcPr>
            <w:tcW w:w="1038" w:type="dxa"/>
            <w:vAlign w:val="center"/>
          </w:tcPr>
          <w:p w14:paraId="37A4AD37">
            <w:pPr>
              <w:pStyle w:val="27"/>
              <w:spacing w:line="360" w:lineRule="auto"/>
              <w:jc w:val="center"/>
              <w:rPr>
                <w:rFonts w:hAnsi="宋体"/>
              </w:rPr>
            </w:pPr>
            <w:r>
              <w:rPr>
                <w:rFonts w:hint="eastAsia" w:hAnsi="宋体"/>
              </w:rPr>
              <w:t>4.7</w:t>
            </w:r>
          </w:p>
        </w:tc>
        <w:tc>
          <w:tcPr>
            <w:tcW w:w="1843" w:type="dxa"/>
            <w:vAlign w:val="center"/>
          </w:tcPr>
          <w:p w14:paraId="5CB3B1B9">
            <w:pPr>
              <w:pStyle w:val="27"/>
              <w:spacing w:line="360" w:lineRule="auto"/>
              <w:jc w:val="center"/>
              <w:rPr>
                <w:rFonts w:hAnsi="宋体"/>
              </w:rPr>
            </w:pPr>
            <w:r>
              <w:rPr>
                <w:rFonts w:hint="eastAsia" w:hAnsi="宋体"/>
              </w:rPr>
              <w:t>投标人资格要求</w:t>
            </w:r>
          </w:p>
        </w:tc>
        <w:tc>
          <w:tcPr>
            <w:tcW w:w="6520" w:type="dxa"/>
            <w:vAlign w:val="center"/>
          </w:tcPr>
          <w:p w14:paraId="3AB9BA9D">
            <w:pPr>
              <w:pStyle w:val="27"/>
              <w:spacing w:line="360" w:lineRule="auto"/>
              <w:rPr>
                <w:rFonts w:hAnsi="宋体"/>
                <w:szCs w:val="21"/>
              </w:rPr>
            </w:pPr>
            <w:r>
              <w:rPr>
                <w:rFonts w:hint="eastAsia" w:hAnsi="宋体"/>
                <w:szCs w:val="21"/>
              </w:rPr>
              <w:t>详见《第一章 投标邀请》“申请人的资格要求”</w:t>
            </w:r>
          </w:p>
          <w:p w14:paraId="2D25F91C">
            <w:pPr>
              <w:pStyle w:val="27"/>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Ansi="宋体"/>
              </w:rPr>
            </w:pPr>
            <w:r>
              <w:rPr>
                <w:rFonts w:hint="eastAsia" w:hAnsi="宋体"/>
              </w:rPr>
              <w:t>6</w:t>
            </w:r>
          </w:p>
        </w:tc>
        <w:tc>
          <w:tcPr>
            <w:tcW w:w="1038" w:type="dxa"/>
            <w:vAlign w:val="center"/>
          </w:tcPr>
          <w:p w14:paraId="02413314">
            <w:pPr>
              <w:pStyle w:val="27"/>
              <w:spacing w:line="360" w:lineRule="auto"/>
              <w:jc w:val="center"/>
              <w:rPr>
                <w:rFonts w:hAnsi="宋体"/>
              </w:rPr>
            </w:pPr>
            <w:r>
              <w:rPr>
                <w:rFonts w:hint="eastAsia" w:hAnsi="宋体"/>
              </w:rPr>
              <w:t>4.8</w:t>
            </w:r>
          </w:p>
        </w:tc>
        <w:tc>
          <w:tcPr>
            <w:tcW w:w="1843" w:type="dxa"/>
            <w:vAlign w:val="center"/>
          </w:tcPr>
          <w:p w14:paraId="4781E7FE">
            <w:pPr>
              <w:pStyle w:val="27"/>
              <w:spacing w:line="360" w:lineRule="auto"/>
              <w:jc w:val="center"/>
              <w:rPr>
                <w:rFonts w:hAnsi="宋体"/>
              </w:rPr>
            </w:pPr>
            <w:r>
              <w:rPr>
                <w:rFonts w:hint="eastAsia" w:hAnsi="宋体"/>
              </w:rPr>
              <w:t>联合体投标</w:t>
            </w:r>
          </w:p>
        </w:tc>
        <w:tc>
          <w:tcPr>
            <w:tcW w:w="6520" w:type="dxa"/>
          </w:tcPr>
          <w:p w14:paraId="1F87C69D">
            <w:pPr>
              <w:pStyle w:val="27"/>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Ansi="宋体"/>
              </w:rPr>
            </w:pPr>
            <w:r>
              <w:rPr>
                <w:rFonts w:hint="eastAsia" w:hAnsi="宋体"/>
              </w:rPr>
              <w:t>7</w:t>
            </w:r>
          </w:p>
        </w:tc>
        <w:tc>
          <w:tcPr>
            <w:tcW w:w="1038" w:type="dxa"/>
            <w:vAlign w:val="center"/>
          </w:tcPr>
          <w:p w14:paraId="01F73E4B">
            <w:pPr>
              <w:pStyle w:val="27"/>
              <w:spacing w:line="360" w:lineRule="auto"/>
              <w:jc w:val="center"/>
              <w:rPr>
                <w:rFonts w:hAnsi="宋体"/>
              </w:rPr>
            </w:pPr>
            <w:r>
              <w:rPr>
                <w:rFonts w:hint="eastAsia" w:hAnsi="宋体"/>
              </w:rPr>
              <w:t>6.1</w:t>
            </w:r>
          </w:p>
        </w:tc>
        <w:tc>
          <w:tcPr>
            <w:tcW w:w="1843" w:type="dxa"/>
            <w:vAlign w:val="center"/>
          </w:tcPr>
          <w:p w14:paraId="3F0E5C38">
            <w:pPr>
              <w:pStyle w:val="27"/>
              <w:spacing w:line="360" w:lineRule="auto"/>
              <w:jc w:val="center"/>
              <w:rPr>
                <w:rFonts w:hAnsi="宋体"/>
              </w:rPr>
            </w:pPr>
            <w:r>
              <w:rPr>
                <w:rFonts w:hint="eastAsia" w:hAnsi="宋体"/>
              </w:rPr>
              <w:t>踏勘现场</w:t>
            </w:r>
          </w:p>
        </w:tc>
        <w:tc>
          <w:tcPr>
            <w:tcW w:w="6520" w:type="dxa"/>
          </w:tcPr>
          <w:p w14:paraId="79B31CEC">
            <w:pPr>
              <w:pStyle w:val="27"/>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Ansi="宋体"/>
              </w:rPr>
            </w:pPr>
            <w:r>
              <w:rPr>
                <w:rFonts w:hint="eastAsia" w:hAnsi="宋体"/>
              </w:rPr>
              <w:t>8</w:t>
            </w:r>
          </w:p>
        </w:tc>
        <w:tc>
          <w:tcPr>
            <w:tcW w:w="1038" w:type="dxa"/>
            <w:vAlign w:val="center"/>
          </w:tcPr>
          <w:p w14:paraId="18D0FD2A">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Ansi="宋体"/>
              </w:rPr>
            </w:pPr>
            <w:r>
              <w:rPr>
                <w:rFonts w:hint="eastAsia" w:hAnsi="宋体"/>
              </w:rPr>
              <w:t>投标有效期</w:t>
            </w:r>
          </w:p>
        </w:tc>
        <w:tc>
          <w:tcPr>
            <w:tcW w:w="6520" w:type="dxa"/>
          </w:tcPr>
          <w:p w14:paraId="76D6D6FA">
            <w:pPr>
              <w:pStyle w:val="27"/>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Ansi="宋体"/>
              </w:rPr>
            </w:pPr>
            <w:r>
              <w:rPr>
                <w:rFonts w:hint="eastAsia" w:hAnsi="宋体"/>
              </w:rPr>
              <w:t>9</w:t>
            </w:r>
          </w:p>
        </w:tc>
        <w:tc>
          <w:tcPr>
            <w:tcW w:w="1038" w:type="dxa"/>
            <w:vAlign w:val="center"/>
          </w:tcPr>
          <w:p w14:paraId="5033C374">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Ansi="宋体"/>
              </w:rPr>
            </w:pPr>
            <w:r>
              <w:rPr>
                <w:rFonts w:hint="eastAsia" w:hAnsi="宋体"/>
              </w:rPr>
              <w:t>10</w:t>
            </w:r>
          </w:p>
        </w:tc>
        <w:tc>
          <w:tcPr>
            <w:tcW w:w="1038" w:type="dxa"/>
            <w:vAlign w:val="center"/>
          </w:tcPr>
          <w:p w14:paraId="7DBEC1C9">
            <w:pPr>
              <w:pStyle w:val="27"/>
              <w:spacing w:line="360" w:lineRule="auto"/>
              <w:jc w:val="center"/>
              <w:rPr>
                <w:rFonts w:hAnsi="宋体"/>
              </w:rPr>
            </w:pPr>
            <w:r>
              <w:rPr>
                <w:rFonts w:hint="eastAsia" w:hAnsi="宋体"/>
              </w:rPr>
              <w:t>16.1</w:t>
            </w:r>
          </w:p>
        </w:tc>
        <w:tc>
          <w:tcPr>
            <w:tcW w:w="1843" w:type="dxa"/>
            <w:vAlign w:val="center"/>
          </w:tcPr>
          <w:p w14:paraId="097D75BC">
            <w:pPr>
              <w:pStyle w:val="27"/>
              <w:spacing w:line="360" w:lineRule="auto"/>
              <w:jc w:val="center"/>
              <w:rPr>
                <w:rFonts w:hAnsi="宋体"/>
              </w:rPr>
            </w:pPr>
            <w:r>
              <w:rPr>
                <w:rFonts w:hint="eastAsia" w:hAnsi="宋体"/>
              </w:rPr>
              <w:t>投标预备会</w:t>
            </w:r>
          </w:p>
          <w:p w14:paraId="46F7F572">
            <w:pPr>
              <w:pStyle w:val="27"/>
              <w:spacing w:line="360" w:lineRule="auto"/>
              <w:jc w:val="center"/>
              <w:rPr>
                <w:rFonts w:hAnsi="宋体"/>
              </w:rPr>
            </w:pPr>
            <w:r>
              <w:rPr>
                <w:rFonts w:hint="eastAsia" w:hAnsi="宋体"/>
              </w:rPr>
              <w:t>（答疑会）</w:t>
            </w:r>
          </w:p>
        </w:tc>
        <w:tc>
          <w:tcPr>
            <w:tcW w:w="6520" w:type="dxa"/>
            <w:vAlign w:val="center"/>
          </w:tcPr>
          <w:p w14:paraId="4F9A2586">
            <w:pPr>
              <w:pStyle w:val="27"/>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Ansi="宋体"/>
              </w:rPr>
            </w:pPr>
            <w:r>
              <w:rPr>
                <w:rFonts w:hint="eastAsia" w:hAnsi="宋体"/>
              </w:rPr>
              <w:t>11</w:t>
            </w:r>
          </w:p>
        </w:tc>
        <w:tc>
          <w:tcPr>
            <w:tcW w:w="1038" w:type="dxa"/>
            <w:vAlign w:val="center"/>
          </w:tcPr>
          <w:p w14:paraId="2D0122F2">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Ansi="宋体"/>
              </w:rPr>
            </w:pPr>
            <w:r>
              <w:rPr>
                <w:rFonts w:hint="eastAsia" w:hAnsi="宋体"/>
              </w:rPr>
              <w:t>投标文件数量</w:t>
            </w:r>
          </w:p>
        </w:tc>
        <w:tc>
          <w:tcPr>
            <w:tcW w:w="6520" w:type="dxa"/>
          </w:tcPr>
          <w:p w14:paraId="69A1C2D8">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Ansi="宋体"/>
              </w:rPr>
            </w:pPr>
            <w:r>
              <w:rPr>
                <w:rFonts w:hint="eastAsia" w:hAnsi="宋体"/>
              </w:rPr>
              <w:t>12</w:t>
            </w:r>
          </w:p>
        </w:tc>
        <w:tc>
          <w:tcPr>
            <w:tcW w:w="1038" w:type="dxa"/>
            <w:vAlign w:val="center"/>
          </w:tcPr>
          <w:p w14:paraId="4E188869">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Ansi="宋体"/>
              </w:rPr>
            </w:pPr>
            <w:r>
              <w:rPr>
                <w:rFonts w:hint="eastAsia" w:hAnsi="宋体"/>
              </w:rPr>
              <w:t>开标</w:t>
            </w:r>
          </w:p>
        </w:tc>
        <w:tc>
          <w:tcPr>
            <w:tcW w:w="6520" w:type="dxa"/>
          </w:tcPr>
          <w:p w14:paraId="6D3C1C2E">
            <w:pPr>
              <w:pStyle w:val="27"/>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Ansi="宋体"/>
              </w:rPr>
            </w:pPr>
            <w:r>
              <w:rPr>
                <w:rFonts w:hint="eastAsia" w:hAnsi="宋体"/>
              </w:rPr>
              <w:t>13</w:t>
            </w:r>
          </w:p>
        </w:tc>
        <w:tc>
          <w:tcPr>
            <w:tcW w:w="1038" w:type="dxa"/>
            <w:vAlign w:val="center"/>
          </w:tcPr>
          <w:p w14:paraId="74C80F3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Ansi="宋体"/>
              </w:rPr>
            </w:pPr>
            <w:r>
              <w:rPr>
                <w:rFonts w:hint="eastAsia" w:hAnsi="宋体"/>
              </w:rPr>
              <w:t>投标截止时间</w:t>
            </w:r>
          </w:p>
        </w:tc>
        <w:tc>
          <w:tcPr>
            <w:tcW w:w="6520" w:type="dxa"/>
          </w:tcPr>
          <w:p w14:paraId="11514B42">
            <w:pPr>
              <w:pStyle w:val="27"/>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Ansi="宋体"/>
              </w:rPr>
            </w:pPr>
            <w:r>
              <w:rPr>
                <w:rFonts w:hint="eastAsia" w:hAnsi="宋体"/>
              </w:rPr>
              <w:t>14</w:t>
            </w:r>
          </w:p>
        </w:tc>
        <w:tc>
          <w:tcPr>
            <w:tcW w:w="1038" w:type="dxa"/>
            <w:vAlign w:val="center"/>
          </w:tcPr>
          <w:p w14:paraId="61DC3D01">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Ansi="宋体"/>
              </w:rPr>
            </w:pPr>
            <w:r>
              <w:rPr>
                <w:rFonts w:hint="eastAsia" w:hAnsi="宋体"/>
              </w:rPr>
              <w:t>评标办法</w:t>
            </w:r>
          </w:p>
        </w:tc>
        <w:tc>
          <w:tcPr>
            <w:tcW w:w="6520" w:type="dxa"/>
          </w:tcPr>
          <w:p w14:paraId="3F44DD43">
            <w:pPr>
              <w:pStyle w:val="27"/>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Ansi="宋体"/>
              </w:rPr>
            </w:pPr>
            <w:r>
              <w:rPr>
                <w:rFonts w:hint="eastAsia" w:hAnsi="宋体"/>
              </w:rPr>
              <w:t>15</w:t>
            </w:r>
          </w:p>
        </w:tc>
        <w:tc>
          <w:tcPr>
            <w:tcW w:w="1038" w:type="dxa"/>
            <w:vAlign w:val="center"/>
          </w:tcPr>
          <w:p w14:paraId="557E05EA">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Ansi="宋体"/>
              </w:rPr>
            </w:pPr>
            <w:r>
              <w:rPr>
                <w:rFonts w:hint="eastAsia" w:hAnsi="宋体"/>
              </w:rPr>
              <w:t>16</w:t>
            </w:r>
          </w:p>
        </w:tc>
        <w:tc>
          <w:tcPr>
            <w:tcW w:w="1038" w:type="dxa"/>
            <w:vAlign w:val="center"/>
          </w:tcPr>
          <w:p w14:paraId="065D8B8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20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6</w:t>
            </w:r>
            <w:r>
              <w:rPr>
                <w:rFonts w:hint="eastAsia" w:asciiTheme="minorEastAsia" w:hAnsiTheme="minorEastAsia" w:eastAsiaTheme="minorEastAsia"/>
              </w:rPr>
              <w:t>000元。</w:t>
            </w:r>
          </w:p>
          <w:p w14:paraId="3C81C024">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31468"/>
      <w:bookmarkStart w:id="37" w:name="_Toc25194"/>
      <w:bookmarkStart w:id="38" w:name="_Toc44691395"/>
      <w:bookmarkStart w:id="39" w:name="_Toc44691163"/>
      <w:bookmarkStart w:id="40" w:name="_Toc11772"/>
      <w:bookmarkStart w:id="41" w:name="_Toc14934"/>
      <w:bookmarkStart w:id="42" w:name="_Toc44690704"/>
      <w:bookmarkStart w:id="43" w:name="_Toc135293339"/>
      <w:bookmarkStart w:id="44" w:name="_Toc44690431"/>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73393E35">
      <w:pPr>
        <w:pStyle w:val="4"/>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0A4CF92C">
      <w:pPr>
        <w:pStyle w:val="4"/>
        <w:spacing w:line="400" w:lineRule="exact"/>
        <w:rPr>
          <w:rFonts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7"/>
        <w:spacing w:line="360" w:lineRule="auto"/>
        <w:ind w:firstLine="424" w:firstLineChars="201"/>
        <w:rPr>
          <w:rFonts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0432"/>
      <w:bookmarkStart w:id="53" w:name="_Toc44691396"/>
      <w:bookmarkStart w:id="54" w:name="_Toc44691164"/>
      <w:bookmarkStart w:id="55" w:name="_Toc135293343"/>
      <w:bookmarkStart w:id="56" w:name="_Toc44690705"/>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mc:Fallback>
        </mc:AlternateConten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rPr>
        <w:t>电话：</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mc:Fallback>
        </mc:AlternateConten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0" w:name="_Toc135293346"/>
      <w:r>
        <w:rPr>
          <w:rFonts w:hint="eastAsia" w:asciiTheme="minorEastAsia" w:hAnsiTheme="minorEastAsia" w:eastAsiaTheme="minorEastAsia"/>
        </w:rPr>
        <w:t xml:space="preserve">格式4  </w:t>
      </w:r>
      <w:bookmarkEnd w:id="60"/>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2" w:name="_Toc44690706"/>
      <w:bookmarkStart w:id="63" w:name="_Toc44691397"/>
      <w:bookmarkStart w:id="64" w:name="_Toc44691165"/>
      <w:bookmarkStart w:id="65" w:name="_Toc135293347"/>
      <w:bookmarkStart w:id="66" w:name="_Toc44690433"/>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高中部网络中心机房改造</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135293348"/>
      <w:bookmarkStart w:id="68" w:name="_Toc44690707"/>
      <w:bookmarkStart w:id="69" w:name="_Toc44690434"/>
      <w:bookmarkStart w:id="70" w:name="_Toc44691166"/>
      <w:bookmarkStart w:id="71" w:name="_Toc44691398"/>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61D0A935">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26BB697C">
      <w:pPr>
        <w:adjustRightInd w:val="0"/>
        <w:snapToGrid w:val="0"/>
        <w:spacing w:line="300" w:lineRule="auto"/>
        <w:jc w:val="center"/>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0435"/>
      <w:bookmarkStart w:id="73" w:name="_Toc44691167"/>
      <w:bookmarkStart w:id="74" w:name="_Toc44690708"/>
      <w:bookmarkStart w:id="75" w:name="_Toc44691399"/>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70B4EFF4">
      <w:pPr>
        <w:spacing w:line="360" w:lineRule="auto"/>
        <w:ind w:left="420"/>
        <w:rPr>
          <w:rFonts w:hint="eastAsia" w:ascii="宋体" w:hAnsi="宋体"/>
          <w:lang w:val="en-US" w:eastAsia="zh-CN"/>
        </w:rPr>
      </w:pPr>
      <w:r>
        <w:rPr>
          <w:rFonts w:hint="eastAsia" w:ascii="宋体" w:hAnsi="宋体"/>
        </w:rPr>
        <w:t>6、</w:t>
      </w:r>
      <w:r>
        <w:rPr>
          <w:rFonts w:hint="eastAsia" w:ascii="宋体" w:hAnsi="宋体"/>
          <w:lang w:val="en-US" w:eastAsia="zh-CN"/>
        </w:rPr>
        <w:t>项目技术方案</w:t>
      </w:r>
    </w:p>
    <w:p w14:paraId="6C266313">
      <w:pPr>
        <w:spacing w:line="360" w:lineRule="auto"/>
        <w:ind w:left="420"/>
        <w:rPr>
          <w:rFonts w:hint="eastAsia" w:ascii="宋体" w:hAnsi="宋体"/>
          <w:lang w:val="en-US" w:eastAsia="zh-CN"/>
        </w:rPr>
      </w:pPr>
      <w:r>
        <w:rPr>
          <w:rFonts w:hint="eastAsia" w:ascii="宋体" w:hAnsi="宋体"/>
          <w:lang w:val="en-US" w:eastAsia="zh-CN"/>
        </w:rPr>
        <w:t>7、售后负责人及团队人员情况</w:t>
      </w:r>
    </w:p>
    <w:p w14:paraId="79F43C19">
      <w:pPr>
        <w:spacing w:line="360" w:lineRule="auto"/>
        <w:ind w:left="420"/>
        <w:rPr>
          <w:rFonts w:ascii="宋体" w:hAnsi="宋体"/>
        </w:rPr>
      </w:pPr>
      <w:r>
        <w:rPr>
          <w:rFonts w:hint="eastAsia" w:ascii="宋体" w:hAnsi="宋体"/>
          <w:lang w:val="en-US" w:eastAsia="zh-CN"/>
        </w:rPr>
        <w:t>8、</w:t>
      </w:r>
      <w:r>
        <w:rPr>
          <w:rFonts w:hint="eastAsia" w:ascii="宋体" w:hAnsi="宋体"/>
        </w:rPr>
        <w:t>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555465F6">
      <w:bookmarkStart w:id="77" w:name="_Toc135293350"/>
    </w:p>
    <w:p w14:paraId="478CFD36"/>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1168"/>
      <w:bookmarkStart w:id="79" w:name="_Toc44691400"/>
      <w:bookmarkStart w:id="80" w:name="_Toc44690436"/>
      <w:bookmarkStart w:id="81" w:name="_Toc44690709"/>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q15"/>
      <w:bookmarkEnd w:id="83"/>
      <w:bookmarkStart w:id="84" w:name="_格式2__投标保证金凭证"/>
      <w:bookmarkEnd w:id="84"/>
      <w:bookmarkStart w:id="85" w:name="q16"/>
      <w:bookmarkEnd w:id="85"/>
      <w:bookmarkStart w:id="86" w:name="q17"/>
      <w:bookmarkEnd w:id="86"/>
      <w:bookmarkStart w:id="87" w:name="_格式5__"/>
      <w:bookmarkEnd w:id="87"/>
      <w:bookmarkStart w:id="88" w:name="_格式3__"/>
      <w:bookmarkEnd w:id="88"/>
      <w:bookmarkStart w:id="89" w:name="_格式4__"/>
      <w:bookmarkEnd w:id="89"/>
      <w:r>
        <w:rPr>
          <w:rFonts w:asciiTheme="minorEastAsia" w:hAnsiTheme="minorEastAsia" w:eastAsiaTheme="minorEastAsia"/>
        </w:rPr>
        <w:tab/>
      </w:r>
      <w:bookmarkStart w:id="90" w:name="_Toc44691169"/>
      <w:bookmarkStart w:id="91" w:name="_Toc44691401"/>
      <w:bookmarkStart w:id="92" w:name="_Toc44690710"/>
      <w:bookmarkStart w:id="93" w:name="_Toc135293352"/>
      <w:bookmarkStart w:id="94" w:name="_Toc44690437"/>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0" w:name="_Toc135293356"/>
      <w:r>
        <w:rPr>
          <w:rFonts w:hint="eastAsia"/>
        </w:rPr>
        <w:t>第九章  附件</w:t>
      </w:r>
      <w:bookmarkEnd w:id="100"/>
    </w:p>
    <w:p w14:paraId="0FD850FA">
      <w:pPr>
        <w:pStyle w:val="4"/>
        <w:spacing w:before="0" w:after="0"/>
      </w:pPr>
      <w:bookmarkStart w:id="101" w:name="_Toc73613644"/>
      <w:bookmarkStart w:id="102" w:name="_Toc135293357"/>
      <w:bookmarkStart w:id="103" w:name="_Toc73610162"/>
      <w:r>
        <w:rPr>
          <w:rFonts w:hint="eastAsia"/>
        </w:rPr>
        <w:t>一、财政部 工业和信息化部关于印发《政府采购促进中小企业发展管理办法》的通知</w:t>
      </w:r>
      <w:bookmarkEnd w:id="101"/>
      <w:bookmarkEnd w:id="102"/>
      <w:bookmarkEnd w:id="103"/>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4" w:name="_Toc73610163"/>
      <w:bookmarkStart w:id="105" w:name="_Toc73613645"/>
      <w:bookmarkStart w:id="106" w:name="_Toc135293358"/>
      <w:r>
        <w:rPr>
          <w:rFonts w:hint="eastAsia"/>
        </w:rPr>
        <w:t>二、关于印发中小企业划型标准规定的通知</w:t>
      </w:r>
      <w:bookmarkEnd w:id="104"/>
      <w:bookmarkEnd w:id="105"/>
      <w:bookmarkEnd w:id="106"/>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7" w:name="_Toc73610164"/>
      <w:bookmarkStart w:id="108" w:name="_Toc135293359"/>
      <w:bookmarkStart w:id="109" w:name="_Toc73613646"/>
      <w:r>
        <w:rPr>
          <w:rFonts w:hint="eastAsia"/>
        </w:rPr>
        <w:t>三、</w:t>
      </w:r>
      <w:r>
        <w:t>国家统计局关于印发《统计上大中小微型企业划分办法 （2017）》的通知</w:t>
      </w:r>
      <w:bookmarkEnd w:id="107"/>
      <w:bookmarkEnd w:id="108"/>
      <w:bookmarkEnd w:id="109"/>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0" w:name="_Toc135293360"/>
      <w:bookmarkStart w:id="111" w:name="_Toc73613647"/>
      <w:bookmarkStart w:id="112" w:name="_Toc73610165"/>
      <w:r>
        <w:rPr>
          <w:rFonts w:hint="eastAsia"/>
        </w:rPr>
        <w:t>四、</w:t>
      </w:r>
      <w:r>
        <w:t>财政部 民政部 中国残疾人联合会关于促进残疾人就业 政府采购政策的通知</w:t>
      </w:r>
      <w:bookmarkEnd w:id="110"/>
      <w:bookmarkEnd w:id="111"/>
      <w:bookmarkEnd w:id="112"/>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3" w:name="_Toc135293361"/>
      <w:r>
        <w:rPr>
          <w:rFonts w:hint="eastAsia"/>
        </w:rPr>
        <w:t>五、财政部 司法部关于政府采购支持监狱企业发展有关问题的通知</w:t>
      </w:r>
      <w:bookmarkEnd w:id="113"/>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C8945E3">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高中部网络中心机房改造</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SZZZ2026-QA0131</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10156E"/>
    <w:rsid w:val="01F0299B"/>
    <w:rsid w:val="026418BC"/>
    <w:rsid w:val="026E4F91"/>
    <w:rsid w:val="02CB7BFB"/>
    <w:rsid w:val="036673EF"/>
    <w:rsid w:val="03B206B2"/>
    <w:rsid w:val="03C5231B"/>
    <w:rsid w:val="03E27F04"/>
    <w:rsid w:val="03E3066E"/>
    <w:rsid w:val="041D095D"/>
    <w:rsid w:val="056C33E8"/>
    <w:rsid w:val="059A3767"/>
    <w:rsid w:val="05C018BB"/>
    <w:rsid w:val="05C87DB9"/>
    <w:rsid w:val="065754CA"/>
    <w:rsid w:val="07C531B9"/>
    <w:rsid w:val="07CD7519"/>
    <w:rsid w:val="07EC4BEA"/>
    <w:rsid w:val="08013603"/>
    <w:rsid w:val="08B715FA"/>
    <w:rsid w:val="08C46DDE"/>
    <w:rsid w:val="08DE0889"/>
    <w:rsid w:val="0961739E"/>
    <w:rsid w:val="098E6083"/>
    <w:rsid w:val="0AB84641"/>
    <w:rsid w:val="0B205B2B"/>
    <w:rsid w:val="0B782559"/>
    <w:rsid w:val="0B8A1F62"/>
    <w:rsid w:val="0BBF77AA"/>
    <w:rsid w:val="0BF820F3"/>
    <w:rsid w:val="0C000225"/>
    <w:rsid w:val="0D566BC9"/>
    <w:rsid w:val="0E180322"/>
    <w:rsid w:val="0E8C4995"/>
    <w:rsid w:val="0EE84646"/>
    <w:rsid w:val="0EF27BFB"/>
    <w:rsid w:val="0F676546"/>
    <w:rsid w:val="0F691730"/>
    <w:rsid w:val="0F8B6247"/>
    <w:rsid w:val="0FBC50EF"/>
    <w:rsid w:val="101A0A07"/>
    <w:rsid w:val="10862725"/>
    <w:rsid w:val="115F3FD7"/>
    <w:rsid w:val="11A259DD"/>
    <w:rsid w:val="11F936CD"/>
    <w:rsid w:val="120027E5"/>
    <w:rsid w:val="120474A0"/>
    <w:rsid w:val="12693A35"/>
    <w:rsid w:val="13102ABE"/>
    <w:rsid w:val="14196AC8"/>
    <w:rsid w:val="14C0017C"/>
    <w:rsid w:val="153E559C"/>
    <w:rsid w:val="15660BCB"/>
    <w:rsid w:val="162063B0"/>
    <w:rsid w:val="167D280D"/>
    <w:rsid w:val="17047766"/>
    <w:rsid w:val="17771FF6"/>
    <w:rsid w:val="17935895"/>
    <w:rsid w:val="17F52C18"/>
    <w:rsid w:val="182F3D23"/>
    <w:rsid w:val="184530EF"/>
    <w:rsid w:val="19227A4B"/>
    <w:rsid w:val="1A32142F"/>
    <w:rsid w:val="1AD90737"/>
    <w:rsid w:val="1B3E182A"/>
    <w:rsid w:val="1B4B5195"/>
    <w:rsid w:val="1C0826B8"/>
    <w:rsid w:val="1C174C6F"/>
    <w:rsid w:val="1C7C020D"/>
    <w:rsid w:val="1C8F78BA"/>
    <w:rsid w:val="1C9B0D84"/>
    <w:rsid w:val="1CDD3F3B"/>
    <w:rsid w:val="1D4D6869"/>
    <w:rsid w:val="1D736597"/>
    <w:rsid w:val="1E184526"/>
    <w:rsid w:val="1E3F2E81"/>
    <w:rsid w:val="1E84597F"/>
    <w:rsid w:val="20476AE3"/>
    <w:rsid w:val="20586741"/>
    <w:rsid w:val="21760101"/>
    <w:rsid w:val="21F4658A"/>
    <w:rsid w:val="22B25284"/>
    <w:rsid w:val="22B57AA5"/>
    <w:rsid w:val="22C07D9F"/>
    <w:rsid w:val="22CE4518"/>
    <w:rsid w:val="23056CBA"/>
    <w:rsid w:val="234C1E42"/>
    <w:rsid w:val="23636EA1"/>
    <w:rsid w:val="23762A54"/>
    <w:rsid w:val="23786031"/>
    <w:rsid w:val="23C6059E"/>
    <w:rsid w:val="23C95079"/>
    <w:rsid w:val="24031A53"/>
    <w:rsid w:val="24307C26"/>
    <w:rsid w:val="248E5D4C"/>
    <w:rsid w:val="24C47897"/>
    <w:rsid w:val="24CF6320"/>
    <w:rsid w:val="24E337F8"/>
    <w:rsid w:val="256E0C8A"/>
    <w:rsid w:val="258D3B57"/>
    <w:rsid w:val="261E01AA"/>
    <w:rsid w:val="262336EE"/>
    <w:rsid w:val="269E4C0C"/>
    <w:rsid w:val="26F535EA"/>
    <w:rsid w:val="27024D1A"/>
    <w:rsid w:val="27463B6A"/>
    <w:rsid w:val="29A41135"/>
    <w:rsid w:val="2A855D0B"/>
    <w:rsid w:val="2AD85037"/>
    <w:rsid w:val="2B25203D"/>
    <w:rsid w:val="2BB4516F"/>
    <w:rsid w:val="2BD0253B"/>
    <w:rsid w:val="2C444480"/>
    <w:rsid w:val="2C564DC3"/>
    <w:rsid w:val="2CA9220C"/>
    <w:rsid w:val="2D012891"/>
    <w:rsid w:val="2D142E8B"/>
    <w:rsid w:val="2D6C141D"/>
    <w:rsid w:val="2DA973AD"/>
    <w:rsid w:val="2DAA74E3"/>
    <w:rsid w:val="2E4470AA"/>
    <w:rsid w:val="2EB64B4B"/>
    <w:rsid w:val="2EDB590A"/>
    <w:rsid w:val="2F0A29E3"/>
    <w:rsid w:val="2F697D8F"/>
    <w:rsid w:val="306B5DA3"/>
    <w:rsid w:val="30817D6A"/>
    <w:rsid w:val="31367970"/>
    <w:rsid w:val="3157114E"/>
    <w:rsid w:val="31EB07E1"/>
    <w:rsid w:val="31F2037F"/>
    <w:rsid w:val="320A0AF5"/>
    <w:rsid w:val="329B11F6"/>
    <w:rsid w:val="32F77563"/>
    <w:rsid w:val="336E087E"/>
    <w:rsid w:val="337D4039"/>
    <w:rsid w:val="33C3087D"/>
    <w:rsid w:val="348B4A67"/>
    <w:rsid w:val="34CC09C2"/>
    <w:rsid w:val="34EB0D54"/>
    <w:rsid w:val="35961B12"/>
    <w:rsid w:val="359C5D0B"/>
    <w:rsid w:val="364523AD"/>
    <w:rsid w:val="36700D38"/>
    <w:rsid w:val="36C4673D"/>
    <w:rsid w:val="37741632"/>
    <w:rsid w:val="37B10B63"/>
    <w:rsid w:val="37D17C49"/>
    <w:rsid w:val="382F352C"/>
    <w:rsid w:val="388F766F"/>
    <w:rsid w:val="38C464B7"/>
    <w:rsid w:val="390721D7"/>
    <w:rsid w:val="39272BC2"/>
    <w:rsid w:val="393B510C"/>
    <w:rsid w:val="393F4767"/>
    <w:rsid w:val="39A97E97"/>
    <w:rsid w:val="39BF365D"/>
    <w:rsid w:val="3A260C29"/>
    <w:rsid w:val="3A6A095C"/>
    <w:rsid w:val="3B1640F8"/>
    <w:rsid w:val="3B57268D"/>
    <w:rsid w:val="3B6176CE"/>
    <w:rsid w:val="3BD24DDA"/>
    <w:rsid w:val="3BDC1949"/>
    <w:rsid w:val="3BF9504C"/>
    <w:rsid w:val="3C8D362E"/>
    <w:rsid w:val="3CF11603"/>
    <w:rsid w:val="3D6F4D41"/>
    <w:rsid w:val="3D7507FB"/>
    <w:rsid w:val="3EB5127A"/>
    <w:rsid w:val="3F503E5E"/>
    <w:rsid w:val="3FC16214"/>
    <w:rsid w:val="402B7147"/>
    <w:rsid w:val="41045A2C"/>
    <w:rsid w:val="41576FF8"/>
    <w:rsid w:val="4193593E"/>
    <w:rsid w:val="41D9164E"/>
    <w:rsid w:val="41DD521D"/>
    <w:rsid w:val="423B7022"/>
    <w:rsid w:val="42B863A9"/>
    <w:rsid w:val="4389060E"/>
    <w:rsid w:val="43C8028A"/>
    <w:rsid w:val="43D51667"/>
    <w:rsid w:val="43DA2D47"/>
    <w:rsid w:val="43DF47E9"/>
    <w:rsid w:val="443B2C25"/>
    <w:rsid w:val="44811914"/>
    <w:rsid w:val="448421F1"/>
    <w:rsid w:val="45D37D9B"/>
    <w:rsid w:val="46896F24"/>
    <w:rsid w:val="474E1BEF"/>
    <w:rsid w:val="47842F50"/>
    <w:rsid w:val="48194FD5"/>
    <w:rsid w:val="484514CB"/>
    <w:rsid w:val="48516103"/>
    <w:rsid w:val="48C86EE1"/>
    <w:rsid w:val="49FA6EF8"/>
    <w:rsid w:val="4A234CD8"/>
    <w:rsid w:val="4A784961"/>
    <w:rsid w:val="4ABD2E7A"/>
    <w:rsid w:val="4ACF3A3C"/>
    <w:rsid w:val="4AD62F03"/>
    <w:rsid w:val="4B1700DF"/>
    <w:rsid w:val="4B3C4946"/>
    <w:rsid w:val="4C0141D4"/>
    <w:rsid w:val="4C4030C5"/>
    <w:rsid w:val="4D7D581F"/>
    <w:rsid w:val="4F0F6A19"/>
    <w:rsid w:val="503126A7"/>
    <w:rsid w:val="5151526B"/>
    <w:rsid w:val="51B81C05"/>
    <w:rsid w:val="51D10A66"/>
    <w:rsid w:val="51EB659B"/>
    <w:rsid w:val="528A390F"/>
    <w:rsid w:val="528C6991"/>
    <w:rsid w:val="536743D0"/>
    <w:rsid w:val="54054633"/>
    <w:rsid w:val="540605E4"/>
    <w:rsid w:val="54670726"/>
    <w:rsid w:val="547F0032"/>
    <w:rsid w:val="54A02A20"/>
    <w:rsid w:val="55C87B3E"/>
    <w:rsid w:val="5612444E"/>
    <w:rsid w:val="56302085"/>
    <w:rsid w:val="56804F1E"/>
    <w:rsid w:val="57ED5283"/>
    <w:rsid w:val="582964DE"/>
    <w:rsid w:val="58604D9A"/>
    <w:rsid w:val="58D67D8C"/>
    <w:rsid w:val="58E10577"/>
    <w:rsid w:val="59165EF7"/>
    <w:rsid w:val="59702A12"/>
    <w:rsid w:val="5AC11BEA"/>
    <w:rsid w:val="5AED2A9C"/>
    <w:rsid w:val="5BC746C9"/>
    <w:rsid w:val="5C2B6EE8"/>
    <w:rsid w:val="5CC61F72"/>
    <w:rsid w:val="5CF10C74"/>
    <w:rsid w:val="5CF206F7"/>
    <w:rsid w:val="5E0B3D5F"/>
    <w:rsid w:val="5E6415B9"/>
    <w:rsid w:val="5E8F1C6F"/>
    <w:rsid w:val="5EA0340D"/>
    <w:rsid w:val="5ED66C3C"/>
    <w:rsid w:val="5F843350"/>
    <w:rsid w:val="5F8F25F5"/>
    <w:rsid w:val="5FDD643B"/>
    <w:rsid w:val="607532DC"/>
    <w:rsid w:val="60BA3E42"/>
    <w:rsid w:val="60DB6CE7"/>
    <w:rsid w:val="6194383B"/>
    <w:rsid w:val="61A14A39"/>
    <w:rsid w:val="61CB5375"/>
    <w:rsid w:val="623348CA"/>
    <w:rsid w:val="62511574"/>
    <w:rsid w:val="64191A38"/>
    <w:rsid w:val="65CA685B"/>
    <w:rsid w:val="65CF34A7"/>
    <w:rsid w:val="65F660EF"/>
    <w:rsid w:val="6673798C"/>
    <w:rsid w:val="673905B6"/>
    <w:rsid w:val="67CF1F44"/>
    <w:rsid w:val="681C3942"/>
    <w:rsid w:val="68460AAC"/>
    <w:rsid w:val="68AC1CFE"/>
    <w:rsid w:val="68E4579B"/>
    <w:rsid w:val="69C754B6"/>
    <w:rsid w:val="6A324010"/>
    <w:rsid w:val="6A5D4A41"/>
    <w:rsid w:val="6A7F580E"/>
    <w:rsid w:val="6B5F32A5"/>
    <w:rsid w:val="6B7B5E19"/>
    <w:rsid w:val="6BB4707C"/>
    <w:rsid w:val="6BCD1DE6"/>
    <w:rsid w:val="6C434E84"/>
    <w:rsid w:val="6C505023"/>
    <w:rsid w:val="6C7532B5"/>
    <w:rsid w:val="6D14299F"/>
    <w:rsid w:val="6D36104E"/>
    <w:rsid w:val="6D672A1E"/>
    <w:rsid w:val="6D745447"/>
    <w:rsid w:val="6DC237D1"/>
    <w:rsid w:val="6F3B3713"/>
    <w:rsid w:val="6F40725E"/>
    <w:rsid w:val="6F5376BA"/>
    <w:rsid w:val="711172CF"/>
    <w:rsid w:val="71166CCD"/>
    <w:rsid w:val="71FD54DD"/>
    <w:rsid w:val="72025180"/>
    <w:rsid w:val="72D64389"/>
    <w:rsid w:val="73855BD1"/>
    <w:rsid w:val="7410294D"/>
    <w:rsid w:val="741F3809"/>
    <w:rsid w:val="757B0F93"/>
    <w:rsid w:val="7589009F"/>
    <w:rsid w:val="75CC648C"/>
    <w:rsid w:val="75E25B0A"/>
    <w:rsid w:val="76D71644"/>
    <w:rsid w:val="76DB54DE"/>
    <w:rsid w:val="76F45B53"/>
    <w:rsid w:val="771B43E0"/>
    <w:rsid w:val="775B1D3D"/>
    <w:rsid w:val="776C2FB6"/>
    <w:rsid w:val="77741C69"/>
    <w:rsid w:val="77FD1636"/>
    <w:rsid w:val="780D6D66"/>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EEB0BF3"/>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09">
    <w:name w:val="Ｒ07-正!!文"/>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108</Pages>
  <Words>5083</Words>
  <Characters>5346</Characters>
  <Lines>483</Lines>
  <Paragraphs>136</Paragraphs>
  <TotalTime>5</TotalTime>
  <ScaleCrop>false</ScaleCrop>
  <LinksUpToDate>false</LinksUpToDate>
  <CharactersWithSpaces>5489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绮</cp:lastModifiedBy>
  <cp:lastPrinted>2020-05-26T01:03:00Z</cp:lastPrinted>
  <dcterms:modified xsi:type="dcterms:W3CDTF">2026-06-18T07:00:15Z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DAF3D988390B44A3A2A47F6296319849_13</vt:lpwstr>
  </property>
  <property fmtid="{D5CDD505-2E9C-101B-9397-08002B2CF9AE}" pid="4" name="KSOTemplateDocerSaveRecord">
    <vt:lpwstr>eyJoZGlkIjoiY2Y5OTA2MGI3MGFmOGU0NTE2YWU2ZGI5ZDJmMmNkMGUiLCJ1c2VySWQiOiI3MDgxMTIyMzEifQ==</vt:lpwstr>
  </property>
</Properties>
</file>