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7A8E3">
      <w:pPr>
        <w:adjustRightInd w:val="0"/>
        <w:snapToGrid w:val="0"/>
        <w:spacing w:line="300" w:lineRule="auto"/>
        <w:jc w:val="left"/>
        <w:rPr>
          <w:b/>
          <w:bCs/>
          <w:snapToGrid w:val="0"/>
          <w:kern w:val="0"/>
          <w:sz w:val="28"/>
          <w:szCs w:val="28"/>
        </w:rPr>
      </w:pPr>
      <w:r>
        <w:rPr>
          <w:b/>
          <w:bCs/>
          <w:snapToGrid w:val="0"/>
          <w:kern w:val="0"/>
          <w:sz w:val="28"/>
          <w:szCs w:val="28"/>
        </w:rPr>
        <w:pict>
          <v:rect id="1026" o:spid="_x0000_s2069" o:spt="1" style="position:absolute;left:0pt;margin-left:45.7pt;margin-top:-3.3pt;height:46.8pt;width:294.8pt;z-index:251659264;mso-width-relative:page;mso-height-relative:page;" stroked="t" coordsize="21600,21600">
            <v:path/>
            <v:fill focussize="0,0"/>
            <v:stroke color="#FFFFFF"/>
            <v:imagedata o:title=""/>
            <o:lock v:ext="edit"/>
            <v:textbox>
              <w:txbxContent>
                <w:p w14:paraId="130856BF">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BA98360">
                  <w:pPr>
                    <w:spacing w:line="400" w:lineRule="exact"/>
                    <w:rPr>
                      <w:rFonts w:ascii="仿宋" w:hAnsi="仿宋" w:eastAsia="仿宋"/>
                      <w:sz w:val="22"/>
                    </w:rPr>
                  </w:pPr>
                  <w:r>
                    <w:rPr>
                      <w:rFonts w:hint="eastAsia" w:ascii="仿宋" w:hAnsi="仿宋" w:eastAsia="仿宋"/>
                      <w:sz w:val="22"/>
                    </w:rPr>
                    <w:t>SHENZHEN ZHONGZHENG TENDERING CO.,LTD.</w:t>
                  </w:r>
                </w:p>
              </w:txbxContent>
            </v:textbox>
          </v:rect>
        </w:pict>
      </w:r>
      <w:r>
        <w:rPr>
          <w:b/>
          <w:kern w:val="0"/>
          <w:sz w:val="28"/>
          <w:szCs w:val="28"/>
        </w:rPr>
        <w:drawing>
          <wp:inline distT="0" distB="0" distL="0" distR="0">
            <wp:extent cx="551180" cy="473075"/>
            <wp:effectExtent l="57150" t="19050" r="19812" b="0"/>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6" cstate="print"/>
                    <a:srcRect/>
                    <a:stretch>
                      <a:fillRect/>
                    </a:stretch>
                  </pic:blipFill>
                  <pic:spPr>
                    <a:xfrm>
                      <a:off x="0" y="0"/>
                      <a:ext cx="551180" cy="473075"/>
                    </a:xfrm>
                    <a:prstGeom prst="rect">
                      <a:avLst/>
                    </a:prstGeom>
                    <a:solidFill>
                      <a:srgbClr val="FFFFFF"/>
                    </a:solidFill>
                    <a:ln>
                      <a:noFill/>
                    </a:ln>
                  </pic:spPr>
                </pic:pic>
              </a:graphicData>
            </a:graphic>
          </wp:inline>
        </w:drawing>
      </w:r>
    </w:p>
    <w:p w14:paraId="61B79093">
      <w:pPr>
        <w:ind w:left="682" w:leftChars="-203" w:hanging="1108" w:hangingChars="154"/>
        <w:rPr>
          <w:sz w:val="72"/>
          <w:szCs w:val="72"/>
        </w:rPr>
      </w:pPr>
    </w:p>
    <w:p w14:paraId="26FF7B4C">
      <w:pPr>
        <w:adjustRightInd w:val="0"/>
        <w:snapToGrid w:val="0"/>
        <w:spacing w:line="300" w:lineRule="auto"/>
        <w:jc w:val="left"/>
        <w:rPr>
          <w:b/>
          <w:bCs/>
          <w:snapToGrid w:val="0"/>
          <w:kern w:val="0"/>
          <w:sz w:val="28"/>
          <w:szCs w:val="28"/>
        </w:rPr>
      </w:pPr>
    </w:p>
    <w:p w14:paraId="49F87B7A">
      <w:pPr>
        <w:adjustRightInd w:val="0"/>
        <w:snapToGrid w:val="0"/>
        <w:spacing w:line="300" w:lineRule="auto"/>
        <w:jc w:val="left"/>
        <w:rPr>
          <w:b/>
          <w:bCs/>
          <w:snapToGrid w:val="0"/>
          <w:kern w:val="0"/>
          <w:sz w:val="28"/>
          <w:szCs w:val="28"/>
        </w:rPr>
      </w:pPr>
    </w:p>
    <w:p w14:paraId="76531E73">
      <w:pPr>
        <w:adjustRightInd w:val="0"/>
        <w:snapToGrid w:val="0"/>
        <w:spacing w:line="300" w:lineRule="auto"/>
        <w:jc w:val="left"/>
        <w:rPr>
          <w:b/>
          <w:bCs/>
          <w:snapToGrid w:val="0"/>
          <w:kern w:val="0"/>
          <w:sz w:val="28"/>
          <w:szCs w:val="28"/>
        </w:rPr>
      </w:pPr>
    </w:p>
    <w:p w14:paraId="331BC544">
      <w:pPr>
        <w:adjustRightInd w:val="0"/>
        <w:snapToGrid w:val="0"/>
        <w:spacing w:line="300" w:lineRule="auto"/>
        <w:jc w:val="left"/>
        <w:rPr>
          <w:b/>
          <w:bCs/>
          <w:snapToGrid w:val="0"/>
          <w:kern w:val="0"/>
          <w:sz w:val="28"/>
          <w:szCs w:val="28"/>
        </w:rPr>
      </w:pPr>
    </w:p>
    <w:p w14:paraId="2AA53483">
      <w:pPr>
        <w:adjustRightInd w:val="0"/>
        <w:snapToGrid w:val="0"/>
        <w:spacing w:line="300" w:lineRule="auto"/>
        <w:jc w:val="center"/>
        <w:rPr>
          <w:rFonts w:ascii="经典标宋简" w:eastAsia="经典标宋简"/>
          <w:b/>
          <w:snapToGrid w:val="0"/>
          <w:kern w:val="0"/>
          <w:sz w:val="44"/>
          <w:szCs w:val="44"/>
        </w:rPr>
      </w:pPr>
      <w:r>
        <w:rPr>
          <w:rFonts w:hint="eastAsia" w:ascii="宋体" w:hAnsi="宋体"/>
          <w:b/>
          <w:bCs/>
          <w:snapToGrid w:val="0"/>
          <w:kern w:val="0"/>
          <w:sz w:val="72"/>
          <w:szCs w:val="72"/>
          <w:lang w:eastAsia="zh-CN"/>
        </w:rPr>
        <w:t>2026年度医疗责任保险（重新采购第1次）</w:t>
      </w:r>
    </w:p>
    <w:p w14:paraId="2951119A">
      <w:pPr>
        <w:adjustRightInd w:val="0"/>
        <w:snapToGrid w:val="0"/>
        <w:spacing w:line="300" w:lineRule="auto"/>
        <w:jc w:val="center"/>
        <w:rPr>
          <w:rFonts w:ascii="经典标宋简" w:eastAsia="经典标宋简"/>
          <w:b/>
          <w:snapToGrid w:val="0"/>
          <w:kern w:val="0"/>
          <w:sz w:val="44"/>
          <w:szCs w:val="44"/>
        </w:rPr>
      </w:pPr>
    </w:p>
    <w:p w14:paraId="7F3DF472">
      <w:pPr>
        <w:adjustRightInd w:val="0"/>
        <w:snapToGrid w:val="0"/>
        <w:spacing w:line="300" w:lineRule="auto"/>
        <w:jc w:val="center"/>
        <w:rPr>
          <w:rFonts w:ascii="宋体" w:hAnsi="宋体"/>
          <w:b/>
          <w:snapToGrid w:val="0"/>
          <w:kern w:val="0"/>
          <w:sz w:val="90"/>
        </w:rPr>
      </w:pPr>
      <w:r>
        <w:rPr>
          <w:rFonts w:hint="eastAsia" w:ascii="经典标宋简" w:eastAsia="经典标宋简" w:cs="Times New Roman"/>
          <w:b/>
          <w:snapToGrid w:val="0"/>
          <w:kern w:val="0"/>
          <w:sz w:val="80"/>
          <w:szCs w:val="80"/>
          <w:lang w:eastAsia="zh-CN"/>
        </w:rPr>
        <w:t>服务类</w:t>
      </w:r>
      <w:r>
        <w:rPr>
          <w:rFonts w:hint="eastAsia" w:ascii="经典标宋简" w:hAnsi="Times New Roman" w:eastAsia="经典标宋简" w:cs="Times New Roman"/>
          <w:b/>
          <w:snapToGrid w:val="0"/>
          <w:kern w:val="0"/>
          <w:sz w:val="80"/>
          <w:szCs w:val="80"/>
          <w:lang w:eastAsia="zh-CN"/>
        </w:rPr>
        <w:t>采购文件</w:t>
      </w:r>
    </w:p>
    <w:p w14:paraId="7F6CBF1C">
      <w:pPr>
        <w:adjustRightInd w:val="0"/>
        <w:snapToGrid w:val="0"/>
        <w:spacing w:line="300" w:lineRule="auto"/>
        <w:jc w:val="center"/>
        <w:rPr>
          <w:rFonts w:ascii="经典等线简" w:eastAsia="经典等线简"/>
          <w:b/>
          <w:snapToGrid w:val="0"/>
          <w:kern w:val="0"/>
          <w:sz w:val="32"/>
        </w:rPr>
      </w:pPr>
    </w:p>
    <w:p w14:paraId="71EF83BA">
      <w:pPr>
        <w:adjustRightInd w:val="0"/>
        <w:snapToGrid w:val="0"/>
        <w:spacing w:line="300" w:lineRule="auto"/>
        <w:jc w:val="center"/>
        <w:rPr>
          <w:rFonts w:hint="eastAsia" w:ascii="宋体" w:hAnsi="宋体" w:eastAsia="宋体"/>
          <w:b/>
          <w:snapToGrid w:val="0"/>
          <w:kern w:val="0"/>
          <w:sz w:val="32"/>
          <w:lang w:eastAsia="zh-CN"/>
        </w:rPr>
      </w:pPr>
      <w:r>
        <w:rPr>
          <w:rFonts w:hint="eastAsia" w:ascii="宋体" w:hAnsi="宋体"/>
          <w:b/>
          <w:snapToGrid w:val="0"/>
          <w:kern w:val="0"/>
          <w:sz w:val="32"/>
        </w:rPr>
        <w:t>项目编号：</w:t>
      </w:r>
      <w:r>
        <w:rPr>
          <w:rFonts w:hint="eastAsia" w:ascii="宋体" w:hAnsi="宋体"/>
          <w:b/>
          <w:snapToGrid w:val="0"/>
          <w:kern w:val="0"/>
          <w:sz w:val="32"/>
          <w:lang w:eastAsia="zh-CN"/>
        </w:rPr>
        <w:t>LGZXDL-2026-00802（LGQRMYY-2026002A）</w:t>
      </w:r>
    </w:p>
    <w:p w14:paraId="0D1C6383">
      <w:pPr>
        <w:adjustRightInd w:val="0"/>
        <w:snapToGrid w:val="0"/>
        <w:spacing w:line="300" w:lineRule="auto"/>
        <w:jc w:val="center"/>
        <w:rPr>
          <w:rFonts w:ascii="经典等线简" w:eastAsia="经典等线简"/>
          <w:b/>
          <w:snapToGrid w:val="0"/>
          <w:kern w:val="0"/>
          <w:sz w:val="18"/>
          <w:szCs w:val="18"/>
        </w:rPr>
      </w:pPr>
    </w:p>
    <w:p w14:paraId="6565A843">
      <w:pPr>
        <w:adjustRightInd w:val="0"/>
        <w:snapToGrid w:val="0"/>
        <w:spacing w:line="300" w:lineRule="auto"/>
        <w:jc w:val="center"/>
        <w:rPr>
          <w:rFonts w:eastAsia="经典标宋简"/>
          <w:b/>
          <w:snapToGrid w:val="0"/>
          <w:kern w:val="0"/>
          <w:sz w:val="44"/>
        </w:rPr>
      </w:pPr>
    </w:p>
    <w:p w14:paraId="48D62F5E">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18A84138">
      <w:pPr>
        <w:pStyle w:val="30"/>
        <w:adjustRightInd w:val="0"/>
        <w:snapToGrid w:val="0"/>
        <w:spacing w:line="300" w:lineRule="auto"/>
        <w:jc w:val="center"/>
        <w:rPr>
          <w:rFonts w:ascii="Times New Roman" w:hAnsi="Times New Roman" w:eastAsia="经典等线简"/>
          <w:b/>
          <w:snapToGrid w:val="0"/>
          <w:sz w:val="30"/>
        </w:rPr>
      </w:pPr>
    </w:p>
    <w:p w14:paraId="37088C95">
      <w:pPr>
        <w:pStyle w:val="30"/>
        <w:adjustRightInd w:val="0"/>
        <w:snapToGrid w:val="0"/>
        <w:spacing w:line="300" w:lineRule="auto"/>
        <w:ind w:hanging="835"/>
        <w:jc w:val="center"/>
        <w:rPr>
          <w:rFonts w:hint="eastAsia" w:cs="Times New Roman"/>
          <w:b/>
          <w:snapToGrid w:val="0"/>
          <w:sz w:val="30"/>
          <w:lang w:eastAsia="zh-CN"/>
        </w:rPr>
      </w:pPr>
      <w:r>
        <w:rPr>
          <w:rFonts w:hint="eastAsia" w:cs="Times New Roman"/>
          <w:b/>
          <w:snapToGrid w:val="0"/>
          <w:sz w:val="30"/>
          <w:lang w:eastAsia="zh-CN"/>
        </w:rPr>
        <w:t>代理机构：深圳市中正招标有限公司</w:t>
      </w:r>
    </w:p>
    <w:p w14:paraId="1044F6E7"/>
    <w:p w14:paraId="497EB7BF">
      <w:pPr>
        <w:pStyle w:val="30"/>
        <w:adjustRightInd w:val="0"/>
        <w:snapToGrid w:val="0"/>
        <w:spacing w:line="300" w:lineRule="auto"/>
        <w:ind w:hanging="835"/>
        <w:jc w:val="center"/>
        <w:rPr>
          <w:b/>
          <w:kern w:val="0"/>
          <w:sz w:val="28"/>
          <w:szCs w:val="28"/>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十</w:t>
      </w:r>
      <w:r>
        <w:rPr>
          <w:rFonts w:hint="eastAsia"/>
          <w:b/>
          <w:snapToGrid w:val="0"/>
          <w:sz w:val="30"/>
        </w:rPr>
        <w:t>月</w:t>
      </w:r>
      <w:r>
        <w:rPr>
          <w:b/>
          <w:kern w:val="0"/>
          <w:sz w:val="28"/>
          <w:szCs w:val="28"/>
        </w:rPr>
        <w:br w:type="page"/>
      </w:r>
    </w:p>
    <w:p w14:paraId="4C8F81CD">
      <w:pPr>
        <w:jc w:val="center"/>
        <w:rPr>
          <w:rFonts w:hint="eastAsia" w:ascii="宋体" w:hAnsi="宋体" w:eastAsia="宋体" w:cs="宋体"/>
          <w:b/>
          <w:bCs/>
          <w:color w:val="auto"/>
          <w:kern w:val="44"/>
          <w:sz w:val="44"/>
          <w:szCs w:val="44"/>
          <w:highlight w:val="none"/>
        </w:rPr>
      </w:pPr>
      <w:r>
        <w:rPr>
          <w:rFonts w:hint="eastAsia" w:ascii="宋体" w:hAnsi="宋体" w:eastAsia="宋体" w:cs="宋体"/>
          <w:b/>
          <w:bCs/>
          <w:color w:val="auto"/>
          <w:kern w:val="44"/>
          <w:sz w:val="44"/>
          <w:szCs w:val="44"/>
          <w:highlight w:val="none"/>
          <w:lang w:eastAsia="zh-CN"/>
        </w:rPr>
        <w:t>特别</w:t>
      </w:r>
      <w:r>
        <w:rPr>
          <w:rFonts w:hint="eastAsia" w:ascii="宋体" w:hAnsi="宋体" w:eastAsia="宋体" w:cs="宋体"/>
          <w:b/>
          <w:bCs/>
          <w:color w:val="auto"/>
          <w:kern w:val="44"/>
          <w:sz w:val="44"/>
          <w:szCs w:val="44"/>
          <w:highlight w:val="none"/>
        </w:rPr>
        <w:t>警示条款</w:t>
      </w:r>
    </w:p>
    <w:p w14:paraId="4A6F7DC8">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auto"/>
          <w:sz w:val="28"/>
          <w:szCs w:val="28"/>
          <w:highlight w:val="none"/>
          <w:lang w:val="en-US" w:eastAsia="zh-CN"/>
        </w:rPr>
      </w:pPr>
    </w:p>
    <w:p w14:paraId="5F84BB84">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3D57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093294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7711" w:type="dxa"/>
            <w:noWrap w:val="0"/>
            <w:vAlign w:val="center"/>
          </w:tcPr>
          <w:p w14:paraId="7E9841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供应商参与投标禁止情形</w:t>
            </w:r>
          </w:p>
        </w:tc>
      </w:tr>
      <w:tr w14:paraId="3FD5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3AF839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7711" w:type="dxa"/>
            <w:noWrap w:val="0"/>
            <w:vAlign w:val="center"/>
          </w:tcPr>
          <w:p w14:paraId="0A16CF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的法定代表人、主要经营负责人、投标授权代表人、项目负责人、主要技术人员为</w:t>
            </w:r>
            <w:r>
              <w:rPr>
                <w:rFonts w:hint="eastAsia" w:ascii="宋体" w:hAnsi="宋体" w:eastAsia="宋体" w:cs="宋体"/>
                <w:b/>
                <w:bCs/>
                <w:color w:val="auto"/>
                <w:sz w:val="24"/>
                <w:szCs w:val="24"/>
                <w:highlight w:val="none"/>
                <w:lang w:val="en-US" w:eastAsia="zh-CN"/>
              </w:rPr>
              <w:t>同一人、属同一单位或者在同一单位缴纳社会保险</w:t>
            </w:r>
            <w:r>
              <w:rPr>
                <w:rFonts w:hint="eastAsia" w:ascii="宋体" w:hAnsi="宋体" w:eastAsia="宋体" w:cs="宋体"/>
                <w:color w:val="auto"/>
                <w:sz w:val="24"/>
                <w:szCs w:val="24"/>
                <w:highlight w:val="none"/>
                <w:lang w:val="en-US" w:eastAsia="zh-CN"/>
              </w:rPr>
              <w:t>。</w:t>
            </w:r>
          </w:p>
        </w:tc>
      </w:tr>
      <w:tr w14:paraId="1680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7FCEE1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7711" w:type="dxa"/>
            <w:noWrap w:val="0"/>
            <w:vAlign w:val="center"/>
          </w:tcPr>
          <w:p w14:paraId="5E0736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参与本项目政府采购活动时，与其他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存在单位负责人为</w:t>
            </w:r>
            <w:r>
              <w:rPr>
                <w:rFonts w:hint="eastAsia" w:ascii="宋体" w:hAnsi="宋体" w:eastAsia="宋体" w:cs="宋体"/>
                <w:b/>
                <w:bCs/>
                <w:color w:val="auto"/>
                <w:sz w:val="24"/>
                <w:szCs w:val="24"/>
                <w:highlight w:val="none"/>
                <w:lang w:val="en-US" w:eastAsia="zh-CN"/>
              </w:rPr>
              <w:t>同一人或直接控股、管理关系</w:t>
            </w:r>
            <w:r>
              <w:rPr>
                <w:rFonts w:hint="eastAsia" w:ascii="宋体" w:hAnsi="宋体" w:eastAsia="宋体" w:cs="宋体"/>
                <w:color w:val="auto"/>
                <w:sz w:val="24"/>
                <w:szCs w:val="24"/>
                <w:highlight w:val="none"/>
                <w:lang w:val="en-US" w:eastAsia="zh-CN"/>
              </w:rPr>
              <w:t>。</w:t>
            </w:r>
          </w:p>
        </w:tc>
      </w:tr>
      <w:tr w14:paraId="0D58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7CF8ED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7711" w:type="dxa"/>
            <w:noWrap w:val="0"/>
            <w:vAlign w:val="center"/>
          </w:tcPr>
          <w:p w14:paraId="10760A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响应文件</w:t>
            </w:r>
            <w:r>
              <w:rPr>
                <w:rFonts w:hint="eastAsia" w:ascii="宋体" w:hAnsi="宋体" w:eastAsia="宋体" w:cs="宋体"/>
                <w:color w:val="auto"/>
                <w:sz w:val="24"/>
                <w:szCs w:val="24"/>
                <w:highlight w:val="none"/>
                <w:lang w:val="en-US" w:eastAsia="zh-CN"/>
              </w:rPr>
              <w:t>或部分</w:t>
            </w:r>
            <w:r>
              <w:rPr>
                <w:rFonts w:hint="eastAsia" w:ascii="宋体" w:hAnsi="宋体" w:cs="宋体"/>
                <w:color w:val="auto"/>
                <w:sz w:val="24"/>
                <w:szCs w:val="24"/>
                <w:highlight w:val="none"/>
                <w:lang w:val="en-US" w:eastAsia="zh-CN"/>
              </w:rPr>
              <w:t>响应文件</w:t>
            </w:r>
            <w:r>
              <w:rPr>
                <w:rFonts w:hint="eastAsia" w:ascii="宋体" w:hAnsi="宋体" w:eastAsia="宋体" w:cs="宋体"/>
                <w:b/>
                <w:bCs/>
                <w:color w:val="auto"/>
                <w:sz w:val="24"/>
                <w:szCs w:val="24"/>
                <w:highlight w:val="none"/>
                <w:lang w:val="en-US" w:eastAsia="zh-CN"/>
              </w:rPr>
              <w:t>相互混装或存在非正常一致</w:t>
            </w:r>
            <w:r>
              <w:rPr>
                <w:rFonts w:hint="eastAsia" w:ascii="宋体" w:hAnsi="宋体" w:eastAsia="宋体" w:cs="宋体"/>
                <w:color w:val="auto"/>
                <w:sz w:val="24"/>
                <w:szCs w:val="24"/>
                <w:highlight w:val="none"/>
                <w:lang w:val="en-US" w:eastAsia="zh-CN"/>
              </w:rPr>
              <w:t>。</w:t>
            </w:r>
          </w:p>
        </w:tc>
      </w:tr>
      <w:tr w14:paraId="761D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91E1A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7711" w:type="dxa"/>
            <w:noWrap w:val="0"/>
            <w:vAlign w:val="center"/>
          </w:tcPr>
          <w:p w14:paraId="38BBDE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响应文件</w:t>
            </w:r>
            <w:r>
              <w:rPr>
                <w:rFonts w:hint="eastAsia" w:ascii="宋体" w:hAnsi="宋体" w:eastAsia="宋体" w:cs="宋体"/>
                <w:color w:val="auto"/>
                <w:sz w:val="24"/>
                <w:szCs w:val="24"/>
                <w:highlight w:val="none"/>
                <w:lang w:val="en-US" w:eastAsia="zh-CN"/>
              </w:rPr>
              <w:t>由</w:t>
            </w:r>
            <w:r>
              <w:rPr>
                <w:rFonts w:hint="eastAsia" w:ascii="宋体" w:hAnsi="宋体" w:eastAsia="宋体" w:cs="宋体"/>
                <w:b/>
                <w:bCs/>
                <w:color w:val="auto"/>
                <w:sz w:val="24"/>
                <w:szCs w:val="24"/>
                <w:highlight w:val="none"/>
                <w:lang w:val="en-US" w:eastAsia="zh-CN"/>
              </w:rPr>
              <w:t>同一单位或者同一人编制</w:t>
            </w:r>
            <w:r>
              <w:rPr>
                <w:rFonts w:hint="eastAsia" w:ascii="宋体" w:hAnsi="宋体" w:eastAsia="宋体" w:cs="宋体"/>
                <w:color w:val="auto"/>
                <w:sz w:val="24"/>
                <w:szCs w:val="24"/>
                <w:highlight w:val="none"/>
                <w:lang w:val="en-US" w:eastAsia="zh-CN"/>
              </w:rPr>
              <w:t>，或者使用</w:t>
            </w:r>
            <w:r>
              <w:rPr>
                <w:rFonts w:hint="eastAsia" w:ascii="宋体" w:hAnsi="宋体" w:eastAsia="宋体" w:cs="宋体"/>
                <w:b/>
                <w:bCs/>
                <w:color w:val="auto"/>
                <w:sz w:val="24"/>
                <w:szCs w:val="24"/>
                <w:highlight w:val="none"/>
                <w:lang w:val="en-US" w:eastAsia="zh-CN"/>
              </w:rPr>
              <w:t>同一设备编制</w:t>
            </w:r>
            <w:r>
              <w:rPr>
                <w:rFonts w:hint="eastAsia" w:ascii="宋体" w:hAnsi="宋体" w:eastAsia="宋体" w:cs="宋体"/>
                <w:color w:val="auto"/>
                <w:sz w:val="24"/>
                <w:szCs w:val="24"/>
                <w:highlight w:val="none"/>
                <w:lang w:val="en-US" w:eastAsia="zh-CN"/>
              </w:rPr>
              <w:t>（“文件制作机器码”“文件创建标识码”一致）。</w:t>
            </w:r>
          </w:p>
        </w:tc>
      </w:tr>
      <w:tr w14:paraId="07B0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03A8D4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7711" w:type="dxa"/>
            <w:noWrap w:val="0"/>
            <w:vAlign w:val="center"/>
          </w:tcPr>
          <w:p w14:paraId="1014369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未经出具机构核实</w:t>
            </w:r>
            <w:r>
              <w:rPr>
                <w:rFonts w:hint="eastAsia" w:ascii="宋体" w:hAnsi="宋体" w:eastAsia="宋体" w:cs="宋体"/>
                <w:color w:val="auto"/>
                <w:sz w:val="24"/>
                <w:szCs w:val="24"/>
                <w:highlight w:val="none"/>
                <w:lang w:val="en-US" w:eastAsia="zh-CN"/>
              </w:rPr>
              <w:t>的虚假的检验检测报告、业绩材料、社保缴纳证明、学历学位证书、职称认证证书等材料。</w:t>
            </w:r>
          </w:p>
        </w:tc>
      </w:tr>
      <w:tr w14:paraId="082B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6E6019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7711" w:type="dxa"/>
            <w:noWrap w:val="0"/>
            <w:vAlign w:val="center"/>
          </w:tcPr>
          <w:p w14:paraId="594358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擅自将投标密钥</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lang w:val="en-US" w:eastAsia="zh-CN"/>
              </w:rPr>
              <w:t>电子营业执照出借他人使用或未妥善保管。</w:t>
            </w:r>
          </w:p>
        </w:tc>
      </w:tr>
    </w:tbl>
    <w:p w14:paraId="36EAEFB5">
      <w:pPr>
        <w:rPr>
          <w:rFonts w:hint="eastAsia" w:ascii="宋体" w:hAnsi="宋体" w:eastAsia="宋体" w:cs="宋体"/>
          <w:b/>
          <w:bCs/>
          <w:color w:val="FF0000"/>
          <w:kern w:val="44"/>
          <w:sz w:val="44"/>
          <w:szCs w:val="44"/>
          <w:highlight w:val="none"/>
        </w:rPr>
      </w:pPr>
      <w:r>
        <w:rPr>
          <w:rFonts w:hint="eastAsia" w:ascii="宋体" w:hAnsi="宋体" w:eastAsia="宋体" w:cs="宋体"/>
          <w:b/>
          <w:bCs/>
          <w:color w:val="FF0000"/>
          <w:kern w:val="44"/>
          <w:sz w:val="44"/>
          <w:szCs w:val="44"/>
          <w:highlight w:val="none"/>
        </w:rPr>
        <w:br w:type="page"/>
      </w:r>
    </w:p>
    <w:p w14:paraId="7482200A">
      <w:pPr>
        <w:keepNext/>
        <w:keepLines/>
        <w:jc w:val="center"/>
        <w:outlineLvl w:val="0"/>
        <w:rPr>
          <w:rFonts w:hint="eastAsia" w:ascii="宋体" w:hAnsi="宋体" w:eastAsia="宋体" w:cs="宋体"/>
          <w:b/>
          <w:bCs/>
          <w:color w:val="auto"/>
          <w:kern w:val="44"/>
          <w:sz w:val="44"/>
          <w:szCs w:val="44"/>
          <w:highlight w:val="none"/>
        </w:rPr>
      </w:pPr>
    </w:p>
    <w:p w14:paraId="3F395D6E">
      <w:pPr>
        <w:keepNext/>
        <w:keepLines/>
        <w:jc w:val="center"/>
        <w:outlineLvl w:val="0"/>
        <w:rPr>
          <w:rFonts w:ascii="宋体" w:hAnsi="宋体" w:eastAsia="宋体" w:cs="宋体"/>
          <w:b/>
          <w:bCs/>
          <w:color w:val="auto"/>
          <w:kern w:val="44"/>
          <w:sz w:val="44"/>
          <w:szCs w:val="44"/>
          <w:highlight w:val="none"/>
        </w:rPr>
      </w:pPr>
      <w:r>
        <w:rPr>
          <w:rFonts w:hint="eastAsia" w:ascii="宋体" w:hAnsi="宋体" w:eastAsia="宋体" w:cs="宋体"/>
          <w:b/>
          <w:bCs/>
          <w:color w:val="auto"/>
          <w:kern w:val="44"/>
          <w:sz w:val="44"/>
          <w:szCs w:val="44"/>
          <w:highlight w:val="none"/>
        </w:rPr>
        <w:t>警示条款</w:t>
      </w:r>
    </w:p>
    <w:p w14:paraId="64ADC0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p>
    <w:p w14:paraId="194E941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A8C356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（一）在采购活动中应当回避而未回避的；</w:t>
      </w:r>
    </w:p>
    <w:p w14:paraId="28EBA6F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（二）未按本条例规定签订、履行采购合同，造成严重后果的；</w:t>
      </w:r>
    </w:p>
    <w:p w14:paraId="452200B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（三）隐瞒真实情况，提供虚假资料的；</w:t>
      </w:r>
    </w:p>
    <w:p w14:paraId="2865C502">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（四）以非法手段排斥其他供应商参与竞争的；</w:t>
      </w:r>
    </w:p>
    <w:p w14:paraId="220DD236">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（五）与其他采购参加人串通投标的；</w:t>
      </w:r>
    </w:p>
    <w:p w14:paraId="23591E6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（六）恶意投诉的；</w:t>
      </w:r>
    </w:p>
    <w:p w14:paraId="3863B75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（七）向采购项目相关人行贿或者提供其他不当利益的；</w:t>
      </w:r>
    </w:p>
    <w:p w14:paraId="637BE6E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（八）阻碍、抗拒主管部门监督检查的；</w:t>
      </w:r>
    </w:p>
    <w:p w14:paraId="4A717C1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（九）其他违反本条例规定的行为。</w:t>
      </w:r>
    </w:p>
    <w:p w14:paraId="47B589C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二、《深圳经济特区政府采购条例实施细则》第七十五条 供应商有下列情形的，属于采购条例所称的串通投标行为，按照采购条例第五十七条有关规定处理：</w:t>
      </w:r>
    </w:p>
    <w:p w14:paraId="43F1A49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之间相互约定给予未中标的供应商利益补偿；</w:t>
      </w:r>
    </w:p>
    <w:p w14:paraId="15B87D3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的法定代表人、主要经营负责人、项目投标授权代表人、项目负责人、主要技术人员为同一人、属同一单位或者在同一单位缴纳社会保险；</w:t>
      </w:r>
    </w:p>
    <w:p w14:paraId="5EF5A211">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由同一单位或者同一人编制，或者由同一人分阶段参与编制的；</w:t>
      </w:r>
    </w:p>
    <w:p w14:paraId="6FD63EF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或部分</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相互混装；</w:t>
      </w:r>
    </w:p>
    <w:p w14:paraId="7C8FC88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内容存在非正常一致；</w:t>
      </w:r>
    </w:p>
    <w:p w14:paraId="2031B3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（六）由同一单位工作人员为两家以上（含两家）供应商进行同一项投标活动的；</w:t>
      </w:r>
    </w:p>
    <w:p w14:paraId="48BD19B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（七）主管部门依照法律、法规认定的其他情形。</w:t>
      </w:r>
    </w:p>
    <w:p w14:paraId="2D968A25">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三、《深圳经济特区政府采购条例实施细则》第七十七条 供应商有下列情形之一的，属于隐瞒真实情况，提供虚假资料，按照采购条例第五十七的有关规定处理：</w:t>
      </w:r>
    </w:p>
    <w:p w14:paraId="3FCEC90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（一）通过转让或者租借等方式从其他单位获取资格或者资质证书投标的；</w:t>
      </w:r>
    </w:p>
    <w:p w14:paraId="0E1E968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（二）由其他单位或者其他单位负责人在</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编制的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上加盖印章或者签字的；</w:t>
      </w:r>
    </w:p>
    <w:p w14:paraId="3BD3FC3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（三）项目负责人或者主要技术人员不是本单位人员的；</w:t>
      </w:r>
    </w:p>
    <w:p w14:paraId="7E02FCC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（四）投标保证金不是从</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基本账户转出的；</w:t>
      </w:r>
    </w:p>
    <w:p w14:paraId="33E530C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（五）其他隐瞒真实情况、提供虚假资料的行为。</w:t>
      </w:r>
    </w:p>
    <w:p w14:paraId="66F5D8A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不能提供项目负责人或者主要技术人员的劳动合同、社会保险等劳动关系证明材料的，视为存在前款第（三）项规定的情形。</w:t>
      </w:r>
    </w:p>
    <w:p w14:paraId="38D3E754">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四、</w:t>
      </w:r>
      <w:r>
        <w:rPr>
          <w:rFonts w:hint="eastAsia" w:ascii="宋体" w:hAnsi="宋体" w:eastAsia="宋体" w:cs="Times New Roman"/>
          <w:color w:val="auto"/>
          <w:sz w:val="24"/>
          <w:szCs w:val="24"/>
          <w:highlight w:val="none"/>
        </w:rPr>
        <w:t>请</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阅读《政府采购违法行为风险知悉确认书》，并经各</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负责人或投标授权代表签字并加盖单位公章后，扫描上传至</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一并提交。</w:t>
      </w:r>
    </w:p>
    <w:p w14:paraId="54CF280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注：该风险知悉确认书用于对供应商违法行为的警示，不作为供应商资格性审查及符合性审查条件。</w:t>
      </w:r>
    </w:p>
    <w:p w14:paraId="159B065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b/>
          <w:color w:val="auto"/>
          <w:sz w:val="21"/>
          <w:szCs w:val="21"/>
          <w:highlight w:val="none"/>
        </w:rPr>
      </w:pPr>
      <w:r>
        <w:rPr>
          <w:rFonts w:hint="eastAsia" w:ascii="宋体" w:hAnsi="宋体" w:eastAsia="宋体" w:cs="Times New Roman"/>
          <w:color w:val="auto"/>
          <w:sz w:val="24"/>
          <w:szCs w:val="24"/>
          <w:highlight w:val="none"/>
          <w:lang w:val="en-US" w:eastAsia="zh-CN"/>
        </w:rPr>
        <w:t>五</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根据《深圳经济特区政府采购条例实施细则》第七十五条规定，不同</w:t>
      </w:r>
      <w:r>
        <w:rPr>
          <w:rFonts w:hint="eastAsia" w:ascii="宋体" w:hAnsi="宋体" w:cs="Times New Roman"/>
          <w:color w:val="auto"/>
          <w:sz w:val="24"/>
          <w:szCs w:val="24"/>
          <w:highlight w:val="none"/>
          <w:lang w:eastAsia="zh-CN"/>
        </w:rPr>
        <w:t>供应商</w:t>
      </w:r>
      <w:r>
        <w:rPr>
          <w:rFonts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ascii="宋体" w:hAnsi="宋体" w:eastAsia="宋体" w:cs="Times New Roman"/>
          <w:color w:val="auto"/>
          <w:sz w:val="24"/>
          <w:szCs w:val="24"/>
          <w:highlight w:val="none"/>
        </w:rPr>
        <w:t>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w:t>
      </w:r>
      <w:r>
        <w:rPr>
          <w:rFonts w:hint="eastAsia" w:ascii="宋体" w:hAnsi="宋体" w:cs="Times New Roman"/>
          <w:color w:val="auto"/>
          <w:sz w:val="24"/>
          <w:szCs w:val="24"/>
          <w:highlight w:val="none"/>
          <w:lang w:eastAsia="zh-CN"/>
        </w:rPr>
        <w:t>响应文件</w:t>
      </w:r>
      <w:r>
        <w:rPr>
          <w:rFonts w:ascii="宋体" w:hAnsi="宋体" w:eastAsia="宋体" w:cs="Times New Roman"/>
          <w:color w:val="auto"/>
          <w:sz w:val="24"/>
          <w:szCs w:val="24"/>
          <w:highlight w:val="none"/>
        </w:rPr>
        <w:t>，妥善保管和使用电子</w:t>
      </w:r>
      <w:r>
        <w:rPr>
          <w:rFonts w:hint="eastAsia" w:ascii="宋体" w:hAnsi="宋体" w:cs="Times New Roman"/>
          <w:color w:val="auto"/>
          <w:sz w:val="24"/>
          <w:szCs w:val="24"/>
          <w:highlight w:val="none"/>
          <w:lang w:val="en-US" w:eastAsia="zh-CN"/>
        </w:rPr>
        <w:t>密钥</w:t>
      </w:r>
      <w:r>
        <w:rPr>
          <w:rFonts w:ascii="宋体" w:hAnsi="宋体" w:eastAsia="宋体" w:cs="Times New Roman"/>
          <w:color w:val="auto"/>
          <w:sz w:val="24"/>
          <w:szCs w:val="24"/>
          <w:highlight w:val="none"/>
        </w:rPr>
        <w:t>。</w:t>
      </w:r>
    </w:p>
    <w:p w14:paraId="2E0EA26A">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1D5E9B2">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firstLine="0" w:firstLineChars="0"/>
        <w:jc w:val="center"/>
        <w:textAlignment w:val="auto"/>
        <w:outlineLvl w:val="0"/>
        <w:rPr>
          <w:rFonts w:hint="eastAsia" w:ascii="宋体" w:hAnsi="宋体" w:eastAsia="宋体" w:cs="宋体"/>
          <w:b/>
          <w:bCs w:val="0"/>
          <w:color w:val="000000"/>
          <w:kern w:val="44"/>
          <w:sz w:val="36"/>
          <w:szCs w:val="36"/>
          <w:highlight w:val="none"/>
          <w:lang w:val="en-US" w:eastAsia="zh-CN" w:bidi="ar-SA"/>
        </w:rPr>
      </w:pPr>
      <w:r>
        <w:rPr>
          <w:rFonts w:hint="eastAsia" w:ascii="宋体" w:hAnsi="宋体" w:eastAsia="宋体" w:cs="宋体"/>
          <w:b/>
          <w:bCs w:val="0"/>
          <w:color w:val="000000"/>
          <w:kern w:val="44"/>
          <w:sz w:val="36"/>
          <w:szCs w:val="36"/>
          <w:highlight w:val="none"/>
          <w:lang w:val="en-US" w:eastAsia="zh-CN" w:bidi="ar-SA"/>
        </w:rPr>
        <w:t>采购人特别提示</w:t>
      </w:r>
    </w:p>
    <w:p w14:paraId="46E9000B">
      <w:pPr>
        <w:keepNext/>
        <w:keepLines/>
        <w:pageBreakBefore w:val="0"/>
        <w:widowControl w:val="0"/>
        <w:numPr>
          <w:ilvl w:val="0"/>
          <w:numId w:val="0"/>
        </w:numPr>
        <w:kinsoku/>
        <w:wordWrap/>
        <w:overflowPunct/>
        <w:topLinePunct w:val="0"/>
        <w:autoSpaceDE/>
        <w:autoSpaceDN/>
        <w:bidi w:val="0"/>
        <w:adjustRightInd w:val="0"/>
        <w:snapToGrid/>
        <w:spacing w:line="350" w:lineRule="exact"/>
        <w:ind w:firstLine="420" w:firstLineChars="200"/>
        <w:jc w:val="left"/>
        <w:textAlignment w:val="baseline"/>
        <w:outlineLvl w:val="1"/>
        <w:rPr>
          <w:rFonts w:hint="eastAsia"/>
          <w:highlight w:val="none"/>
        </w:rPr>
      </w:pPr>
      <w:r>
        <w:rPr>
          <w:rFonts w:hint="eastAsia"/>
          <w:highlight w:val="none"/>
        </w:rPr>
        <w:t>供应商行为需符合采购人内控制度《深圳市龙岗区人民医院供应商信用评价管理办法》的要求，制度相关内容简述如下：</w:t>
      </w:r>
    </w:p>
    <w:p w14:paraId="5E3D579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1、信用评价定义</w:t>
      </w:r>
    </w:p>
    <w:p w14:paraId="06607ED6">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指采购人对供应商在采购各环节的行为进行评价记录、评分及分级，评价结果将在采购人自行采购项目中予以运用。</w:t>
      </w:r>
    </w:p>
    <w:p w14:paraId="4E8DE4F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2、评价依据与覆盖范围</w:t>
      </w:r>
    </w:p>
    <w:p w14:paraId="3DA162D2">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信用评价以政府采购规定、合同条款及本办法为依据，以供应商行为事实为基础，覆盖采购环节、合同签订环节、验收履约环节等全过程。</w:t>
      </w:r>
    </w:p>
    <w:p w14:paraId="006A391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3、异议复核权利</w:t>
      </w:r>
    </w:p>
    <w:p w14:paraId="7C7FA3C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供应商对信用评价结果有异议的，可以书面向招标相关部门申请复核，必要时由采购归口管理部门复核，采购人将在 15 个工作日内书面告知复核结果。</w:t>
      </w:r>
    </w:p>
    <w:p w14:paraId="1B13A9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4、信用评价扣分标准（基础分 100 分，扣完为止）</w:t>
      </w:r>
    </w:p>
    <w:p w14:paraId="14DBBE5C">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（1）采购环节：</w:t>
      </w:r>
    </w:p>
    <w:p w14:paraId="33CB068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①　开标后擅自撤销投标，影响招标继续进行的，扣 10 分 / 次；</w:t>
      </w:r>
    </w:p>
    <w:p w14:paraId="1A7FB72F">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②　在采购活动现场不听从指挥，干扰正常评审工作的，扣 10 分 / 次。</w:t>
      </w:r>
    </w:p>
    <w:p w14:paraId="7762514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（2）合同签订及履约验收环节：</w:t>
      </w:r>
    </w:p>
    <w:p w14:paraId="1B1C8EF2">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①　中标后无正当理由未在规定时间内签订采购合同的，扣 10 分 / 次；</w:t>
      </w:r>
    </w:p>
    <w:p w14:paraId="4098A5E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②　超过合同约定的供货或服务时间达 30 日以上的（不可抗力因素除外），扣 10 分 / 次；</w:t>
      </w:r>
    </w:p>
    <w:p w14:paraId="138CF8A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③　中标后无正当理由不完全履行采购合同义务的，扣 10 分 / 次；</w:t>
      </w:r>
    </w:p>
    <w:p w14:paraId="57DFD80A">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④　中标后出现货物或服务质量问题的，根据实际情况扣 5-10 分 / 次；</w:t>
      </w:r>
    </w:p>
    <w:p w14:paraId="7A017B7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⑤　在售后服务过程中不积极配合采购单位工作的，扣 5 分 / 次，态度恶劣的，扣 10 分 / 次；</w:t>
      </w:r>
    </w:p>
    <w:p w14:paraId="79C321D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⑥　拒绝提供售后服务的，扣 10 分 / 次；</w:t>
      </w:r>
    </w:p>
    <w:p w14:paraId="5B264D3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⑦　其它影响合同履约情形的，扣 5-10 分 / 次。</w:t>
      </w:r>
    </w:p>
    <w:p w14:paraId="297535F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5、信用等级划分</w:t>
      </w:r>
    </w:p>
    <w:p w14:paraId="26A05CE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A 级（91 分以上）：信用优秀；</w:t>
      </w:r>
    </w:p>
    <w:p w14:paraId="427A97C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B 级（75 分以上，91 分以下）：信用良好；</w:t>
      </w:r>
    </w:p>
    <w:p w14:paraId="3468A9A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C 级（75 分以下）：信用较差。</w:t>
      </w:r>
    </w:p>
    <w:p w14:paraId="55455A9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6、直接认定为 C 级的情形</w:t>
      </w:r>
    </w:p>
    <w:p w14:paraId="65200F3F">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供应商存在以下情形之一的，，列入医院供应商不良行为记录，即时直接认定为 C 级，公示期为一年，一年内不可申请信用修复：</w:t>
      </w:r>
    </w:p>
    <w:p w14:paraId="1257EB93">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(1)中标后无正当理由拒绝签订合同的；</w:t>
      </w:r>
    </w:p>
    <w:p w14:paraId="6D7D359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(2)中标后无正当理由放弃中标资格的；</w:t>
      </w:r>
    </w:p>
    <w:p w14:paraId="0E23F5D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(3)存在本须知“十一、违法违规行为报送”所列情形之一的；</w:t>
      </w:r>
    </w:p>
    <w:p w14:paraId="54003F0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(4)提供的货物或服务存在严重质量问题且无法整改的；</w:t>
      </w:r>
    </w:p>
    <w:p w14:paraId="069DC9E1">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(5)将中标项目转让给他人或者在投标文件中未说明且未经医院、招标代理机构同意，将中标项目分包给他人，情节严重的；</w:t>
      </w:r>
    </w:p>
    <w:p w14:paraId="29D1A5D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(6)拒绝提供售后服务，情节严重的。</w:t>
      </w:r>
    </w:p>
    <w:p w14:paraId="489F533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7、信用评价与违约责任并行</w:t>
      </w:r>
    </w:p>
    <w:p w14:paraId="0B22A66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除信用评价外，供应商如出现违约行为，采购人还将按照合同约定追究违约责任。</w:t>
      </w:r>
    </w:p>
    <w:p w14:paraId="3F70052C">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8、信用修复条件</w:t>
      </w:r>
    </w:p>
    <w:p w14:paraId="632BB0B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供应商在纠正不当行为、解除不良影响、履行相关义务满 3 个月后，可书面向采购人采购归口管理部门申请修复。经确认已纠正违约或不诚信行为且在后续履约中未再发生同类行为的，采购人将于次月调整信用评价等级至上一个等级。</w:t>
      </w:r>
    </w:p>
    <w:p w14:paraId="1E5EE5D3">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9、信用评价结果的运用</w:t>
      </w:r>
    </w:p>
    <w:p w14:paraId="29DA5FC1">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A 级：可作为采购人邀请类采购项目优先邀请对象；</w:t>
      </w:r>
    </w:p>
    <w:p w14:paraId="3461D94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B 级：维持正常采购。B 级以上信用评价，可作为长期合同的续签参考依据；</w:t>
      </w:r>
    </w:p>
    <w:p w14:paraId="653D8F4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C 级：由招标部门列入重点监控清单，作为重点监管对象，长期合同不再续签，后续履约中加强监管，邀请类采购项目应谨慎邀请并加强资格审查。</w:t>
      </w:r>
    </w:p>
    <w:p w14:paraId="699DCF4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10、违法违规行为报送</w:t>
      </w:r>
    </w:p>
    <w:p w14:paraId="142FBFC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供应商在政府采购活动中如有下列行为之一的，列入医院供应商不良行为记录，采购人同时将相关情况报送龙岗区财政局和（或）龙岗区卫健局：</w:t>
      </w:r>
    </w:p>
    <w:p w14:paraId="228C51E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(1)在采购活动中应当回避而未回避的；</w:t>
      </w:r>
    </w:p>
    <w:p w14:paraId="359A80D8">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(2)未按照规定签订、履行采购合同，造成严重后果的；</w:t>
      </w:r>
    </w:p>
    <w:p w14:paraId="4A0064F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(3)隐瞒真实情况，提供虚假资料的；</w:t>
      </w:r>
    </w:p>
    <w:p w14:paraId="4522354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(4)以非法手段排斥其他供应商参与竞争的；</w:t>
      </w:r>
    </w:p>
    <w:p w14:paraId="4EE5B66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(5)与其他采购参加人串通投标的；</w:t>
      </w:r>
    </w:p>
    <w:p w14:paraId="7B17FA1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(6)恶意投诉的；</w:t>
      </w:r>
    </w:p>
    <w:p w14:paraId="3AE8AF2A">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(7)向采购项目相关人行贿或者提供其他不当利益的。</w:t>
      </w:r>
    </w:p>
    <w:p w14:paraId="49B1438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11、关于本须知的补充说明</w:t>
      </w:r>
    </w:p>
    <w:p w14:paraId="3FD0F7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（1）本须知中“以上”包含本数，“以下”不含本数。</w:t>
      </w:r>
    </w:p>
    <w:p w14:paraId="7CF49C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cs="Times New Roman"/>
          <w:highlight w:val="none"/>
        </w:rPr>
      </w:pPr>
      <w:r>
        <w:rPr>
          <w:rFonts w:hint="eastAsia" w:cs="Times New Roman"/>
          <w:highlight w:val="none"/>
        </w:rPr>
        <w:t>（2）未尽事宜按国家、行业及上级主管部门有关规定执行；如与上级主管部门后续最新规定不一致的，以上级规定为准。</w:t>
      </w:r>
    </w:p>
    <w:p w14:paraId="2443F17B">
      <w:pPr>
        <w:jc w:val="center"/>
        <w:rPr>
          <w:color w:val="auto"/>
          <w:lang w:val="zh-CN"/>
        </w:rPr>
      </w:pPr>
      <w:r>
        <w:rPr>
          <w:color w:val="auto"/>
          <w:lang w:val="zh-CN"/>
        </w:rPr>
        <w:br w:type="page"/>
      </w:r>
    </w:p>
    <w:p w14:paraId="6FE72E49">
      <w:pPr>
        <w:pStyle w:val="507"/>
        <w:jc w:val="center"/>
        <w:rPr>
          <w:color w:val="auto"/>
          <w:lang w:val="zh-CN"/>
        </w:rPr>
      </w:pPr>
      <w:r>
        <w:rPr>
          <w:color w:val="auto"/>
          <w:lang w:val="zh-CN"/>
        </w:rPr>
        <w:t>目</w:t>
      </w:r>
      <w:r>
        <w:rPr>
          <w:rFonts w:hint="eastAsia"/>
          <w:color w:val="auto"/>
          <w:lang w:val="zh-CN"/>
        </w:rPr>
        <w:t xml:space="preserve">  </w:t>
      </w:r>
      <w:r>
        <w:rPr>
          <w:color w:val="auto"/>
          <w:lang w:val="zh-CN"/>
        </w:rPr>
        <w:t>录</w:t>
      </w:r>
    </w:p>
    <w:p w14:paraId="4DD5902C">
      <w:pPr>
        <w:rPr>
          <w:lang w:val="zh-CN"/>
        </w:rPr>
      </w:pPr>
    </w:p>
    <w:p w14:paraId="46AA67B1">
      <w:pPr>
        <w:pStyle w:val="36"/>
        <w:tabs>
          <w:tab w:val="right" w:leader="dot" w:pos="9638"/>
        </w:tabs>
        <w:spacing w:line="360" w:lineRule="auto"/>
        <w:rPr>
          <w:rFonts w:ascii="仿宋_GB2312" w:eastAsia="仿宋_GB2312"/>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"_Toc6265" </w:instrText>
      </w:r>
      <w:r>
        <w:fldChar w:fldCharType="separate"/>
      </w:r>
      <w:r>
        <w:rPr>
          <w:rFonts w:hint="eastAsia" w:ascii="仿宋_GB2312" w:eastAsia="仿宋_GB2312"/>
          <w:sz w:val="24"/>
        </w:rPr>
        <w:t>第一章  采购邀请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_Toc6265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514C03AC">
      <w:pPr>
        <w:pStyle w:val="36"/>
        <w:tabs>
          <w:tab w:val="right" w:leader="dot" w:pos="9638"/>
        </w:tabs>
        <w:spacing w:line="360" w:lineRule="auto"/>
        <w:rPr>
          <w:rFonts w:ascii="仿宋_GB2312" w:eastAsia="仿宋_GB2312"/>
          <w:sz w:val="24"/>
        </w:rPr>
      </w:pPr>
      <w:r>
        <w:fldChar w:fldCharType="begin"/>
      </w:r>
      <w:r>
        <w:instrText xml:space="preserve"> HYPERLINK \l "_Toc17735" </w:instrText>
      </w:r>
      <w:r>
        <w:fldChar w:fldCharType="separate"/>
      </w:r>
      <w:r>
        <w:rPr>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_Toc17735 \h </w:instrText>
      </w:r>
      <w:r>
        <w:rPr>
          <w:rFonts w:hint="eastAsia" w:ascii="仿宋_GB2312" w:eastAsia="仿宋_GB2312"/>
          <w:sz w:val="24"/>
        </w:rPr>
        <w:fldChar w:fldCharType="separate"/>
      </w:r>
      <w:r>
        <w:rPr>
          <w:rFonts w:hint="eastAsia" w:ascii="仿宋_GB2312" w:eastAsia="仿宋_GB2312"/>
          <w:sz w:val="24"/>
        </w:rPr>
        <w:t>12</w:t>
      </w:r>
      <w:r>
        <w:rPr>
          <w:rFonts w:hint="eastAsia" w:ascii="仿宋_GB2312" w:eastAsia="仿宋_GB2312"/>
          <w:sz w:val="24"/>
        </w:rPr>
        <w:fldChar w:fldCharType="end"/>
      </w:r>
      <w:r>
        <w:rPr>
          <w:rFonts w:hint="eastAsia" w:ascii="仿宋_GB2312" w:eastAsia="仿宋_GB2312"/>
          <w:sz w:val="24"/>
        </w:rPr>
        <w:fldChar w:fldCharType="end"/>
      </w:r>
    </w:p>
    <w:p w14:paraId="224ED2FF">
      <w:pPr>
        <w:pStyle w:val="36"/>
        <w:tabs>
          <w:tab w:val="right" w:leader="dot" w:pos="9638"/>
        </w:tabs>
        <w:spacing w:line="360" w:lineRule="auto"/>
        <w:rPr>
          <w:rFonts w:ascii="仿宋_GB2312" w:eastAsia="仿宋_GB2312"/>
          <w:sz w:val="24"/>
        </w:rPr>
      </w:pPr>
      <w:r>
        <w:fldChar w:fldCharType="begin"/>
      </w:r>
      <w:r>
        <w:instrText xml:space="preserve"> HYPERLINK \l "_Toc15948" </w:instrText>
      </w:r>
      <w:r>
        <w:fldChar w:fldCharType="separate"/>
      </w:r>
      <w:r>
        <w:rPr>
          <w:rFonts w:hint="eastAsia" w:ascii="仿宋_GB2312" w:eastAsia="仿宋_GB2312"/>
          <w:sz w:val="24"/>
        </w:rPr>
        <w:t>第三章  响应文件初审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_Toc15948 \h </w:instrText>
      </w:r>
      <w:r>
        <w:rPr>
          <w:rFonts w:hint="eastAsia" w:ascii="仿宋_GB2312" w:eastAsia="仿宋_GB2312"/>
          <w:sz w:val="24"/>
        </w:rPr>
        <w:fldChar w:fldCharType="separate"/>
      </w:r>
      <w:r>
        <w:rPr>
          <w:rFonts w:hint="eastAsia" w:ascii="仿宋_GB2312" w:eastAsia="仿宋_GB2312"/>
          <w:sz w:val="24"/>
        </w:rPr>
        <w:t>18</w:t>
      </w:r>
      <w:r>
        <w:rPr>
          <w:rFonts w:hint="eastAsia" w:ascii="仿宋_GB2312" w:eastAsia="仿宋_GB2312"/>
          <w:sz w:val="24"/>
        </w:rPr>
        <w:fldChar w:fldCharType="end"/>
      </w:r>
      <w:r>
        <w:rPr>
          <w:rFonts w:hint="eastAsia" w:ascii="仿宋_GB2312" w:eastAsia="仿宋_GB2312"/>
          <w:sz w:val="24"/>
        </w:rPr>
        <w:fldChar w:fldCharType="end"/>
      </w:r>
    </w:p>
    <w:p w14:paraId="11141AEB">
      <w:pPr>
        <w:pStyle w:val="36"/>
        <w:tabs>
          <w:tab w:val="right" w:leader="dot" w:pos="9638"/>
        </w:tabs>
        <w:spacing w:line="360" w:lineRule="auto"/>
        <w:rPr>
          <w:rFonts w:ascii="仿宋_GB2312" w:eastAsia="仿宋_GB2312"/>
          <w:sz w:val="24"/>
        </w:rPr>
      </w:pPr>
      <w:r>
        <w:fldChar w:fldCharType="begin"/>
      </w:r>
      <w:r>
        <w:instrText xml:space="preserve"> HYPERLINK \l "_Toc4700" </w:instrText>
      </w:r>
      <w:r>
        <w:fldChar w:fldCharType="separate"/>
      </w:r>
      <w:r>
        <w:rPr>
          <w:rFonts w:hint="eastAsia" w:ascii="仿宋_GB2312" w:eastAsia="仿宋_GB2312"/>
          <w:sz w:val="24"/>
        </w:rPr>
        <w:t>第四章  评审方法和标准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_Toc4700 \h </w:instrText>
      </w:r>
      <w:r>
        <w:rPr>
          <w:rFonts w:hint="eastAsia" w:ascii="仿宋_GB2312" w:eastAsia="仿宋_GB2312"/>
          <w:sz w:val="24"/>
        </w:rPr>
        <w:fldChar w:fldCharType="separate"/>
      </w:r>
      <w:r>
        <w:rPr>
          <w:rFonts w:hint="eastAsia"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5853EEE2">
      <w:pPr>
        <w:pStyle w:val="43"/>
        <w:tabs>
          <w:tab w:val="right" w:leader="dot" w:pos="9638"/>
        </w:tabs>
        <w:spacing w:line="360" w:lineRule="auto"/>
        <w:rPr>
          <w:rFonts w:ascii="仿宋_GB2312" w:eastAsia="仿宋_GB2312"/>
          <w:sz w:val="24"/>
        </w:rPr>
      </w:pPr>
      <w:r>
        <w:fldChar w:fldCharType="begin"/>
      </w:r>
      <w:r>
        <w:instrText xml:space="preserve"> HYPERLINK \l "_Toc24707" </w:instrText>
      </w:r>
      <w:r>
        <w:fldChar w:fldCharType="separate"/>
      </w:r>
      <w:r>
        <w:rPr>
          <w:rFonts w:hint="eastAsia" w:ascii="仿宋_GB2312" w:eastAsia="仿宋_GB2312"/>
          <w:sz w:val="24"/>
        </w:rPr>
        <w:t>一、评审方法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_Toc24707 \h </w:instrText>
      </w:r>
      <w:r>
        <w:rPr>
          <w:rFonts w:hint="eastAsia" w:ascii="仿宋_GB2312" w:eastAsia="仿宋_GB2312"/>
          <w:sz w:val="24"/>
        </w:rPr>
        <w:fldChar w:fldCharType="separate"/>
      </w:r>
      <w:r>
        <w:rPr>
          <w:rFonts w:hint="eastAsia"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54252FCA">
      <w:pPr>
        <w:pStyle w:val="43"/>
        <w:tabs>
          <w:tab w:val="right" w:leader="dot" w:pos="9638"/>
        </w:tabs>
        <w:spacing w:line="360" w:lineRule="auto"/>
        <w:rPr>
          <w:rFonts w:ascii="仿宋_GB2312" w:eastAsia="仿宋_GB2312"/>
          <w:sz w:val="24"/>
        </w:rPr>
      </w:pPr>
      <w:r>
        <w:fldChar w:fldCharType="begin"/>
      </w:r>
      <w:r>
        <w:instrText xml:space="preserve"> HYPERLINK \l "_Toc16380" </w:instrText>
      </w:r>
      <w:r>
        <w:fldChar w:fldCharType="separate"/>
      </w:r>
      <w:r>
        <w:rPr>
          <w:rFonts w:hint="eastAsia" w:ascii="仿宋_GB2312" w:eastAsia="仿宋_GB2312"/>
          <w:sz w:val="24"/>
        </w:rPr>
        <w:t>二、评审标准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_Toc16380 \h </w:instrText>
      </w:r>
      <w:r>
        <w:rPr>
          <w:rFonts w:hint="eastAsia" w:ascii="仿宋_GB2312" w:eastAsia="仿宋_GB2312"/>
          <w:sz w:val="24"/>
        </w:rPr>
        <w:fldChar w:fldCharType="separate"/>
      </w:r>
      <w:r>
        <w:rPr>
          <w:rFonts w:hint="eastAsia"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2595FC2C">
      <w:pPr>
        <w:pStyle w:val="36"/>
        <w:tabs>
          <w:tab w:val="right" w:leader="dot" w:pos="9638"/>
        </w:tabs>
        <w:spacing w:line="360" w:lineRule="auto"/>
        <w:rPr>
          <w:rFonts w:ascii="仿宋_GB2312" w:eastAsia="仿宋_GB2312"/>
          <w:sz w:val="24"/>
        </w:rPr>
      </w:pPr>
      <w:r>
        <w:fldChar w:fldCharType="begin"/>
      </w:r>
      <w:r>
        <w:instrText xml:space="preserve"> HYPERLINK \l "_Toc22938" </w:instrText>
      </w:r>
      <w:r>
        <w:fldChar w:fldCharType="separate"/>
      </w:r>
      <w:r>
        <w:rPr>
          <w:rFonts w:hint="eastAsia" w:ascii="仿宋_GB2312" w:eastAsia="仿宋_GB2312"/>
          <w:sz w:val="24"/>
        </w:rPr>
        <w:t>第五章  供应商须知前附表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_Toc22938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4E54B43B">
      <w:pPr>
        <w:pStyle w:val="36"/>
        <w:tabs>
          <w:tab w:val="right" w:leader="dot" w:pos="9638"/>
        </w:tabs>
        <w:spacing w:line="360" w:lineRule="auto"/>
        <w:rPr>
          <w:rFonts w:ascii="仿宋_GB2312" w:eastAsia="仿宋_GB2312"/>
          <w:sz w:val="24"/>
        </w:rPr>
      </w:pPr>
      <w:r>
        <w:fldChar w:fldCharType="begin"/>
      </w:r>
      <w:r>
        <w:instrText xml:space="preserve"> HYPERLINK \l "_Toc12620" </w:instrText>
      </w:r>
      <w:r>
        <w:fldChar w:fldCharType="separate"/>
      </w:r>
      <w:r>
        <w:rPr>
          <w:rFonts w:hint="eastAsia" w:ascii="仿宋_GB2312" w:eastAsia="仿宋_GB2312"/>
          <w:sz w:val="24"/>
        </w:rPr>
        <w:t>第六章  供应商须知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_Toc12620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6BFCF826">
      <w:pPr>
        <w:pStyle w:val="43"/>
        <w:tabs>
          <w:tab w:val="right" w:leader="dot" w:pos="9638"/>
        </w:tabs>
        <w:spacing w:line="360" w:lineRule="auto"/>
        <w:rPr>
          <w:rFonts w:ascii="仿宋_GB2312" w:eastAsia="仿宋_GB2312"/>
          <w:sz w:val="24"/>
        </w:rPr>
      </w:pPr>
      <w:r>
        <w:fldChar w:fldCharType="begin"/>
      </w:r>
      <w:r>
        <w:instrText xml:space="preserve"> HYPERLINK \l "_Toc27131" </w:instrText>
      </w:r>
      <w:r>
        <w:fldChar w:fldCharType="separate"/>
      </w:r>
      <w:r>
        <w:rPr>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_Toc27131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04CE8636">
      <w:pPr>
        <w:pStyle w:val="43"/>
        <w:tabs>
          <w:tab w:val="right" w:leader="dot" w:pos="9638"/>
        </w:tabs>
        <w:spacing w:line="360" w:lineRule="auto"/>
        <w:rPr>
          <w:rFonts w:ascii="仿宋_GB2312" w:eastAsia="仿宋_GB2312"/>
          <w:sz w:val="24"/>
        </w:rPr>
      </w:pPr>
      <w:r>
        <w:fldChar w:fldCharType="begin"/>
      </w:r>
      <w:r>
        <w:instrText xml:space="preserve"> HYPERLINK \l "_Toc1611" </w:instrText>
      </w:r>
      <w:r>
        <w:fldChar w:fldCharType="separate"/>
      </w:r>
      <w:r>
        <w:rPr>
          <w:rFonts w:hint="eastAsia" w:ascii="仿宋_GB2312" w:eastAsia="仿宋_GB2312"/>
          <w:sz w:val="24"/>
        </w:rPr>
        <w:t>二、采购文件说明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_Toc1611 \h </w:instrText>
      </w:r>
      <w:r>
        <w:rPr>
          <w:rFonts w:hint="eastAsia" w:ascii="仿宋_GB2312" w:eastAsia="仿宋_GB2312"/>
          <w:sz w:val="24"/>
        </w:rPr>
        <w:fldChar w:fldCharType="separate"/>
      </w:r>
      <w:r>
        <w:rPr>
          <w:rFonts w:hint="eastAsia" w:ascii="仿宋_GB2312" w:eastAsia="仿宋_GB2312"/>
          <w:sz w:val="24"/>
        </w:rPr>
        <w:t>33</w:t>
      </w:r>
      <w:r>
        <w:rPr>
          <w:rFonts w:hint="eastAsia" w:ascii="仿宋_GB2312" w:eastAsia="仿宋_GB2312"/>
          <w:sz w:val="24"/>
        </w:rPr>
        <w:fldChar w:fldCharType="end"/>
      </w:r>
      <w:r>
        <w:rPr>
          <w:rFonts w:hint="eastAsia" w:ascii="仿宋_GB2312" w:eastAsia="仿宋_GB2312"/>
          <w:sz w:val="24"/>
        </w:rPr>
        <w:fldChar w:fldCharType="end"/>
      </w:r>
    </w:p>
    <w:p w14:paraId="0D06B938">
      <w:pPr>
        <w:pStyle w:val="43"/>
        <w:tabs>
          <w:tab w:val="right" w:leader="dot" w:pos="9638"/>
        </w:tabs>
        <w:spacing w:line="360" w:lineRule="auto"/>
        <w:rPr>
          <w:rFonts w:ascii="仿宋_GB2312" w:eastAsia="仿宋_GB2312"/>
          <w:sz w:val="24"/>
        </w:rPr>
      </w:pPr>
      <w:r>
        <w:fldChar w:fldCharType="begin"/>
      </w:r>
      <w:r>
        <w:instrText xml:space="preserve"> HYPERLINK \l "_Toc3375" </w:instrText>
      </w:r>
      <w:r>
        <w:fldChar w:fldCharType="separate"/>
      </w:r>
      <w:r>
        <w:rPr>
          <w:rFonts w:hint="eastAsia" w:ascii="仿宋_GB2312" w:eastAsia="仿宋_GB2312"/>
          <w:sz w:val="24"/>
        </w:rPr>
        <w:t>三、响应文件的编写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_Toc3375 \h </w:instrText>
      </w:r>
      <w:r>
        <w:rPr>
          <w:rFonts w:hint="eastAsia" w:ascii="仿宋_GB2312" w:eastAsia="仿宋_GB2312"/>
          <w:sz w:val="24"/>
        </w:rPr>
        <w:fldChar w:fldCharType="separate"/>
      </w:r>
      <w:r>
        <w:rPr>
          <w:rFonts w:hint="eastAsia" w:ascii="仿宋_GB2312" w:eastAsia="仿宋_GB2312"/>
          <w:sz w:val="24"/>
        </w:rPr>
        <w:t>33</w:t>
      </w:r>
      <w:r>
        <w:rPr>
          <w:rFonts w:hint="eastAsia" w:ascii="仿宋_GB2312" w:eastAsia="仿宋_GB2312"/>
          <w:sz w:val="24"/>
        </w:rPr>
        <w:fldChar w:fldCharType="end"/>
      </w:r>
      <w:r>
        <w:rPr>
          <w:rFonts w:hint="eastAsia" w:ascii="仿宋_GB2312" w:eastAsia="仿宋_GB2312"/>
          <w:sz w:val="24"/>
        </w:rPr>
        <w:fldChar w:fldCharType="end"/>
      </w:r>
    </w:p>
    <w:p w14:paraId="0D989808">
      <w:pPr>
        <w:pStyle w:val="43"/>
        <w:tabs>
          <w:tab w:val="right" w:leader="dot" w:pos="9638"/>
        </w:tabs>
        <w:spacing w:line="360" w:lineRule="auto"/>
        <w:rPr>
          <w:rFonts w:ascii="仿宋_GB2312" w:eastAsia="仿宋_GB2312"/>
          <w:sz w:val="24"/>
        </w:rPr>
      </w:pPr>
      <w:r>
        <w:fldChar w:fldCharType="begin"/>
      </w:r>
      <w:r>
        <w:instrText xml:space="preserve"> HYPERLINK \l "_Toc6203" </w:instrText>
      </w:r>
      <w:r>
        <w:fldChar w:fldCharType="separate"/>
      </w:r>
      <w:r>
        <w:rPr>
          <w:rFonts w:hint="eastAsia" w:ascii="仿宋_GB2312" w:eastAsia="仿宋_GB2312"/>
          <w:sz w:val="24"/>
        </w:rPr>
        <w:t>四、响应文件的递交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_Toc6203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0859F620">
      <w:pPr>
        <w:pStyle w:val="43"/>
        <w:tabs>
          <w:tab w:val="right" w:leader="dot" w:pos="9638"/>
        </w:tabs>
        <w:spacing w:line="360" w:lineRule="auto"/>
        <w:rPr>
          <w:rFonts w:ascii="仿宋_GB2312" w:eastAsia="仿宋_GB2312"/>
          <w:sz w:val="24"/>
        </w:rPr>
      </w:pPr>
      <w:r>
        <w:fldChar w:fldCharType="begin"/>
      </w:r>
      <w:r>
        <w:instrText xml:space="preserve"> HYPERLINK \l "_Toc15969" </w:instrText>
      </w:r>
      <w:r>
        <w:fldChar w:fldCharType="separate"/>
      </w:r>
      <w:r>
        <w:rPr>
          <w:rFonts w:hint="eastAsia" w:ascii="仿宋_GB2312" w:eastAsia="仿宋_GB2312"/>
          <w:sz w:val="24"/>
        </w:rPr>
        <w:t>五、开标和评审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_Toc15969 \h </w:instrText>
      </w:r>
      <w:r>
        <w:rPr>
          <w:rFonts w:hint="eastAsia" w:ascii="仿宋_GB2312" w:eastAsia="仿宋_GB2312"/>
          <w:sz w:val="24"/>
        </w:rPr>
        <w:fldChar w:fldCharType="separate"/>
      </w:r>
      <w:r>
        <w:rPr>
          <w:rFonts w:hint="eastAsia" w:ascii="仿宋_GB2312" w:eastAsia="仿宋_GB2312"/>
          <w:sz w:val="24"/>
        </w:rPr>
        <w:t>37</w:t>
      </w:r>
      <w:r>
        <w:rPr>
          <w:rFonts w:hint="eastAsia" w:ascii="仿宋_GB2312" w:eastAsia="仿宋_GB2312"/>
          <w:sz w:val="24"/>
        </w:rPr>
        <w:fldChar w:fldCharType="end"/>
      </w:r>
      <w:r>
        <w:rPr>
          <w:rFonts w:hint="eastAsia" w:ascii="仿宋_GB2312" w:eastAsia="仿宋_GB2312"/>
          <w:sz w:val="24"/>
        </w:rPr>
        <w:fldChar w:fldCharType="end"/>
      </w:r>
    </w:p>
    <w:p w14:paraId="230891E3">
      <w:pPr>
        <w:pStyle w:val="43"/>
        <w:tabs>
          <w:tab w:val="right" w:leader="dot" w:pos="9638"/>
        </w:tabs>
        <w:spacing w:line="360" w:lineRule="auto"/>
        <w:rPr>
          <w:rFonts w:ascii="仿宋_GB2312" w:eastAsia="仿宋_GB2312"/>
          <w:sz w:val="24"/>
        </w:rPr>
      </w:pPr>
      <w:r>
        <w:fldChar w:fldCharType="begin"/>
      </w:r>
      <w:r>
        <w:instrText xml:space="preserve"> HYPERLINK \l "_Toc17086" </w:instrText>
      </w:r>
      <w:r>
        <w:fldChar w:fldCharType="separate"/>
      </w:r>
      <w:r>
        <w:rPr>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_Toc17086 \h </w:instrText>
      </w:r>
      <w:r>
        <w:rPr>
          <w:rFonts w:hint="eastAsia" w:ascii="仿宋_GB2312" w:eastAsia="仿宋_GB2312"/>
          <w:sz w:val="24"/>
        </w:rPr>
        <w:fldChar w:fldCharType="separate"/>
      </w:r>
      <w:r>
        <w:rPr>
          <w:rFonts w:hint="eastAsia" w:ascii="仿宋_GB2312" w:eastAsia="仿宋_GB2312"/>
          <w:sz w:val="24"/>
        </w:rPr>
        <w:t>40</w:t>
      </w:r>
      <w:r>
        <w:rPr>
          <w:rFonts w:hint="eastAsia" w:ascii="仿宋_GB2312" w:eastAsia="仿宋_GB2312"/>
          <w:sz w:val="24"/>
        </w:rPr>
        <w:fldChar w:fldCharType="end"/>
      </w:r>
      <w:r>
        <w:rPr>
          <w:rFonts w:hint="eastAsia" w:ascii="仿宋_GB2312" w:eastAsia="仿宋_GB2312"/>
          <w:sz w:val="24"/>
        </w:rPr>
        <w:fldChar w:fldCharType="end"/>
      </w:r>
    </w:p>
    <w:p w14:paraId="7EE2B729">
      <w:pPr>
        <w:pStyle w:val="36"/>
        <w:tabs>
          <w:tab w:val="right" w:leader="dot" w:pos="9638"/>
        </w:tabs>
        <w:spacing w:line="360" w:lineRule="auto"/>
        <w:rPr>
          <w:rFonts w:ascii="仿宋_GB2312" w:hAnsi="宋体" w:eastAsia="仿宋_GB2312" w:cs="宋体"/>
          <w:sz w:val="24"/>
        </w:rPr>
      </w:pPr>
      <w:r>
        <w:fldChar w:fldCharType="begin"/>
      </w:r>
      <w:r>
        <w:instrText xml:space="preserve"> HYPERLINK \l "_Toc11053" </w:instrText>
      </w:r>
      <w:r>
        <w:fldChar w:fldCharType="separate"/>
      </w:r>
      <w:r>
        <w:rPr>
          <w:rFonts w:hint="eastAsia" w:ascii="仿宋_GB2312" w:hAnsi="宋体" w:eastAsia="仿宋_GB2312" w:cs="宋体"/>
          <w:sz w:val="24"/>
        </w:rPr>
        <w:t>第七章  响应文件格式</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_Toc11053 \h </w:instrText>
      </w:r>
      <w:r>
        <w:rPr>
          <w:rFonts w:hint="eastAsia" w:ascii="仿宋_GB2312" w:hAnsi="宋体" w:eastAsia="仿宋_GB2312" w:cs="宋体"/>
          <w:sz w:val="24"/>
        </w:rPr>
        <w:fldChar w:fldCharType="separate"/>
      </w:r>
      <w:r>
        <w:rPr>
          <w:rFonts w:hint="eastAsia" w:ascii="仿宋_GB2312" w:hAnsi="宋体" w:eastAsia="仿宋_GB2312" w:cs="宋体"/>
          <w:sz w:val="24"/>
        </w:rPr>
        <w:t>44</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7E369966">
      <w:pPr>
        <w:pStyle w:val="43"/>
        <w:tabs>
          <w:tab w:val="right" w:leader="dot" w:pos="9638"/>
        </w:tabs>
        <w:spacing w:line="360" w:lineRule="auto"/>
        <w:rPr>
          <w:rFonts w:ascii="仿宋_GB2312" w:hAnsi="宋体" w:eastAsia="仿宋_GB2312" w:cs="宋体"/>
          <w:sz w:val="24"/>
        </w:rPr>
      </w:pPr>
      <w:r>
        <w:fldChar w:fldCharType="begin"/>
      </w:r>
      <w:r>
        <w:instrText xml:space="preserve"> HYPERLINK \l "_Toc17275" </w:instrText>
      </w:r>
      <w:r>
        <w:fldChar w:fldCharType="separate"/>
      </w:r>
      <w:r>
        <w:rPr>
          <w:rFonts w:hint="eastAsia" w:ascii="仿宋_GB2312" w:hAnsi="宋体" w:eastAsia="仿宋_GB2312" w:cs="宋体"/>
          <w:sz w:val="24"/>
        </w:rPr>
        <w:t>响应文件编制说明</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_Toc17275 \h </w:instrText>
      </w:r>
      <w:r>
        <w:rPr>
          <w:rFonts w:hint="eastAsia" w:ascii="仿宋_GB2312" w:hAnsi="宋体" w:eastAsia="仿宋_GB2312" w:cs="宋体"/>
          <w:sz w:val="24"/>
        </w:rPr>
        <w:fldChar w:fldCharType="separate"/>
      </w:r>
      <w:r>
        <w:rPr>
          <w:rFonts w:hint="eastAsia" w:ascii="仿宋_GB2312" w:hAnsi="宋体" w:eastAsia="仿宋_GB2312" w:cs="宋体"/>
          <w:sz w:val="24"/>
        </w:rPr>
        <w:t>44</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1AD11F6A">
      <w:pPr>
        <w:pStyle w:val="43"/>
        <w:tabs>
          <w:tab w:val="right" w:leader="dot" w:pos="9638"/>
        </w:tabs>
        <w:spacing w:line="360" w:lineRule="auto"/>
        <w:rPr>
          <w:rFonts w:ascii="仿宋_GB2312" w:hAnsi="宋体" w:eastAsia="仿宋_GB2312" w:cs="宋体"/>
          <w:sz w:val="24"/>
        </w:rPr>
      </w:pPr>
      <w:r>
        <w:fldChar w:fldCharType="begin"/>
      </w:r>
      <w:r>
        <w:instrText xml:space="preserve"> HYPERLINK \l "_Toc12078" </w:instrText>
      </w:r>
      <w:r>
        <w:fldChar w:fldCharType="separate"/>
      </w:r>
      <w:r>
        <w:rPr>
          <w:rFonts w:hint="eastAsia" w:ascii="仿宋_GB2312" w:hAnsi="宋体" w:eastAsia="仿宋_GB2312" w:cs="宋体"/>
          <w:sz w:val="24"/>
        </w:rPr>
        <w:t>响应文件格式</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_Toc12078 \h </w:instrText>
      </w:r>
      <w:r>
        <w:rPr>
          <w:rFonts w:hint="eastAsia" w:ascii="仿宋_GB2312" w:hAnsi="宋体" w:eastAsia="仿宋_GB2312" w:cs="宋体"/>
          <w:sz w:val="24"/>
        </w:rPr>
        <w:fldChar w:fldCharType="separate"/>
      </w:r>
      <w:r>
        <w:rPr>
          <w:rFonts w:hint="eastAsia" w:ascii="仿宋_GB2312" w:hAnsi="宋体" w:eastAsia="仿宋_GB2312" w:cs="宋体"/>
          <w:sz w:val="24"/>
        </w:rPr>
        <w:t>46</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36535CF7">
      <w:pPr>
        <w:pStyle w:val="43"/>
        <w:tabs>
          <w:tab w:val="right" w:leader="dot" w:pos="9638"/>
        </w:tabs>
        <w:spacing w:line="360" w:lineRule="auto"/>
        <w:rPr>
          <w:rFonts w:ascii="仿宋_GB2312" w:eastAsia="仿宋_GB2312"/>
          <w:sz w:val="24"/>
        </w:rPr>
      </w:pPr>
      <w:r>
        <w:fldChar w:fldCharType="begin"/>
      </w:r>
      <w:r>
        <w:instrText xml:space="preserve"> HYPERLINK \l "_Toc4591" </w:instrText>
      </w:r>
      <w:r>
        <w:fldChar w:fldCharType="separate"/>
      </w:r>
      <w:r>
        <w:rPr>
          <w:rFonts w:hint="eastAsia" w:ascii="仿宋_GB2312" w:hAnsi="宋体" w:eastAsia="仿宋_GB2312" w:cs="宋体"/>
          <w:sz w:val="24"/>
        </w:rPr>
        <w:t>评审指引表</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_Toc4591 \h </w:instrText>
      </w:r>
      <w:r>
        <w:rPr>
          <w:rFonts w:hint="eastAsia" w:ascii="仿宋_GB2312" w:hAnsi="宋体" w:eastAsia="仿宋_GB2312" w:cs="宋体"/>
          <w:sz w:val="24"/>
        </w:rPr>
        <w:fldChar w:fldCharType="separate"/>
      </w:r>
      <w:r>
        <w:rPr>
          <w:rFonts w:hint="eastAsia" w:ascii="仿宋_GB2312" w:hAnsi="宋体" w:eastAsia="仿宋_GB2312" w:cs="宋体"/>
          <w:sz w:val="24"/>
        </w:rPr>
        <w:t>49</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4EABD4D7">
      <w:pPr>
        <w:pStyle w:val="36"/>
        <w:tabs>
          <w:tab w:val="right" w:leader="dot" w:pos="9638"/>
        </w:tabs>
        <w:spacing w:line="360" w:lineRule="auto"/>
        <w:rPr>
          <w:rFonts w:ascii="仿宋_GB2312" w:eastAsia="仿宋_GB2312"/>
          <w:sz w:val="24"/>
        </w:rPr>
      </w:pPr>
      <w:r>
        <w:fldChar w:fldCharType="begin"/>
      </w:r>
      <w:r>
        <w:instrText xml:space="preserve"> HYPERLINK \l "_Toc12969" </w:instrText>
      </w:r>
      <w:r>
        <w:fldChar w:fldCharType="separate"/>
      </w:r>
      <w:r>
        <w:rPr>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_Toc12969 \h </w:instrText>
      </w:r>
      <w:r>
        <w:rPr>
          <w:rFonts w:hint="eastAsia" w:ascii="仿宋_GB2312" w:eastAsia="仿宋_GB2312"/>
          <w:sz w:val="24"/>
        </w:rPr>
        <w:fldChar w:fldCharType="separate"/>
      </w:r>
      <w:r>
        <w:rPr>
          <w:rFonts w:hint="eastAsia" w:ascii="仿宋_GB2312" w:eastAsia="仿宋_GB2312"/>
          <w:sz w:val="24"/>
        </w:rPr>
        <w:t>86</w:t>
      </w:r>
      <w:r>
        <w:rPr>
          <w:rFonts w:hint="eastAsia" w:ascii="仿宋_GB2312" w:eastAsia="仿宋_GB2312"/>
          <w:sz w:val="24"/>
        </w:rPr>
        <w:fldChar w:fldCharType="end"/>
      </w:r>
      <w:r>
        <w:rPr>
          <w:rFonts w:hint="eastAsia" w:ascii="仿宋_GB2312" w:eastAsia="仿宋_GB2312"/>
          <w:sz w:val="24"/>
        </w:rPr>
        <w:fldChar w:fldCharType="end"/>
      </w:r>
    </w:p>
    <w:p w14:paraId="02647D67">
      <w:pPr>
        <w:spacing w:line="360" w:lineRule="auto"/>
      </w:pPr>
      <w:r>
        <w:rPr>
          <w:rFonts w:hint="eastAsia" w:ascii="仿宋_GB2312" w:eastAsia="仿宋_GB2312"/>
          <w:sz w:val="24"/>
        </w:rPr>
        <w:fldChar w:fldCharType="end"/>
      </w:r>
    </w:p>
    <w:p w14:paraId="4D49EE76">
      <w:pPr>
        <w:widowControl/>
        <w:jc w:val="left"/>
      </w:pPr>
      <w:r>
        <w:br w:type="page"/>
      </w:r>
    </w:p>
    <w:p w14:paraId="561D896B"/>
    <w:p w14:paraId="05770C83">
      <w:pPr>
        <w:pStyle w:val="2"/>
      </w:pPr>
      <w:bookmarkStart w:id="0" w:name="_Toc6265"/>
      <w:r>
        <w:rPr>
          <w:rFonts w:hint="eastAsia"/>
        </w:rPr>
        <w:t>第一章  采</w:t>
      </w:r>
      <w:bookmarkStart w:id="74" w:name="_GoBack"/>
      <w:bookmarkEnd w:id="74"/>
      <w:r>
        <w:rPr>
          <w:rFonts w:hint="eastAsia"/>
        </w:rPr>
        <w:t>购邀请</w:t>
      </w:r>
      <w:bookmarkEnd w:id="0"/>
    </w:p>
    <w:p w14:paraId="6D65E31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32AD801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2026年度医疗责任保险（重新采购第1次）</w:t>
      </w:r>
      <w:r>
        <w:rPr>
          <w:rFonts w:hint="eastAsia" w:ascii="宋体" w:hAnsi="宋体" w:cs="Arial Unicode MS"/>
          <w:snapToGrid w:val="0"/>
          <w:kern w:val="0"/>
          <w:szCs w:val="21"/>
        </w:rPr>
        <w:t>采购项目的潜在供应商应在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获取采购文件，并于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10</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29</w:t>
      </w:r>
      <w:r>
        <w:rPr>
          <w:rFonts w:hint="eastAsia" w:ascii="宋体" w:hAnsi="宋体" w:cs="Arial Unicode MS"/>
          <w:snapToGrid w:val="0"/>
          <w:kern w:val="0"/>
          <w:szCs w:val="21"/>
          <w:u w:val="single"/>
        </w:rPr>
        <w:t>日</w:t>
      </w:r>
      <w:r>
        <w:rPr>
          <w:rFonts w:hint="eastAsia" w:ascii="宋体" w:hAnsi="宋体" w:cs="Arial Unicode MS"/>
          <w:snapToGrid w:val="0"/>
          <w:kern w:val="0"/>
          <w:szCs w:val="21"/>
          <w:u w:val="single"/>
          <w:lang w:val="en-US" w:eastAsia="zh-CN"/>
        </w:rPr>
        <w:t>09点3</w:t>
      </w:r>
      <w:r>
        <w:rPr>
          <w:rFonts w:hint="eastAsia" w:ascii="宋体" w:hAnsi="宋体" w:cs="Arial Unicode MS"/>
          <w:snapToGrid w:val="0"/>
          <w:kern w:val="0"/>
          <w:szCs w:val="21"/>
          <w:u w:val="single"/>
        </w:rPr>
        <w:t>0分</w:t>
      </w:r>
      <w:r>
        <w:rPr>
          <w:rFonts w:hint="eastAsia" w:ascii="宋体" w:hAnsi="宋体" w:cs="Arial Unicode MS"/>
          <w:snapToGrid w:val="0"/>
          <w:kern w:val="0"/>
          <w:szCs w:val="21"/>
        </w:rPr>
        <w:t>（北京时间）前递交响应文件。</w:t>
      </w:r>
    </w:p>
    <w:p w14:paraId="6C74BFEC">
      <w:pPr>
        <w:adjustRightInd w:val="0"/>
        <w:snapToGrid w:val="0"/>
        <w:spacing w:line="360" w:lineRule="auto"/>
        <w:ind w:firstLine="420" w:firstLineChars="200"/>
        <w:jc w:val="left"/>
        <w:rPr>
          <w:rFonts w:ascii="宋体" w:hAnsi="宋体" w:cs="Arial Unicode MS"/>
          <w:snapToGrid w:val="0"/>
          <w:kern w:val="0"/>
          <w:szCs w:val="21"/>
        </w:rPr>
      </w:pPr>
    </w:p>
    <w:p w14:paraId="70F95CEE">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5E93558F">
      <w:pPr>
        <w:pStyle w:val="456"/>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z w:val="21"/>
          <w:szCs w:val="21"/>
          <w:lang w:eastAsia="zh-CN"/>
        </w:rPr>
        <w:t>LGZXDL-2026-00802（LGQRMYY-2026002A）</w:t>
      </w:r>
    </w:p>
    <w:p w14:paraId="729C2172">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2026年度医疗责任保险（重新采购第1次）</w:t>
      </w:r>
    </w:p>
    <w:p w14:paraId="73207EC6">
      <w:pPr>
        <w:pStyle w:val="456"/>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3、预算金额：人民币</w:t>
      </w:r>
      <w:r>
        <w:rPr>
          <w:rFonts w:hint="eastAsia" w:ascii="宋体" w:hAnsi="宋体" w:eastAsia="宋体"/>
          <w:snapToGrid w:val="0"/>
          <w:color w:val="auto"/>
          <w:sz w:val="21"/>
          <w:szCs w:val="21"/>
          <w:u w:val="single"/>
          <w:lang w:eastAsia="zh-CN"/>
        </w:rPr>
        <w:t>980,000.00</w:t>
      </w:r>
      <w:r>
        <w:rPr>
          <w:rFonts w:hint="eastAsia" w:ascii="宋体" w:hAnsi="宋体" w:eastAsia="宋体"/>
          <w:snapToGrid w:val="0"/>
          <w:color w:val="auto"/>
          <w:sz w:val="21"/>
          <w:szCs w:val="21"/>
        </w:rPr>
        <w:t>元</w:t>
      </w:r>
    </w:p>
    <w:p w14:paraId="6C790C9E">
      <w:pPr>
        <w:pStyle w:val="456"/>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4、最高限价：人民币</w:t>
      </w:r>
      <w:r>
        <w:rPr>
          <w:rFonts w:hint="eastAsia" w:ascii="宋体" w:hAnsi="宋体" w:eastAsia="宋体"/>
          <w:snapToGrid w:val="0"/>
          <w:color w:val="auto"/>
          <w:sz w:val="21"/>
          <w:szCs w:val="21"/>
          <w:u w:val="single"/>
          <w:lang w:eastAsia="zh-CN"/>
        </w:rPr>
        <w:t>980,000.00</w:t>
      </w:r>
      <w:r>
        <w:rPr>
          <w:rFonts w:hint="eastAsia" w:ascii="宋体" w:hAnsi="宋体" w:eastAsia="宋体"/>
          <w:snapToGrid w:val="0"/>
          <w:color w:val="auto"/>
          <w:sz w:val="21"/>
          <w:szCs w:val="21"/>
        </w:rPr>
        <w:t>元</w:t>
      </w:r>
    </w:p>
    <w:p w14:paraId="5B8030F6">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5、采购需求：</w:t>
      </w:r>
    </w:p>
    <w:tbl>
      <w:tblPr>
        <w:tblStyle w:val="52"/>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120"/>
        <w:gridCol w:w="779"/>
        <w:gridCol w:w="779"/>
        <w:gridCol w:w="3261"/>
        <w:gridCol w:w="1134"/>
      </w:tblGrid>
      <w:tr w14:paraId="328B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50E19B6A">
            <w:pPr>
              <w:pStyle w:val="47"/>
              <w:spacing w:before="0" w:beforeAutospacing="0" w:after="0" w:afterAutospacing="0" w:line="360" w:lineRule="auto"/>
              <w:jc w:val="center"/>
              <w:rPr>
                <w:sz w:val="21"/>
              </w:rPr>
            </w:pPr>
            <w:r>
              <w:rPr>
                <w:rFonts w:hint="eastAsia"/>
                <w:sz w:val="21"/>
              </w:rPr>
              <w:t>序号</w:t>
            </w:r>
          </w:p>
        </w:tc>
        <w:tc>
          <w:tcPr>
            <w:tcW w:w="3120" w:type="dxa"/>
            <w:shd w:val="clear" w:color="auto" w:fill="ABCDEF"/>
            <w:vAlign w:val="center"/>
          </w:tcPr>
          <w:p w14:paraId="1BB7FACE">
            <w:pPr>
              <w:pStyle w:val="47"/>
              <w:spacing w:line="360" w:lineRule="auto"/>
              <w:jc w:val="center"/>
              <w:rPr>
                <w:sz w:val="21"/>
              </w:rPr>
            </w:pPr>
            <w:r>
              <w:rPr>
                <w:sz w:val="21"/>
              </w:rPr>
              <w:t>标的名称</w:t>
            </w:r>
          </w:p>
        </w:tc>
        <w:tc>
          <w:tcPr>
            <w:tcW w:w="779" w:type="dxa"/>
            <w:shd w:val="clear" w:color="auto" w:fill="ABCDEF"/>
            <w:vAlign w:val="center"/>
          </w:tcPr>
          <w:p w14:paraId="410D9409">
            <w:pPr>
              <w:pStyle w:val="47"/>
              <w:spacing w:before="0" w:beforeAutospacing="0" w:after="0" w:afterAutospacing="0" w:line="360" w:lineRule="auto"/>
              <w:jc w:val="center"/>
              <w:rPr>
                <w:sz w:val="21"/>
              </w:rPr>
            </w:pPr>
            <w:r>
              <w:rPr>
                <w:sz w:val="21"/>
              </w:rPr>
              <w:t>数量</w:t>
            </w:r>
          </w:p>
        </w:tc>
        <w:tc>
          <w:tcPr>
            <w:tcW w:w="779" w:type="dxa"/>
            <w:shd w:val="clear" w:color="auto" w:fill="ABCDEF"/>
            <w:vAlign w:val="center"/>
          </w:tcPr>
          <w:p w14:paraId="37653280">
            <w:pPr>
              <w:pStyle w:val="47"/>
              <w:spacing w:before="0" w:beforeAutospacing="0" w:after="0" w:afterAutospacing="0" w:line="360" w:lineRule="auto"/>
              <w:jc w:val="center"/>
              <w:rPr>
                <w:sz w:val="21"/>
              </w:rPr>
            </w:pPr>
            <w:r>
              <w:rPr>
                <w:sz w:val="21"/>
              </w:rPr>
              <w:t>单位</w:t>
            </w:r>
          </w:p>
        </w:tc>
        <w:tc>
          <w:tcPr>
            <w:tcW w:w="3261" w:type="dxa"/>
            <w:shd w:val="clear" w:color="auto" w:fill="ABCDEF"/>
            <w:vAlign w:val="center"/>
          </w:tcPr>
          <w:p w14:paraId="4F20DA6E">
            <w:pPr>
              <w:pStyle w:val="47"/>
              <w:spacing w:before="0" w:beforeAutospacing="0" w:after="0" w:afterAutospacing="0" w:line="360" w:lineRule="auto"/>
              <w:jc w:val="center"/>
              <w:rPr>
                <w:sz w:val="21"/>
              </w:rPr>
            </w:pPr>
            <w:r>
              <w:rPr>
                <w:rFonts w:hint="eastAsia"/>
                <w:sz w:val="21"/>
              </w:rPr>
              <w:t>简要技术需求或服务要求</w:t>
            </w:r>
          </w:p>
        </w:tc>
        <w:tc>
          <w:tcPr>
            <w:tcW w:w="1134" w:type="dxa"/>
            <w:shd w:val="clear" w:color="auto" w:fill="ABCDEF"/>
            <w:vAlign w:val="center"/>
          </w:tcPr>
          <w:p w14:paraId="7D8B6F0C">
            <w:pPr>
              <w:pStyle w:val="47"/>
              <w:spacing w:before="0" w:beforeAutospacing="0" w:after="0" w:afterAutospacing="0" w:line="360" w:lineRule="auto"/>
              <w:jc w:val="center"/>
              <w:rPr>
                <w:sz w:val="21"/>
              </w:rPr>
            </w:pPr>
            <w:r>
              <w:rPr>
                <w:sz w:val="21"/>
              </w:rPr>
              <w:t>备注</w:t>
            </w:r>
          </w:p>
        </w:tc>
      </w:tr>
      <w:tr w14:paraId="5D01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26312432">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3120" w:type="dxa"/>
            <w:shd w:val="clear" w:color="auto" w:fill="auto"/>
            <w:vAlign w:val="center"/>
          </w:tcPr>
          <w:p w14:paraId="461E4483">
            <w:pPr>
              <w:pStyle w:val="47"/>
              <w:spacing w:line="360" w:lineRule="auto"/>
              <w:jc w:val="center"/>
              <w:rPr>
                <w:rFonts w:hint="eastAsia" w:ascii="宋体" w:hAnsi="宋体" w:eastAsia="宋体"/>
                <w:sz w:val="21"/>
                <w:szCs w:val="21"/>
                <w:lang w:eastAsia="zh-CN"/>
              </w:rPr>
            </w:pPr>
            <w:r>
              <w:rPr>
                <w:rFonts w:hint="eastAsia" w:ascii="宋体" w:hAnsi="宋体" w:cs="宋体"/>
                <w:sz w:val="21"/>
                <w:szCs w:val="21"/>
                <w:lang w:eastAsia="zh-CN"/>
              </w:rPr>
              <w:t>2026年度医疗责任保险（重新采购第1次）</w:t>
            </w:r>
          </w:p>
        </w:tc>
        <w:tc>
          <w:tcPr>
            <w:tcW w:w="779" w:type="dxa"/>
            <w:shd w:val="clear" w:color="auto" w:fill="auto"/>
            <w:vAlign w:val="center"/>
          </w:tcPr>
          <w:p w14:paraId="0A2915F4">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779" w:type="dxa"/>
            <w:shd w:val="clear" w:color="auto" w:fill="auto"/>
            <w:vAlign w:val="center"/>
          </w:tcPr>
          <w:p w14:paraId="3291E019">
            <w:pPr>
              <w:pStyle w:val="47"/>
              <w:spacing w:before="0" w:beforeAutospacing="0" w:after="0" w:afterAutospacing="0" w:line="360" w:lineRule="auto"/>
              <w:jc w:val="center"/>
              <w:rPr>
                <w:rFonts w:hint="eastAsia" w:ascii="宋体" w:hAnsi="宋体" w:eastAsia="宋体"/>
                <w:sz w:val="21"/>
                <w:szCs w:val="21"/>
                <w:lang w:eastAsia="zh-CN"/>
              </w:rPr>
            </w:pPr>
            <w:r>
              <w:rPr>
                <w:rFonts w:hint="eastAsia" w:ascii="宋体" w:hAnsi="宋体" w:eastAsia="宋体"/>
                <w:sz w:val="21"/>
                <w:szCs w:val="21"/>
                <w:lang w:eastAsia="zh-CN"/>
              </w:rPr>
              <w:t>项</w:t>
            </w:r>
          </w:p>
        </w:tc>
        <w:tc>
          <w:tcPr>
            <w:tcW w:w="3261" w:type="dxa"/>
            <w:shd w:val="clear" w:color="auto" w:fill="auto"/>
            <w:vAlign w:val="center"/>
          </w:tcPr>
          <w:p w14:paraId="1AD63F45">
            <w:pPr>
              <w:pStyle w:val="47"/>
              <w:spacing w:line="360" w:lineRule="auto"/>
              <w:jc w:val="center"/>
              <w:rPr>
                <w:rFonts w:ascii="宋体" w:hAnsi="宋体"/>
                <w:sz w:val="21"/>
              </w:rPr>
            </w:pPr>
            <w:r>
              <w:rPr>
                <w:rFonts w:hint="eastAsia" w:ascii="宋体" w:hAnsi="宋体"/>
                <w:sz w:val="21"/>
              </w:rPr>
              <w:t>详见采购文件项目需求</w:t>
            </w:r>
          </w:p>
        </w:tc>
        <w:tc>
          <w:tcPr>
            <w:tcW w:w="1134" w:type="dxa"/>
            <w:shd w:val="clear" w:color="auto" w:fill="auto"/>
            <w:vAlign w:val="center"/>
          </w:tcPr>
          <w:p w14:paraId="6EC9874E">
            <w:pPr>
              <w:spacing w:line="360" w:lineRule="auto"/>
              <w:jc w:val="center"/>
              <w:rPr>
                <w:rFonts w:ascii="宋体" w:hAnsi="宋体"/>
              </w:rPr>
            </w:pPr>
            <w:r>
              <w:rPr>
                <w:rFonts w:hint="eastAsia" w:ascii="宋体" w:hAnsi="宋体"/>
              </w:rPr>
              <w:t>无</w:t>
            </w:r>
          </w:p>
        </w:tc>
      </w:tr>
    </w:tbl>
    <w:p w14:paraId="4E59988C">
      <w:pPr>
        <w:pStyle w:val="456"/>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6、合同履行期限：详见采购文件。</w:t>
      </w:r>
    </w:p>
    <w:p w14:paraId="1B0BE242">
      <w:pPr>
        <w:pStyle w:val="456"/>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7、本项目（是/否）接受联合体</w:t>
      </w:r>
      <w:r>
        <w:rPr>
          <w:rFonts w:hint="eastAsia" w:ascii="宋体" w:hAnsi="宋体" w:eastAsia="宋体"/>
          <w:snapToGrid w:val="0"/>
          <w:color w:val="auto"/>
          <w:sz w:val="21"/>
        </w:rPr>
        <w:t>响应</w:t>
      </w:r>
      <w:r>
        <w:rPr>
          <w:rFonts w:hint="eastAsia" w:ascii="宋体" w:hAnsi="宋体" w:eastAsia="宋体"/>
          <w:snapToGrid w:val="0"/>
          <w:color w:val="auto"/>
          <w:sz w:val="21"/>
          <w:szCs w:val="21"/>
        </w:rPr>
        <w:t>：详见“申请人的资格要求”。</w:t>
      </w:r>
    </w:p>
    <w:p w14:paraId="590802DE">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rPr>
      </w:pPr>
      <w:r>
        <w:rPr>
          <w:rFonts w:hint="eastAsia" w:ascii="宋体" w:hAnsi="宋体" w:eastAsia="宋体"/>
          <w:b/>
          <w:snapToGrid w:val="0"/>
          <w:color w:val="auto"/>
          <w:sz w:val="21"/>
          <w:szCs w:val="21"/>
        </w:rPr>
        <w:t>二、</w:t>
      </w:r>
      <w:r>
        <w:rPr>
          <w:rFonts w:hint="eastAsia" w:ascii="宋体" w:hAnsi="宋体" w:eastAsia="宋体"/>
          <w:b/>
          <w:snapToGrid w:val="0"/>
          <w:color w:val="auto"/>
          <w:sz w:val="21"/>
          <w:szCs w:val="21"/>
          <w:lang w:val="en-US" w:eastAsia="zh-CN"/>
        </w:rPr>
        <w:t>响应须知</w:t>
      </w:r>
    </w:p>
    <w:p w14:paraId="5185241B">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 xml:space="preserve">若供应商与采购人相关人员有利害关系的，须执行回避，不得参与本次采购活动。回避情况包括但不限于：采购人临床医技科室负责人员和其他从事管理的人员及配偶、子女及其配偶，参与开办、入股（除上市公司非控制股东）或实际控制的企业不得在本医疗机构进行营利性活动。 </w:t>
      </w:r>
    </w:p>
    <w:p w14:paraId="145C6C85">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三</w:t>
      </w:r>
      <w:r>
        <w:rPr>
          <w:rFonts w:hint="eastAsia" w:ascii="宋体" w:hAnsi="宋体" w:eastAsia="宋体"/>
          <w:b/>
          <w:snapToGrid w:val="0"/>
          <w:color w:val="auto"/>
          <w:sz w:val="21"/>
          <w:szCs w:val="21"/>
        </w:rPr>
        <w:t>、申请人的资格要求</w:t>
      </w:r>
    </w:p>
    <w:p w14:paraId="7E365832">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w:t>
      </w:r>
      <w:r>
        <w:rPr>
          <w:rFonts w:hint="eastAsia" w:ascii="宋体" w:hAnsi="宋体" w:eastAsia="宋体" w:cs="宋体"/>
          <w:color w:val="auto"/>
          <w:sz w:val="21"/>
          <w:szCs w:val="21"/>
          <w:highlight w:val="none"/>
          <w:lang w:val="en-US" w:eastAsia="zh-CN"/>
        </w:rPr>
        <w:t>具有独立法人资格或是具有独立承担民事责任能力的其他</w:t>
      </w:r>
      <w:r>
        <w:rPr>
          <w:rFonts w:hint="default" w:ascii="宋体" w:hAnsi="宋体" w:eastAsia="宋体" w:cs="宋体"/>
          <w:color w:val="auto"/>
          <w:sz w:val="21"/>
          <w:szCs w:val="21"/>
          <w:highlight w:val="none"/>
          <w:lang w:val="en-US" w:eastAsia="zh-CN"/>
        </w:rPr>
        <w:t>组织</w:t>
      </w:r>
      <w:r>
        <w:rPr>
          <w:rFonts w:hint="eastAsia" w:ascii="宋体" w:hAnsi="宋体" w:eastAsia="宋体" w:cs="宋体"/>
          <w:color w:val="auto"/>
          <w:sz w:val="21"/>
          <w:szCs w:val="21"/>
          <w:highlight w:val="none"/>
          <w:lang w:val="en-US" w:eastAsia="zh-CN"/>
        </w:rPr>
        <w:t>（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r>
        <w:rPr>
          <w:rFonts w:hint="eastAsia" w:asciiTheme="minorEastAsia" w:hAnsiTheme="minorEastAsia" w:eastAsiaTheme="minorEastAsia"/>
          <w:snapToGrid w:val="0"/>
          <w:color w:val="auto"/>
          <w:sz w:val="21"/>
        </w:rPr>
        <w:t>。</w:t>
      </w:r>
    </w:p>
    <w:p w14:paraId="6E7EC3D1">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2.本项目不接受联合体投标（由供应商在《参与政府采购活动及履约承诺函》中作出声明），不允许供应商分包或转包，不接受</w:t>
      </w:r>
      <w:r>
        <w:rPr>
          <w:rFonts w:hint="eastAsia" w:asciiTheme="minorEastAsia" w:hAnsiTheme="minorEastAsia" w:eastAsiaTheme="minorEastAsia"/>
          <w:snapToGrid w:val="0"/>
          <w:color w:val="auto"/>
          <w:sz w:val="21"/>
          <w:lang w:eastAsia="zh-CN"/>
        </w:rPr>
        <w:t>供应商</w:t>
      </w:r>
      <w:r>
        <w:rPr>
          <w:rFonts w:hint="eastAsia" w:asciiTheme="minorEastAsia" w:hAnsiTheme="minorEastAsia" w:eastAsiaTheme="minorEastAsia"/>
          <w:snapToGrid w:val="0"/>
          <w:color w:val="auto"/>
          <w:sz w:val="21"/>
        </w:rPr>
        <w:t>选用进口产品参与投标。</w:t>
      </w:r>
    </w:p>
    <w:p w14:paraId="6208ACAA">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3.参与本项目政府采购活动时不存在被有关部门禁止参与政府采购活动且在有效期内的情况（由供应商在《参与政府采购活动及履约承诺函》中作出声明）。</w:t>
      </w:r>
    </w:p>
    <w:p w14:paraId="7472B7AC">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4.具备《中华人民共和国政府采购法》第二十二条第一款的条件（由供应商在《参与政府采购活动及履约承诺函》中作出声明）。</w:t>
      </w:r>
    </w:p>
    <w:p w14:paraId="611CF6DF">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5.未被列入失信被执行人、重大税收违法案件当事人名单、政府采购严重违法失信行为记录名单（由供应商在《参与政府采购活动及履约承诺函》中作出声明）。</w:t>
      </w:r>
    </w:p>
    <w:p w14:paraId="0B4CB893">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注：信用信息查询渠道，具体包括“信用中国”（www.creditchina.gov.cn）、“中国政府采购网”（www.ccgp.gov.cn）、“深圳市政府采购监管网”（http://zfcg.sz.gov.cn ）以及市、区财政部门认定的其他渠道，具体以开标当日上述渠道的全部查询结果为准。</w:t>
      </w:r>
    </w:p>
    <w:p w14:paraId="6AED1CAB">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6.不存在《深圳市财政局政府采购供应商信用信息管理办法》（深财规〔2023〕3号）列明的严重违法失信行为（由供应商在《参与政府采购活动及履约承诺函》中作出声明）。</w:t>
      </w:r>
    </w:p>
    <w:p w14:paraId="3371E086">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7.为采购项目提供整体设计、规范编制或者项目管理、监理、检测等服务的供应商，不得再参加该采购项目的其他采购活动（由供应商在《参与政府采购活动及履约承诺函》中作出声明）。</w:t>
      </w:r>
    </w:p>
    <w:p w14:paraId="08999C54">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8.不同供应商的法定代表人、主要经营负责人、项目投标授权代表人、项目负责人、主要技术人员不得为同一人、属于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5D21E69A">
      <w:pPr>
        <w:pStyle w:val="456"/>
        <w:adjustRightInd w:val="0"/>
        <w:snapToGrid w:val="0"/>
        <w:spacing w:before="0" w:beforeAutospacing="0" w:after="0" w:afterAutospacing="0" w:line="360" w:lineRule="auto"/>
        <w:ind w:firstLine="426" w:firstLineChars="202"/>
        <w:rPr>
          <w:rFonts w:hint="eastAsia" w:ascii="宋体" w:hAnsi="宋体" w:eastAsia="宋体" w:cs="宋体"/>
          <w:b/>
          <w:bCs/>
          <w:snapToGrid w:val="0"/>
          <w:color w:val="auto"/>
          <w:sz w:val="21"/>
          <w:lang w:val="en-US" w:eastAsia="zh-CN"/>
        </w:rPr>
      </w:pPr>
      <w:r>
        <w:rPr>
          <w:rFonts w:hint="eastAsia" w:ascii="宋体" w:hAnsi="宋体" w:eastAsia="宋体" w:cs="宋体"/>
          <w:b/>
          <w:bCs/>
          <w:snapToGrid w:val="0"/>
          <w:color w:val="auto"/>
          <w:sz w:val="21"/>
          <w:lang w:val="en-US" w:eastAsia="zh-CN"/>
        </w:rPr>
        <w:t>9.</w:t>
      </w:r>
      <w:r>
        <w:rPr>
          <w:rFonts w:hint="eastAsia" w:ascii="宋体" w:hAnsi="宋体" w:eastAsia="宋体" w:cs="宋体"/>
          <w:b/>
          <w:bCs/>
          <w:color w:val="auto"/>
          <w:kern w:val="0"/>
          <w:sz w:val="21"/>
          <w:szCs w:val="21"/>
          <w:highlight w:val="none"/>
          <w:lang w:val="en-US" w:eastAsia="zh-CN" w:bidi="ar-SA"/>
        </w:rPr>
        <w:t>投标人须提供由国家金融监督管理总局(原中国保险监督管理委员会)或其派出机构颁发的《保险许可证》或《保险公司法人许可证》或《经营保险业务许可证》或《金融许可证》(须提供有效证书复印件，且载明的业务范围须含责任保险)。</w:t>
      </w:r>
    </w:p>
    <w:p w14:paraId="37E01D4D">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rPr>
      </w:pPr>
    </w:p>
    <w:p w14:paraId="771FA214">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四</w:t>
      </w:r>
      <w:r>
        <w:rPr>
          <w:rFonts w:hint="eastAsia" w:ascii="宋体" w:hAnsi="宋体" w:eastAsia="宋体"/>
          <w:b/>
          <w:snapToGrid w:val="0"/>
          <w:color w:val="auto"/>
          <w:sz w:val="21"/>
          <w:szCs w:val="21"/>
        </w:rPr>
        <w:t>、获取采购文件</w:t>
      </w:r>
      <w:r>
        <w:rPr>
          <w:rFonts w:ascii="宋体" w:hAnsi="宋体" w:eastAsia="宋体"/>
          <w:b/>
          <w:snapToGrid w:val="0"/>
          <w:color w:val="auto"/>
          <w:sz w:val="21"/>
          <w:szCs w:val="21"/>
        </w:rPr>
        <w:t xml:space="preserve"> </w:t>
      </w:r>
    </w:p>
    <w:p w14:paraId="71C4B4FB">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19</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26</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312823C6">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 xml:space="preserve">深圳市福田区民田路171号新华保险大厦903 </w:t>
      </w:r>
    </w:p>
    <w:p w14:paraId="6F6F40B4">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5E3635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（1）现场获取：供应商按以上时间和地点现场报名和获取采购文件（提供加盖公章的《购买标书登记表》），逾期不予受理。</w:t>
      </w:r>
    </w:p>
    <w:p w14:paraId="4A5F7C7D">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 xml:space="preserve">（2）线上获取：供应商通过邮件报名及获取采购文件，报名时间以我司邮箱收件时间为准（我司邮箱：qtszzzzb@163.com），逾期不予受理。需提供以下资料: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购买采购文件费用的银行转账凭证。</w:t>
      </w:r>
    </w:p>
    <w:p w14:paraId="688AFA0C">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4、售价：人民币600元，采购文件售后不退。购买采购文件账号信息如下：</w:t>
      </w:r>
    </w:p>
    <w:p w14:paraId="302B19A4">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4F9AF55B">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11131405">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6349F3F4">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b/>
          <w:bCs/>
          <w:snapToGrid w:val="0"/>
          <w:color w:val="auto"/>
          <w:sz w:val="21"/>
        </w:rPr>
        <w:t>注：</w:t>
      </w:r>
      <w:r>
        <w:rPr>
          <w:rFonts w:hint="eastAsia" w:ascii="宋体" w:hAnsi="宋体" w:eastAsia="宋体"/>
          <w:b/>
          <w:bCs/>
          <w:snapToGrid w:val="0"/>
          <w:color w:val="auto"/>
          <w:sz w:val="21"/>
          <w:lang w:eastAsia="zh-CN"/>
        </w:rPr>
        <w:t>按深圳政府采购自行采购系统操作要求，</w:t>
      </w:r>
      <w:r>
        <w:rPr>
          <w:rFonts w:hint="eastAsia" w:ascii="宋体" w:hAnsi="宋体" w:eastAsia="宋体"/>
          <w:b/>
          <w:bCs/>
          <w:snapToGrid w:val="0"/>
          <w:color w:val="auto"/>
          <w:sz w:val="21"/>
        </w:rPr>
        <w:t>供应商</w:t>
      </w:r>
      <w:r>
        <w:rPr>
          <w:rFonts w:hint="eastAsia" w:ascii="宋体" w:hAnsi="宋体" w:eastAsia="宋体"/>
          <w:b/>
          <w:bCs/>
          <w:snapToGrid w:val="0"/>
          <w:color w:val="auto"/>
          <w:sz w:val="21"/>
          <w:lang w:eastAsia="zh-CN"/>
        </w:rPr>
        <w:t>需</w:t>
      </w:r>
      <w:r>
        <w:rPr>
          <w:rFonts w:hint="eastAsia" w:ascii="宋体" w:hAnsi="宋体" w:eastAsia="宋体"/>
          <w:b/>
          <w:bCs/>
          <w:snapToGrid w:val="0"/>
          <w:color w:val="auto"/>
          <w:sz w:val="21"/>
        </w:rPr>
        <w:t>办理注册手续，</w:t>
      </w:r>
      <w:r>
        <w:rPr>
          <w:rFonts w:hint="eastAsia" w:ascii="宋体" w:hAnsi="宋体" w:eastAsia="宋体"/>
          <w:b/>
          <w:bCs/>
          <w:snapToGrid w:val="0"/>
          <w:color w:val="auto"/>
          <w:sz w:val="21"/>
          <w:lang w:eastAsia="zh-CN"/>
        </w:rPr>
        <w:t>注册网址为：</w:t>
      </w:r>
      <w:r>
        <w:rPr>
          <w:rFonts w:hint="eastAsia" w:ascii="宋体" w:hAnsi="宋体" w:eastAsia="宋体"/>
          <w:b/>
          <w:bCs/>
          <w:snapToGrid w:val="0"/>
          <w:color w:val="auto"/>
          <w:sz w:val="21"/>
        </w:rPr>
        <w:t>https://trade.szggzy.com/ggzy/center/#/register。</w:t>
      </w:r>
    </w:p>
    <w:p w14:paraId="4578C51F">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lang w:val="en-US" w:eastAsia="zh-CN"/>
        </w:rPr>
      </w:pPr>
    </w:p>
    <w:p w14:paraId="53E907D5">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五</w:t>
      </w:r>
      <w:r>
        <w:rPr>
          <w:rFonts w:hint="eastAsia" w:ascii="宋体" w:hAnsi="宋体" w:eastAsia="宋体"/>
          <w:b/>
          <w:snapToGrid w:val="0"/>
          <w:color w:val="auto"/>
          <w:sz w:val="21"/>
          <w:szCs w:val="21"/>
        </w:rPr>
        <w:t>、提交响应文件截止时间、开标时间和地点</w:t>
      </w:r>
    </w:p>
    <w:p w14:paraId="552D909F">
      <w:pPr>
        <w:pStyle w:val="456"/>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2026年10月29日09点30分</w:t>
      </w:r>
      <w:r>
        <w:rPr>
          <w:rFonts w:hint="eastAsia" w:ascii="宋体" w:hAnsi="宋体" w:eastAsia="宋体"/>
          <w:snapToGrid w:val="0"/>
          <w:color w:val="auto"/>
          <w:sz w:val="21"/>
          <w:szCs w:val="21"/>
          <w:u w:val="single"/>
        </w:rPr>
        <w:t>（北京时间）</w:t>
      </w:r>
    </w:p>
    <w:p w14:paraId="5D973AFA">
      <w:pPr>
        <w:pStyle w:val="456"/>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highlight w:val="yellow"/>
        </w:rPr>
      </w:pPr>
      <w:r>
        <w:rPr>
          <w:rFonts w:hint="eastAsia" w:ascii="宋体" w:hAnsi="宋体" w:eastAsia="宋体"/>
          <w:snapToGrid w:val="0"/>
          <w:color w:val="auto"/>
          <w:sz w:val="21"/>
          <w:szCs w:val="21"/>
        </w:rPr>
        <w:t>2、地点：</w:t>
      </w:r>
      <w:r>
        <w:rPr>
          <w:rFonts w:hint="eastAsia" w:ascii="宋体" w:hAnsi="宋体" w:eastAsia="宋体"/>
          <w:snapToGrid w:val="0"/>
          <w:color w:val="auto"/>
          <w:sz w:val="21"/>
          <w:szCs w:val="21"/>
          <w:highlight w:val="yellow"/>
        </w:rPr>
        <w:t>深圳市龙岗区龙城街道回龙埔社区龙平西路仁恒梦创广场B塔1901C单元</w:t>
      </w:r>
    </w:p>
    <w:p w14:paraId="6F745C97">
      <w:pPr>
        <w:pStyle w:val="456"/>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080283C">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六</w:t>
      </w:r>
      <w:r>
        <w:rPr>
          <w:rFonts w:hint="eastAsia" w:ascii="宋体" w:hAnsi="宋体" w:eastAsia="宋体"/>
          <w:b/>
          <w:snapToGrid w:val="0"/>
          <w:color w:val="auto"/>
          <w:sz w:val="21"/>
          <w:szCs w:val="21"/>
        </w:rPr>
        <w:t>、其他补充事宜</w:t>
      </w:r>
    </w:p>
    <w:p w14:paraId="22A6DE06">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1、本项目属于采购人自行采购项目，采购方式为公开征集，如本项目首次公开征集报名时间截止后有效供应商不足3家，则按以下程序进行：</w:t>
      </w:r>
    </w:p>
    <w:p w14:paraId="346F974C">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（1）首次采购公告挂网报名结束后，不满3家供应商报名时，则报名时间延期3个工作日；</w:t>
      </w:r>
    </w:p>
    <w:p w14:paraId="4BF895E0">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（2）延期报名后，报名的供应商或通过资格性审查和符合性审查的有效供应商仍不满3家的，按如下情形进行：</w:t>
      </w:r>
    </w:p>
    <w:p w14:paraId="5D280696">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①仅有2家时，则本项目采用院内竞争性谈判（综合评分法）进行采购（评审规则参照公开征集）；</w:t>
      </w:r>
    </w:p>
    <w:p w14:paraId="39997E10">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②有效供应商仅有1家时，则本项目采用院内单一来源采购方式进行采购；</w:t>
      </w:r>
    </w:p>
    <w:p w14:paraId="1BCA2FE3">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③如本项目转为院内单一来源采购方式进行，供应商所投产品的技术/服务、商务响应内容均不能出现负偏离，否则视为本项目采购失败。</w:t>
      </w:r>
    </w:p>
    <w:p w14:paraId="49B034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w:t>
      </w:r>
      <w:r>
        <w:rPr>
          <w:rFonts w:hint="eastAsia" w:ascii="宋体" w:hAnsi="宋体" w:eastAsia="宋体"/>
          <w:snapToGrid w:val="0"/>
          <w:color w:val="auto"/>
          <w:sz w:val="21"/>
          <w:szCs w:val="21"/>
        </w:rPr>
        <w:t>本项目如在</w:t>
      </w:r>
      <w:r>
        <w:rPr>
          <w:rFonts w:hint="eastAsia" w:ascii="宋体" w:hAnsi="宋体" w:eastAsia="宋体"/>
          <w:snapToGrid w:val="0"/>
          <w:color w:val="auto"/>
          <w:sz w:val="21"/>
          <w:szCs w:val="21"/>
          <w:lang w:eastAsia="zh-CN"/>
        </w:rPr>
        <w:t>采购失败重新发布采购公告后</w:t>
      </w:r>
      <w:r>
        <w:rPr>
          <w:rFonts w:hint="eastAsia" w:ascii="宋体" w:hAnsi="宋体" w:eastAsia="宋体"/>
          <w:snapToGrid w:val="0"/>
          <w:color w:val="auto"/>
          <w:sz w:val="21"/>
          <w:szCs w:val="21"/>
        </w:rPr>
        <w:t>，报名或参加投标的有效投标人仍不满3家，按如下情形进行:</w:t>
      </w:r>
    </w:p>
    <w:p w14:paraId="2BF1F7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①仅有2家时，评审现场转为院内竞争性谈判(综合评分法)进行采购（评审规则参照公开征集）；</w:t>
      </w:r>
    </w:p>
    <w:p w14:paraId="796352E2">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②仅有1家时，评审现场转为院内单一来源采购方式进行采购；</w:t>
      </w:r>
    </w:p>
    <w:p w14:paraId="21B4E6CE">
      <w:pPr>
        <w:pStyle w:val="456"/>
        <w:numPr>
          <w:ilvl w:val="-1"/>
          <w:numId w:val="0"/>
        </w:numPr>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③如本项目转为院内单一来源采购方式进行时，供应商所投产品的技术/服务、商务响应内容均不能出现负偏离，否则视为本项目采购失败。</w:t>
      </w:r>
    </w:p>
    <w:p w14:paraId="33217E55">
      <w:pPr>
        <w:pStyle w:val="456"/>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本公告及本项目</w:t>
      </w:r>
      <w:r>
        <w:rPr>
          <w:rFonts w:hint="eastAsia" w:ascii="宋体" w:hAnsi="宋体" w:eastAsia="宋体"/>
          <w:snapToGrid w:val="0"/>
          <w:color w:val="auto"/>
          <w:sz w:val="21"/>
          <w:szCs w:val="21"/>
          <w:lang w:eastAsia="zh-CN"/>
        </w:rPr>
        <w:t>采购</w:t>
      </w:r>
      <w:r>
        <w:rPr>
          <w:rFonts w:hint="eastAsia" w:ascii="宋体" w:hAnsi="宋体" w:eastAsia="宋体"/>
          <w:snapToGrid w:val="0"/>
          <w:color w:val="auto"/>
          <w:sz w:val="21"/>
          <w:szCs w:val="21"/>
        </w:rPr>
        <w:t>文件所涉及的时间一律为北京时间。</w:t>
      </w:r>
      <w:r>
        <w:rPr>
          <w:rFonts w:hint="eastAsia" w:ascii="宋体" w:hAnsi="宋体" w:eastAsia="宋体"/>
          <w:snapToGrid w:val="0"/>
          <w:color w:val="auto"/>
          <w:sz w:val="21"/>
          <w:szCs w:val="21"/>
          <w:lang w:val="en-US" w:eastAsia="zh-CN"/>
        </w:rPr>
        <w:t>供应商</w:t>
      </w:r>
      <w:r>
        <w:rPr>
          <w:rFonts w:hint="eastAsia" w:ascii="宋体" w:hAnsi="宋体" w:eastAsia="宋体"/>
          <w:snapToGrid w:val="0"/>
          <w:color w:val="auto"/>
          <w:sz w:val="21"/>
          <w:szCs w:val="21"/>
        </w:rPr>
        <w:t>有义务在</w:t>
      </w:r>
      <w:r>
        <w:rPr>
          <w:rFonts w:hint="eastAsia" w:ascii="宋体" w:hAnsi="宋体" w:eastAsia="宋体"/>
          <w:snapToGrid w:val="0"/>
          <w:color w:val="auto"/>
          <w:sz w:val="21"/>
          <w:szCs w:val="21"/>
          <w:lang w:eastAsia="zh-CN"/>
        </w:rPr>
        <w:t>采购</w:t>
      </w:r>
      <w:r>
        <w:rPr>
          <w:rFonts w:hint="eastAsia" w:ascii="宋体" w:hAnsi="宋体" w:eastAsia="宋体"/>
          <w:snapToGrid w:val="0"/>
          <w:color w:val="auto"/>
          <w:sz w:val="21"/>
          <w:szCs w:val="21"/>
        </w:rPr>
        <w:t>活动</w:t>
      </w:r>
      <w:r>
        <w:rPr>
          <w:rFonts w:hint="eastAsia" w:ascii="宋体" w:hAnsi="宋体" w:eastAsia="宋体"/>
          <w:snapToGrid w:val="0"/>
          <w:color w:val="auto"/>
          <w:sz w:val="21"/>
          <w:szCs w:val="21"/>
          <w:lang w:eastAsia="zh-CN"/>
        </w:rPr>
        <w:t>进行</w:t>
      </w:r>
      <w:r>
        <w:rPr>
          <w:rFonts w:hint="eastAsia" w:ascii="宋体" w:hAnsi="宋体" w:eastAsia="宋体"/>
          <w:snapToGrid w:val="0"/>
          <w:color w:val="auto"/>
          <w:sz w:val="21"/>
          <w:szCs w:val="21"/>
        </w:rPr>
        <w:t>期间浏览深圳公共资源交易中心网站（www.szexgrp.com）及采购代理机构网站（www.szzzt.com），在</w:t>
      </w:r>
      <w:r>
        <w:rPr>
          <w:rFonts w:hint="eastAsia" w:ascii="宋体" w:hAnsi="宋体" w:eastAsia="宋体"/>
          <w:snapToGrid w:val="0"/>
          <w:color w:val="auto"/>
          <w:sz w:val="21"/>
          <w:szCs w:val="21"/>
          <w:lang w:eastAsia="zh-CN"/>
        </w:rPr>
        <w:t>以上</w:t>
      </w:r>
      <w:r>
        <w:rPr>
          <w:rFonts w:hint="eastAsia" w:ascii="宋体" w:hAnsi="宋体" w:eastAsia="宋体"/>
          <w:snapToGrid w:val="0"/>
          <w:color w:val="auto"/>
          <w:sz w:val="21"/>
          <w:szCs w:val="21"/>
        </w:rPr>
        <w:t>网站公布的与本项目有关的信息视为已送达各</w:t>
      </w:r>
      <w:r>
        <w:rPr>
          <w:rFonts w:hint="eastAsia" w:ascii="宋体" w:hAnsi="宋体" w:eastAsia="宋体"/>
          <w:snapToGrid w:val="0"/>
          <w:color w:val="auto"/>
          <w:sz w:val="21"/>
          <w:szCs w:val="21"/>
          <w:lang w:eastAsia="zh-CN"/>
        </w:rPr>
        <w:t>供应商</w:t>
      </w:r>
      <w:r>
        <w:rPr>
          <w:rFonts w:hint="eastAsia" w:ascii="宋体" w:hAnsi="宋体" w:eastAsia="宋体"/>
          <w:snapToGrid w:val="0"/>
          <w:color w:val="auto"/>
          <w:sz w:val="21"/>
          <w:szCs w:val="21"/>
        </w:rPr>
        <w:t>。</w:t>
      </w:r>
    </w:p>
    <w:p w14:paraId="7A8F91BC">
      <w:pPr>
        <w:pStyle w:val="456"/>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7C77A6E4">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七</w:t>
      </w:r>
      <w:r>
        <w:rPr>
          <w:rFonts w:hint="eastAsia" w:ascii="宋体" w:hAnsi="宋体" w:eastAsia="宋体"/>
          <w:b/>
          <w:snapToGrid w:val="0"/>
          <w:color w:val="auto"/>
          <w:sz w:val="21"/>
          <w:szCs w:val="21"/>
        </w:rPr>
        <w:t>、凡对本次采购提出询问，请按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3BD1DCEF">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6D0B3251">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 xml:space="preserve">深圳市龙岗区人民医院 </w:t>
      </w:r>
    </w:p>
    <w:p w14:paraId="774D0121">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地址：</w:t>
      </w:r>
      <w:r>
        <w:rPr>
          <w:rFonts w:hint="eastAsia" w:ascii="宋体" w:hAnsi="宋体" w:eastAsia="宋体"/>
          <w:snapToGrid w:val="0"/>
          <w:color w:val="auto"/>
          <w:sz w:val="21"/>
          <w:szCs w:val="21"/>
          <w:lang w:eastAsia="zh-CN"/>
        </w:rPr>
        <w:t xml:space="preserve">深圳市龙岗区龙城街道爱心路53号 </w:t>
      </w:r>
    </w:p>
    <w:p w14:paraId="0B28B79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尹老师，</w:t>
      </w:r>
      <w:r>
        <w:rPr>
          <w:rFonts w:hint="eastAsia" w:ascii="宋体" w:hAnsi="宋体" w:eastAsia="宋体"/>
          <w:snapToGrid w:val="0"/>
          <w:color w:val="auto"/>
          <w:sz w:val="21"/>
          <w:szCs w:val="21"/>
        </w:rPr>
        <w:t>0755-</w:t>
      </w:r>
      <w:r>
        <w:rPr>
          <w:rFonts w:hint="eastAsia" w:ascii="宋体" w:hAnsi="宋体" w:eastAsia="宋体"/>
          <w:snapToGrid w:val="0"/>
          <w:color w:val="auto"/>
          <w:sz w:val="21"/>
          <w:szCs w:val="21"/>
          <w:lang w:val="en-US" w:eastAsia="zh-CN"/>
        </w:rPr>
        <w:t>28932833转8803</w:t>
      </w:r>
    </w:p>
    <w:p w14:paraId="558765D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44767D3C">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4D25201">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02762CC1">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联系方式：0755-83026699</w:t>
      </w:r>
    </w:p>
    <w:p w14:paraId="16BC1BF7">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381F0DE7">
      <w:pPr>
        <w:pStyle w:val="456"/>
        <w:adjustRightInd w:val="0"/>
        <w:snapToGrid w:val="0"/>
        <w:spacing w:before="0" w:beforeAutospacing="0" w:after="0" w:afterAutospacing="0" w:line="360" w:lineRule="auto"/>
        <w:ind w:left="359" w:leftChars="171" w:firstLine="65" w:firstLineChars="31"/>
        <w:rPr>
          <w:rFonts w:hint="default" w:ascii="宋体" w:hAnsi="宋体" w:eastAsia="宋体"/>
          <w:snapToGrid w:val="0"/>
          <w:color w:val="auto"/>
          <w:sz w:val="21"/>
          <w:szCs w:val="21"/>
          <w:lang w:val="en-US"/>
        </w:rPr>
      </w:pPr>
      <w:r>
        <w:rPr>
          <w:rFonts w:hint="eastAsia" w:ascii="宋体" w:hAnsi="宋体" w:eastAsia="宋体"/>
          <w:snapToGrid w:val="0"/>
          <w:color w:val="auto"/>
          <w:sz w:val="21"/>
          <w:szCs w:val="21"/>
        </w:rPr>
        <w:t>项目联系人：</w:t>
      </w:r>
      <w:r>
        <w:rPr>
          <w:rFonts w:hint="eastAsia" w:ascii="宋体" w:hAnsi="宋体" w:eastAsia="宋体" w:cs="Arial Unicode MS"/>
          <w:snapToGrid w:val="0"/>
          <w:color w:val="auto"/>
          <w:kern w:val="0"/>
          <w:sz w:val="21"/>
          <w:szCs w:val="21"/>
          <w:lang w:val="en-US" w:eastAsia="zh-CN" w:bidi="ar-SA"/>
        </w:rPr>
        <w:t>肖梦情、梁娬</w:t>
      </w:r>
    </w:p>
    <w:p w14:paraId="11C39196">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联系电话：0755-83026699</w:t>
      </w:r>
    </w:p>
    <w:p w14:paraId="16E1B2C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val="en-US" w:eastAsia="zh-CN"/>
        </w:rPr>
        <w:t>监督</w:t>
      </w:r>
      <w:r>
        <w:rPr>
          <w:rFonts w:ascii="宋体" w:hAnsi="宋体" w:eastAsia="宋体"/>
          <w:snapToGrid w:val="0"/>
          <w:color w:val="auto"/>
          <w:sz w:val="21"/>
          <w:szCs w:val="21"/>
        </w:rPr>
        <w:t>联系方式</w:t>
      </w:r>
    </w:p>
    <w:p w14:paraId="3093AC14">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rPr>
      </w:pPr>
      <w:r>
        <w:rPr>
          <w:rFonts w:hint="eastAsia" w:ascii="宋体" w:hAnsi="宋体" w:eastAsia="宋体"/>
          <w:snapToGrid w:val="0"/>
          <w:color w:val="auto"/>
          <w:sz w:val="21"/>
          <w:szCs w:val="21"/>
        </w:rPr>
        <w:t>联系电话：0755-89551103</w:t>
      </w:r>
    </w:p>
    <w:p w14:paraId="4AD934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hint="eastAsia" w:ascii="宋体" w:hAnsi="宋体"/>
          <w:snapToGrid w:val="0"/>
          <w:kern w:val="0"/>
          <w:sz w:val="24"/>
        </w:rPr>
      </w:pPr>
    </w:p>
    <w:p w14:paraId="1C253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6653BA9C">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rPr>
          <w:rFonts w:ascii="宋体" w:hAnsi="宋体"/>
          <w:snapToGrid w:val="0"/>
          <w:kern w:val="0"/>
          <w:sz w:val="24"/>
        </w:rPr>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10</w:t>
      </w:r>
      <w:r>
        <w:rPr>
          <w:rFonts w:hint="eastAsia" w:ascii="宋体" w:hAnsi="宋体"/>
          <w:snapToGrid w:val="0"/>
          <w:kern w:val="0"/>
          <w:sz w:val="24"/>
        </w:rPr>
        <w:t>月</w:t>
      </w:r>
      <w:r>
        <w:rPr>
          <w:rFonts w:hint="eastAsia" w:ascii="宋体" w:hAnsi="宋体"/>
          <w:snapToGrid w:val="0"/>
          <w:kern w:val="0"/>
          <w:sz w:val="24"/>
          <w:lang w:val="en-US" w:eastAsia="zh-CN"/>
        </w:rPr>
        <w:t>19</w:t>
      </w:r>
      <w:r>
        <w:rPr>
          <w:rFonts w:hint="eastAsia" w:ascii="宋体" w:hAnsi="宋体"/>
          <w:snapToGrid w:val="0"/>
          <w:kern w:val="0"/>
          <w:sz w:val="24"/>
        </w:rPr>
        <w:t>日</w:t>
      </w:r>
    </w:p>
    <w:p w14:paraId="7C592592">
      <w:pPr>
        <w:pStyle w:val="22"/>
      </w:pPr>
    </w:p>
    <w:p w14:paraId="5C73C084"/>
    <w:p w14:paraId="2D307CBD">
      <w:pPr>
        <w:pStyle w:val="22"/>
      </w:pPr>
    </w:p>
    <w:p w14:paraId="54B5E895"/>
    <w:p w14:paraId="20DACFB1">
      <w:pPr>
        <w:pStyle w:val="22"/>
      </w:pPr>
    </w:p>
    <w:p w14:paraId="6BF99705"/>
    <w:p w14:paraId="50B4DDCC">
      <w:pPr>
        <w:pStyle w:val="22"/>
      </w:pPr>
    </w:p>
    <w:p w14:paraId="6F40677B"/>
    <w:p w14:paraId="3BBE6268">
      <w:pPr>
        <w:pStyle w:val="22"/>
      </w:pPr>
    </w:p>
    <w:p w14:paraId="7490EFE3"/>
    <w:p w14:paraId="2FF9F3E1">
      <w:pPr>
        <w:pStyle w:val="22"/>
        <w:rPr>
          <w:rFonts w:hint="eastAsia"/>
        </w:rPr>
      </w:pPr>
    </w:p>
    <w:p w14:paraId="2044C3E7">
      <w:pPr>
        <w:rPr>
          <w:rFonts w:hint="eastAsia"/>
        </w:rPr>
      </w:pPr>
    </w:p>
    <w:p w14:paraId="2C002A03">
      <w:pPr>
        <w:pStyle w:val="22"/>
        <w:rPr>
          <w:rFonts w:hint="eastAsia"/>
        </w:rPr>
      </w:pPr>
    </w:p>
    <w:p w14:paraId="0297F2A3">
      <w:pPr>
        <w:rPr>
          <w:rFonts w:hint="eastAsia"/>
        </w:rPr>
      </w:pPr>
    </w:p>
    <w:p w14:paraId="23C76406">
      <w:pPr>
        <w:pStyle w:val="22"/>
        <w:rPr>
          <w:rFonts w:hint="eastAsia"/>
        </w:rPr>
      </w:pPr>
    </w:p>
    <w:p w14:paraId="5ED2B002">
      <w:pPr>
        <w:rPr>
          <w:rFonts w:hint="eastAsia"/>
        </w:rPr>
      </w:pPr>
    </w:p>
    <w:p w14:paraId="0653EDBA">
      <w:r>
        <w:br w:type="page"/>
      </w:r>
    </w:p>
    <w:p w14:paraId="27A6B0DE">
      <w:pPr>
        <w:pStyle w:val="22"/>
      </w:pPr>
    </w:p>
    <w:p w14:paraId="62D134E9">
      <w:pPr>
        <w:pStyle w:val="2"/>
        <w:spacing w:after="200"/>
      </w:pPr>
      <w:bookmarkStart w:id="1" w:name="_Toc17735"/>
      <w:r>
        <w:rPr>
          <w:rFonts w:hint="eastAsia"/>
        </w:rPr>
        <w:t>第二章  项目需求</w:t>
      </w:r>
      <w:bookmarkEnd w:id="1"/>
    </w:p>
    <w:p w14:paraId="4D922C1C">
      <w:pPr>
        <w:spacing w:afterLines="50" w:line="360" w:lineRule="auto"/>
        <w:ind w:left="2"/>
        <w:jc w:val="center"/>
        <w:rPr>
          <w:rFonts w:ascii="宋体" w:hAnsi="宋体"/>
          <w:b/>
          <w:sz w:val="28"/>
          <w:szCs w:val="28"/>
        </w:rPr>
      </w:pPr>
      <w:r>
        <w:rPr>
          <w:rFonts w:hint="eastAsia" w:ascii="宋体" w:hAnsi="宋体"/>
          <w:b/>
          <w:sz w:val="28"/>
          <w:szCs w:val="28"/>
        </w:rPr>
        <w:t>特别说明</w:t>
      </w:r>
    </w:p>
    <w:p w14:paraId="2822648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06458C3A">
      <w:pPr>
        <w:autoSpaceDE w:val="0"/>
        <w:autoSpaceDN w:val="0"/>
        <w:adjustRightInd w:val="0"/>
        <w:spacing w:line="360" w:lineRule="auto"/>
        <w:ind w:firstLine="480" w:firstLineChars="200"/>
        <w:jc w:val="left"/>
        <w:rPr>
          <w:rFonts w:ascii="仿宋_GB2312" w:eastAsia="仿宋_GB2312"/>
          <w:sz w:val="24"/>
        </w:rPr>
      </w:pPr>
      <w:bookmarkStart w:id="2" w:name="OLE_LINK2"/>
      <w:r>
        <w:rPr>
          <w:rFonts w:hint="eastAsia" w:ascii="仿宋_GB2312" w:eastAsia="仿宋_GB2312"/>
          <w:sz w:val="24"/>
        </w:rPr>
        <w:t>2、项目需求中要求提供证明材料的，投标文件需提供相应证明材料复印件或扫描件或截图等（加盖投标人公章，原件备查）并注明证明材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bookmarkStart w:id="3" w:name="OLE_LINK5"/>
      <w:r>
        <w:rPr>
          <w:rFonts w:hint="eastAsia" w:ascii="仿宋_GB2312" w:eastAsia="仿宋_GB2312"/>
          <w:sz w:val="24"/>
        </w:rPr>
        <w:t>，如果投标人提供了相应的证明材料，则按照上述对应情形处理；投标人提供多份证明材料且证明材料信息相互冲突的，以不利于投标人的那份证明材料作为判断是否符合采购需求的响应内容</w:t>
      </w:r>
      <w:bookmarkEnd w:id="3"/>
      <w:r>
        <w:rPr>
          <w:rFonts w:hint="eastAsia" w:ascii="仿宋_GB2312" w:eastAsia="仿宋_GB2312"/>
          <w:sz w:val="24"/>
        </w:rPr>
        <w:t>。</w:t>
      </w:r>
    </w:p>
    <w:bookmarkEnd w:id="2"/>
    <w:p w14:paraId="4CC037CE">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55A9932C">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4、加注▲的条款为重要条款要求，如不满足将按照第四章“评标标准”进行扣分。</w:t>
      </w:r>
    </w:p>
    <w:p w14:paraId="3392BAB1">
      <w:pPr>
        <w:autoSpaceDE w:val="0"/>
        <w:autoSpaceDN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5、加注★的条款为不可负偏离的实质性条款，任一项未响应或不满足要求的，将导致投标无效。</w:t>
      </w:r>
    </w:p>
    <w:p w14:paraId="34FFA573">
      <w:pPr>
        <w:spacing w:line="360" w:lineRule="auto"/>
        <w:ind w:left="510"/>
        <w:rPr>
          <w:rFonts w:eastAsia="黑体"/>
          <w:bCs/>
          <w:snapToGrid w:val="0"/>
          <w:kern w:val="0"/>
          <w:sz w:val="24"/>
        </w:rPr>
      </w:pPr>
    </w:p>
    <w:p w14:paraId="7EF689AC">
      <w:pPr>
        <w:spacing w:line="360" w:lineRule="auto"/>
        <w:ind w:left="2"/>
        <w:rPr>
          <w:rFonts w:ascii="宋体" w:hAnsi="宋体"/>
          <w:b/>
          <w:sz w:val="24"/>
        </w:rPr>
      </w:pPr>
      <w:r>
        <w:rPr>
          <w:rFonts w:hint="eastAsia" w:ascii="宋体" w:hAnsi="宋体"/>
          <w:bCs/>
          <w:snapToGrid w:val="0"/>
          <w:kern w:val="0"/>
          <w:sz w:val="24"/>
        </w:rPr>
        <w:t>一、</w:t>
      </w:r>
      <w:r>
        <w:rPr>
          <w:rFonts w:hint="eastAsia" w:ascii="宋体" w:hAnsi="宋体"/>
          <w:b/>
          <w:sz w:val="24"/>
        </w:rPr>
        <w:t>项目概况</w:t>
      </w:r>
    </w:p>
    <w:p w14:paraId="7BDD42F3">
      <w:pPr>
        <w:rPr>
          <w:rFonts w:ascii="宋体" w:hAnsi="宋体"/>
          <w:b/>
          <w:szCs w:val="21"/>
        </w:rPr>
      </w:pPr>
      <w:r>
        <w:rPr>
          <w:rFonts w:hint="eastAsia" w:ascii="宋体" w:hAnsi="宋体"/>
          <w:b/>
          <w:szCs w:val="21"/>
        </w:rPr>
        <w:t>（一）采购需求</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86"/>
        <w:gridCol w:w="3086"/>
        <w:gridCol w:w="772"/>
        <w:gridCol w:w="802"/>
        <w:gridCol w:w="1278"/>
        <w:gridCol w:w="1610"/>
        <w:gridCol w:w="1610"/>
      </w:tblGrid>
      <w:tr w14:paraId="3834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487" w:type="dxa"/>
            <w:vAlign w:val="center"/>
          </w:tcPr>
          <w:p w14:paraId="6054BB49">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083" w:type="dxa"/>
            <w:vAlign w:val="center"/>
          </w:tcPr>
          <w:p w14:paraId="7FCB8A29">
            <w:pPr>
              <w:widowControl/>
              <w:spacing w:line="360" w:lineRule="auto"/>
              <w:jc w:val="center"/>
              <w:rPr>
                <w:rFonts w:ascii="宋体" w:hAnsi="宋体" w:cs="宋体"/>
                <w:b/>
                <w:kern w:val="0"/>
                <w:szCs w:val="21"/>
              </w:rPr>
            </w:pPr>
            <w:r>
              <w:rPr>
                <w:rFonts w:hint="eastAsia" w:ascii="宋体" w:hAnsi="宋体" w:cs="宋体"/>
                <w:b/>
                <w:color w:val="FF0000"/>
                <w:szCs w:val="21"/>
              </w:rPr>
              <w:t>标的名称</w:t>
            </w:r>
          </w:p>
        </w:tc>
        <w:tc>
          <w:tcPr>
            <w:tcW w:w="771" w:type="dxa"/>
            <w:tcMar>
              <w:top w:w="0" w:type="dxa"/>
              <w:left w:w="108" w:type="dxa"/>
              <w:bottom w:w="0" w:type="dxa"/>
              <w:right w:w="108" w:type="dxa"/>
            </w:tcMar>
            <w:vAlign w:val="center"/>
          </w:tcPr>
          <w:p w14:paraId="08803856">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801" w:type="dxa"/>
            <w:vAlign w:val="center"/>
          </w:tcPr>
          <w:p w14:paraId="45775845">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277" w:type="dxa"/>
            <w:vAlign w:val="center"/>
          </w:tcPr>
          <w:p w14:paraId="2D09876F">
            <w:pPr>
              <w:widowControl/>
              <w:spacing w:line="360" w:lineRule="auto"/>
              <w:jc w:val="center"/>
              <w:rPr>
                <w:rFonts w:hint="eastAsia" w:ascii="宋体" w:hAnsi="宋体" w:cs="宋体"/>
                <w:b/>
                <w:kern w:val="0"/>
                <w:szCs w:val="21"/>
                <w:lang w:eastAsia="zh-CN"/>
              </w:rPr>
            </w:pPr>
            <w:r>
              <w:rPr>
                <w:rFonts w:hint="eastAsia" w:ascii="宋体" w:hAnsi="宋体" w:cs="宋体"/>
                <w:b/>
                <w:kern w:val="0"/>
                <w:szCs w:val="21"/>
                <w:lang w:eastAsia="zh-CN"/>
              </w:rPr>
              <w:t>最高限价</w:t>
            </w:r>
          </w:p>
          <w:p w14:paraId="63C20EA8">
            <w:pPr>
              <w:widowControl/>
              <w:spacing w:line="360" w:lineRule="auto"/>
              <w:jc w:val="center"/>
              <w:rPr>
                <w:rFonts w:ascii="宋体" w:hAnsi="宋体" w:cs="宋体"/>
                <w:bCs/>
                <w:kern w:val="0"/>
                <w:szCs w:val="21"/>
              </w:rPr>
            </w:pPr>
            <w:r>
              <w:rPr>
                <w:rFonts w:hint="eastAsia" w:ascii="宋体" w:hAnsi="宋体" w:cs="宋体"/>
                <w:b/>
                <w:szCs w:val="21"/>
              </w:rPr>
              <w:t>（人民币元）</w:t>
            </w:r>
          </w:p>
        </w:tc>
        <w:tc>
          <w:tcPr>
            <w:tcW w:w="1608" w:type="dxa"/>
            <w:vAlign w:val="center"/>
          </w:tcPr>
          <w:p w14:paraId="2D1C1717">
            <w:pPr>
              <w:widowControl/>
              <w:spacing w:line="360" w:lineRule="auto"/>
              <w:jc w:val="center"/>
              <w:rPr>
                <w:rFonts w:ascii="宋体" w:hAnsi="宋体" w:cs="宋体"/>
                <w:b/>
                <w:kern w:val="0"/>
                <w:szCs w:val="21"/>
              </w:rPr>
            </w:pPr>
            <w:r>
              <w:rPr>
                <w:rFonts w:hint="eastAsia" w:ascii="宋体" w:hAnsi="宋体" w:cs="宋体"/>
                <w:b/>
                <w:kern w:val="0"/>
                <w:szCs w:val="21"/>
              </w:rPr>
              <w:t>采购预算金额</w:t>
            </w:r>
          </w:p>
          <w:p w14:paraId="0E0D0ED4">
            <w:pPr>
              <w:widowControl/>
              <w:spacing w:line="360" w:lineRule="auto"/>
              <w:jc w:val="center"/>
              <w:rPr>
                <w:rFonts w:hint="eastAsia" w:ascii="宋体" w:hAnsi="宋体" w:cs="宋体"/>
                <w:b/>
                <w:szCs w:val="21"/>
              </w:rPr>
            </w:pPr>
            <w:r>
              <w:rPr>
                <w:rFonts w:hint="eastAsia" w:ascii="宋体" w:hAnsi="宋体" w:cs="宋体"/>
                <w:b/>
                <w:szCs w:val="21"/>
              </w:rPr>
              <w:t>（人民币元）</w:t>
            </w:r>
          </w:p>
        </w:tc>
        <w:tc>
          <w:tcPr>
            <w:tcW w:w="1608" w:type="dxa"/>
            <w:vAlign w:val="center"/>
          </w:tcPr>
          <w:p w14:paraId="14AC9842">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1F81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487" w:type="dxa"/>
            <w:vAlign w:val="center"/>
          </w:tcPr>
          <w:p w14:paraId="0E1958AE">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083" w:type="dxa"/>
            <w:vAlign w:val="center"/>
          </w:tcPr>
          <w:p w14:paraId="068E3F27">
            <w:pPr>
              <w:widowControl/>
              <w:spacing w:line="360" w:lineRule="auto"/>
              <w:jc w:val="center"/>
              <w:rPr>
                <w:rFonts w:hint="eastAsia" w:ascii="宋体" w:hAnsi="宋体" w:eastAsia="宋体" w:cs="宋体"/>
                <w:kern w:val="0"/>
                <w:szCs w:val="21"/>
                <w:lang w:eastAsia="zh-CN"/>
              </w:rPr>
            </w:pPr>
            <w:r>
              <w:rPr>
                <w:rFonts w:hint="eastAsia" w:ascii="宋体" w:hAnsi="宋体" w:eastAsia="宋体" w:cs="宋体"/>
                <w:color w:val="000000"/>
                <w:kern w:val="0"/>
                <w:sz w:val="21"/>
                <w:szCs w:val="21"/>
                <w:highlight w:val="none"/>
                <w:lang w:val="en-US" w:eastAsia="zh-CN"/>
              </w:rPr>
              <w:t>2026年度医疗责任保险（重新采购第1次）</w:t>
            </w:r>
          </w:p>
        </w:tc>
        <w:tc>
          <w:tcPr>
            <w:tcW w:w="771" w:type="dxa"/>
            <w:tcMar>
              <w:top w:w="0" w:type="dxa"/>
              <w:left w:w="108" w:type="dxa"/>
              <w:bottom w:w="0" w:type="dxa"/>
              <w:right w:w="108" w:type="dxa"/>
            </w:tcMar>
            <w:vAlign w:val="center"/>
          </w:tcPr>
          <w:p w14:paraId="7E6CBAB2">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801" w:type="dxa"/>
            <w:vAlign w:val="center"/>
          </w:tcPr>
          <w:p w14:paraId="06320B7B">
            <w:pPr>
              <w:pStyle w:val="47"/>
              <w:spacing w:before="0" w:beforeAutospacing="0" w:after="0" w:afterAutospacing="0" w:line="360" w:lineRule="auto"/>
              <w:jc w:val="center"/>
              <w:rPr>
                <w:rFonts w:hint="eastAsia" w:ascii="宋体" w:hAnsi="宋体" w:eastAsia="宋体"/>
                <w:sz w:val="21"/>
                <w:szCs w:val="21"/>
                <w:lang w:eastAsia="zh-CN"/>
              </w:rPr>
            </w:pPr>
            <w:r>
              <w:rPr>
                <w:rFonts w:hint="eastAsia" w:ascii="宋体" w:hAnsi="宋体" w:cs="宋体"/>
                <w:sz w:val="21"/>
                <w:szCs w:val="21"/>
                <w:lang w:val="en-US" w:eastAsia="zh-CN"/>
              </w:rPr>
              <w:t>项</w:t>
            </w:r>
          </w:p>
        </w:tc>
        <w:tc>
          <w:tcPr>
            <w:tcW w:w="1277" w:type="dxa"/>
            <w:vAlign w:val="center"/>
          </w:tcPr>
          <w:p w14:paraId="4ECBC642">
            <w:pPr>
              <w:jc w:val="center"/>
              <w:rPr>
                <w:rFonts w:ascii="宋体" w:hAnsi="宋体" w:cs="宋体"/>
                <w:bCs/>
                <w:kern w:val="0"/>
                <w:szCs w:val="21"/>
              </w:rPr>
            </w:pPr>
            <w:r>
              <w:rPr>
                <w:rFonts w:hint="eastAsia" w:ascii="宋体" w:hAnsi="宋体" w:cs="宋体"/>
                <w:bCs/>
                <w:kern w:val="0"/>
                <w:szCs w:val="21"/>
                <w:lang w:val="en-US" w:eastAsia="zh-CN"/>
              </w:rPr>
              <w:t>980,000.00</w:t>
            </w:r>
          </w:p>
        </w:tc>
        <w:tc>
          <w:tcPr>
            <w:tcW w:w="1608" w:type="dxa"/>
            <w:vAlign w:val="center"/>
          </w:tcPr>
          <w:p w14:paraId="0A7F6CF4">
            <w:pPr>
              <w:jc w:val="center"/>
              <w:rPr>
                <w:rFonts w:hint="eastAsia" w:ascii="宋体" w:hAnsi="宋体" w:eastAsia="宋体" w:cs="宋体"/>
                <w:bCs/>
                <w:kern w:val="0"/>
                <w:szCs w:val="21"/>
                <w:lang w:eastAsia="zh-CN"/>
              </w:rPr>
            </w:pPr>
            <w:r>
              <w:rPr>
                <w:rFonts w:hint="eastAsia" w:ascii="宋体" w:hAnsi="宋体" w:cs="宋体"/>
                <w:bCs/>
                <w:kern w:val="0"/>
                <w:szCs w:val="21"/>
                <w:lang w:eastAsia="zh-CN"/>
              </w:rPr>
              <w:t>980,000.00</w:t>
            </w:r>
          </w:p>
        </w:tc>
        <w:tc>
          <w:tcPr>
            <w:tcW w:w="1608" w:type="dxa"/>
            <w:vAlign w:val="center"/>
          </w:tcPr>
          <w:p w14:paraId="75FFFC72">
            <w:pPr>
              <w:widowControl/>
              <w:spacing w:line="360" w:lineRule="auto"/>
              <w:jc w:val="center"/>
              <w:rPr>
                <w:rFonts w:ascii="宋体" w:hAnsi="宋体" w:cs="宋体"/>
                <w:kern w:val="0"/>
                <w:szCs w:val="21"/>
              </w:rPr>
            </w:pPr>
            <w:r>
              <w:rPr>
                <w:rFonts w:hint="eastAsia" w:ascii="宋体" w:hAnsi="宋体" w:cs="宋体"/>
                <w:kern w:val="0"/>
                <w:szCs w:val="21"/>
              </w:rPr>
              <w:t>拒绝进口</w:t>
            </w:r>
          </w:p>
        </w:tc>
      </w:tr>
    </w:tbl>
    <w:p w14:paraId="677F71EE">
      <w:pPr>
        <w:pStyle w:val="22"/>
      </w:pPr>
    </w:p>
    <w:p w14:paraId="5394466A">
      <w:pPr>
        <w:pStyle w:val="22"/>
        <w:rPr>
          <w:b/>
          <w:bCs/>
        </w:rPr>
      </w:pPr>
      <w:r>
        <w:rPr>
          <w:rFonts w:hint="eastAsia"/>
          <w:b/>
          <w:bCs/>
        </w:rPr>
        <w:t>（二）</w:t>
      </w:r>
      <w:r>
        <w:rPr>
          <w:rFonts w:hint="eastAsia"/>
          <w:b/>
          <w:bCs/>
          <w:lang w:eastAsia="zh-CN"/>
        </w:rPr>
        <w:t>采购项目需实现的功能和目标</w:t>
      </w:r>
    </w:p>
    <w:p w14:paraId="4E1D4C81">
      <w:pPr>
        <w:adjustRightInd w:val="0"/>
        <w:snapToGrid w:val="0"/>
        <w:spacing w:line="360" w:lineRule="auto"/>
        <w:ind w:firstLine="422" w:firstLineChars="201"/>
        <w:rPr>
          <w:rFonts w:hint="eastAsia" w:ascii="宋体" w:hAnsi="宋体"/>
          <w:szCs w:val="21"/>
        </w:rPr>
      </w:pPr>
      <w:r>
        <w:rPr>
          <w:rFonts w:hint="default" w:ascii="宋体" w:hAnsi="宋体" w:eastAsia="宋体" w:cs="宋体"/>
          <w:color w:val="auto"/>
          <w:kern w:val="2"/>
          <w:sz w:val="21"/>
          <w:szCs w:val="21"/>
          <w:highlight w:val="none"/>
          <w:lang w:val="en-US" w:eastAsia="zh-CN" w:bidi="ar-SA"/>
        </w:rPr>
        <w:t>旨在建立风险分担与赔付联动机制，有效化解执业风险，</w:t>
      </w:r>
      <w:r>
        <w:rPr>
          <w:rFonts w:hint="eastAsia" w:ascii="宋体" w:hAnsi="宋体" w:eastAsia="宋体" w:cs="宋体"/>
          <w:color w:val="auto"/>
          <w:kern w:val="2"/>
          <w:sz w:val="21"/>
          <w:szCs w:val="21"/>
          <w:highlight w:val="none"/>
          <w:lang w:val="en-US" w:eastAsia="zh-CN" w:bidi="ar-SA"/>
        </w:rPr>
        <w:t>保障医患双方合法权益，</w:t>
      </w:r>
      <w:r>
        <w:rPr>
          <w:rFonts w:hint="default" w:ascii="宋体" w:hAnsi="宋体" w:eastAsia="宋体" w:cs="宋体"/>
          <w:color w:val="auto"/>
          <w:kern w:val="2"/>
          <w:sz w:val="21"/>
          <w:szCs w:val="21"/>
          <w:highlight w:val="none"/>
          <w:lang w:val="en-US" w:eastAsia="zh-CN" w:bidi="ar-SA"/>
        </w:rPr>
        <w:t>维护正常医疗秩序</w:t>
      </w:r>
      <w:r>
        <w:rPr>
          <w:rFonts w:hint="eastAsia" w:hAnsi="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实现快速响应、精准定损、及时赔付，以此压实管理责任，提升内部风险管控水平，推进平安医院建设</w:t>
      </w:r>
      <w:r>
        <w:rPr>
          <w:rFonts w:hint="eastAsia" w:ascii="宋体" w:hAnsi="宋体"/>
          <w:szCs w:val="21"/>
        </w:rPr>
        <w:t>。</w:t>
      </w:r>
    </w:p>
    <w:p w14:paraId="662112FF">
      <w:pPr>
        <w:spacing w:line="360" w:lineRule="auto"/>
        <w:rPr>
          <w:rFonts w:hint="eastAsia" w:ascii="宋体" w:hAnsi="宋体"/>
          <w:b/>
          <w:bCs/>
          <w:snapToGrid w:val="0"/>
          <w:kern w:val="0"/>
          <w:sz w:val="24"/>
        </w:rPr>
      </w:pPr>
    </w:p>
    <w:p w14:paraId="71133E1E">
      <w:pPr>
        <w:spacing w:line="360" w:lineRule="auto"/>
        <w:rPr>
          <w:rFonts w:ascii="宋体" w:hAnsi="宋体"/>
          <w:b/>
          <w:bCs/>
          <w:snapToGrid w:val="0"/>
          <w:kern w:val="0"/>
          <w:sz w:val="24"/>
        </w:rPr>
      </w:pPr>
      <w:r>
        <w:rPr>
          <w:rFonts w:hint="eastAsia" w:ascii="宋体" w:hAnsi="宋体"/>
          <w:b/>
          <w:bCs/>
          <w:snapToGrid w:val="0"/>
          <w:kern w:val="0"/>
          <w:sz w:val="24"/>
        </w:rPr>
        <w:t>二、技术要求</w:t>
      </w:r>
    </w:p>
    <w:tbl>
      <w:tblPr>
        <w:tblStyle w:val="5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1"/>
        <w:gridCol w:w="7771"/>
      </w:tblGrid>
      <w:tr w14:paraId="2060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56" w:type="pct"/>
            <w:noWrap w:val="0"/>
            <w:vAlign w:val="top"/>
          </w:tcPr>
          <w:p w14:paraId="4E40FE6C">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内容</w:t>
            </w:r>
          </w:p>
        </w:tc>
        <w:tc>
          <w:tcPr>
            <w:tcW w:w="3943" w:type="pct"/>
            <w:noWrap w:val="0"/>
            <w:vAlign w:val="top"/>
          </w:tcPr>
          <w:p w14:paraId="3D7A1CF0">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要求</w:t>
            </w:r>
          </w:p>
        </w:tc>
      </w:tr>
      <w:tr w14:paraId="4F6C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6" w:type="pct"/>
            <w:noWrap w:val="0"/>
            <w:vAlign w:val="center"/>
          </w:tcPr>
          <w:p w14:paraId="043BCC4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yellow"/>
                <w:lang w:eastAsia="zh-CN"/>
              </w:rPr>
            </w:pPr>
            <w:r>
              <w:rPr>
                <w:rFonts w:hint="eastAsia" w:ascii="宋体" w:hAnsi="宋体" w:eastAsia="宋体" w:cs="宋体"/>
                <w:b/>
                <w:bCs/>
                <w:color w:val="auto"/>
                <w:sz w:val="21"/>
                <w:szCs w:val="21"/>
                <w:highlight w:val="yellow"/>
              </w:rPr>
              <w:t>★</w:t>
            </w:r>
            <w:r>
              <w:rPr>
                <w:rFonts w:hint="eastAsia" w:ascii="宋体" w:hAnsi="宋体" w:eastAsia="宋体" w:cs="宋体"/>
                <w:color w:val="auto"/>
                <w:sz w:val="21"/>
                <w:szCs w:val="21"/>
                <w:highlight w:val="yellow"/>
                <w:lang w:val="en-US" w:eastAsia="zh-CN"/>
              </w:rPr>
              <w:t>1.</w:t>
            </w:r>
            <w:r>
              <w:rPr>
                <w:rFonts w:hint="eastAsia" w:ascii="宋体" w:hAnsi="宋体" w:eastAsia="宋体" w:cs="宋体"/>
                <w:color w:val="auto"/>
                <w:sz w:val="21"/>
                <w:szCs w:val="21"/>
                <w:highlight w:val="yellow"/>
                <w:lang w:eastAsia="zh-CN"/>
              </w:rPr>
              <w:t>保险责任</w:t>
            </w:r>
          </w:p>
        </w:tc>
        <w:tc>
          <w:tcPr>
            <w:tcW w:w="3943" w:type="pct"/>
            <w:noWrap w:val="0"/>
            <w:vAlign w:val="center"/>
          </w:tcPr>
          <w:p w14:paraId="628277F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lang w:val="en-US" w:eastAsia="zh-CN"/>
              </w:rPr>
              <w:t>1.医疗责任保险责任：</w:t>
            </w:r>
            <w:r>
              <w:rPr>
                <w:rFonts w:hint="eastAsia" w:ascii="宋体" w:hAnsi="宋体" w:eastAsia="宋体" w:cs="宋体"/>
                <w:color w:val="auto"/>
                <w:sz w:val="21"/>
                <w:szCs w:val="21"/>
                <w:highlight w:val="yellow"/>
              </w:rPr>
              <w:t xml:space="preserve">在保险单列明的保险期间或追溯期及承保区域范围内，在保险单中载明的被保险人的医务人员（以下简称投保医务人员）在诊疗活动中，因执业过失造成患者人身损害，在本保险期间内，由患者或其近亲属首次向被保险人提出索赔申请，依法应由被保险人承担民事赔偿责任时，保险人按照本保险合同的约定负责赔偿； </w:t>
            </w:r>
          </w:p>
          <w:p w14:paraId="5E6C699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2.医疗机构场所责任：在保险单载明的保险期间内，由于下列原因导致第三者（含患者）的人身损害或财产损失，依照中华人民共和国法律（不包括港、澳、台地区法律）应由被保险人承担的经济赔偿责任，保险人按照本附加险合同约定也负责赔偿：</w:t>
            </w:r>
          </w:p>
          <w:p w14:paraId="04D5CDE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（一）被保险人的公共设施存在缺陷或者被保险人对其管理不善或操作、维护不当；</w:t>
            </w:r>
          </w:p>
          <w:p w14:paraId="52D8481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（二）被保险人或其工作人员的过失导致的火灾、爆炸；</w:t>
            </w:r>
          </w:p>
          <w:p w14:paraId="2C198E2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（三）被保险人或其工作人员的过失导致被保险人提供的食品引发食物中毒或其他食源性疾患。</w:t>
            </w:r>
          </w:p>
          <w:p w14:paraId="387A5864">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sz w:val="21"/>
                <w:szCs w:val="21"/>
                <w:highlight w:val="yellow"/>
                <w:lang w:val="en-US" w:eastAsia="zh-CN"/>
              </w:rPr>
              <w:t>3.医务人员遭受伤害责任：在保险单载明的保险期间内，被保险人的医务人员在从事与其执业资格相符的诊疗活动中，因医疗纠纷而遭受患方的故意伤害导致人身伤亡，依照中华人民共和国法律（不包括港、澳、台地区法律）应由被保险人承担的经济赔偿责任，保险人按照本附加险合同约定也负责赔偿。</w:t>
            </w:r>
          </w:p>
        </w:tc>
      </w:tr>
      <w:tr w14:paraId="122E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6" w:type="pct"/>
            <w:noWrap w:val="0"/>
            <w:vAlign w:val="center"/>
          </w:tcPr>
          <w:p w14:paraId="3AF82EF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yellow"/>
                <w:vertAlign w:val="baseline"/>
                <w:lang w:val="en-US" w:eastAsia="zh-CN"/>
              </w:rPr>
            </w:pPr>
            <w:r>
              <w:rPr>
                <w:rFonts w:hint="eastAsia" w:ascii="宋体" w:hAnsi="宋体" w:eastAsia="宋体" w:cs="宋体"/>
                <w:b/>
                <w:bCs/>
                <w:color w:val="auto"/>
                <w:sz w:val="21"/>
                <w:szCs w:val="21"/>
                <w:highlight w:val="yellow"/>
              </w:rPr>
              <w:t>★</w:t>
            </w:r>
            <w:r>
              <w:rPr>
                <w:rFonts w:hint="eastAsia" w:ascii="宋体" w:hAnsi="宋体" w:eastAsia="宋体" w:cs="宋体"/>
                <w:b/>
                <w:bCs/>
                <w:color w:val="auto"/>
                <w:sz w:val="21"/>
                <w:szCs w:val="21"/>
                <w:highlight w:val="yellow"/>
                <w:lang w:val="en-US" w:eastAsia="zh-CN"/>
              </w:rPr>
              <w:t>2.保险要求</w:t>
            </w:r>
          </w:p>
        </w:tc>
        <w:tc>
          <w:tcPr>
            <w:tcW w:w="3943" w:type="pct"/>
            <w:noWrap w:val="0"/>
            <w:vAlign w:val="center"/>
          </w:tcPr>
          <w:p w14:paraId="4EFD82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项目符合《医疗纠纷预防和处理条例》、《医疗事故处理条例》、《广东省医疗纠纷预防与处理条例》、《深圳经济特区医疗条例》以及相关医疗保险法律规章。</w:t>
            </w:r>
          </w:p>
          <w:p w14:paraId="596769F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1.医疗责任累计责任限额：105 万元</w:t>
            </w:r>
          </w:p>
          <w:p w14:paraId="3D3B44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每次事故责任限额：15万元 </w:t>
            </w:r>
          </w:p>
          <w:p w14:paraId="5137DE4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精神损害每人责任限额：10万元（已包含在每次事故责任限额里）</w:t>
            </w:r>
          </w:p>
          <w:p w14:paraId="145BF4C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法律费用每次事故责任限额：5 万元（仅承保诉讼费、鉴定费、仲裁费，已包含在医疗责任每次事故责任限额里）</w:t>
            </w:r>
          </w:p>
          <w:p w14:paraId="715C22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1.1附加外请医务人员医疗责任累计责任限额: 105万元</w:t>
            </w:r>
          </w:p>
          <w:p w14:paraId="27BE5C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每名患者责任限额:15万元</w:t>
            </w:r>
          </w:p>
          <w:p w14:paraId="4280D83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1.2附加进修医务人员医疗责任累计责任限额:105万元</w:t>
            </w:r>
          </w:p>
          <w:p w14:paraId="456022E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每名患者责任限额: 15万元</w:t>
            </w:r>
          </w:p>
          <w:p w14:paraId="2931EC4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1.3附加实习生医疗责任累计责任限额: 105万元</w:t>
            </w:r>
          </w:p>
          <w:p w14:paraId="2F48747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每次事故责任限额: 15万元</w:t>
            </w:r>
          </w:p>
          <w:p w14:paraId="14AEBA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注：附加进修医务人员、附加外请医务人员、附加实习生医疗责任累计责任限额已包含在医疗责任累计责任限额中。</w:t>
            </w:r>
          </w:p>
          <w:p w14:paraId="142C560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2.附加医疗机构场所责任累计责任限额：120万元 </w:t>
            </w:r>
          </w:p>
          <w:p w14:paraId="10C5A56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每次事故责任限额：70万元 </w:t>
            </w:r>
          </w:p>
          <w:p w14:paraId="2D5CE96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每次事故每人责任限额：35万元</w:t>
            </w:r>
          </w:p>
          <w:p w14:paraId="2CBCDF0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3.附加医务人员遭受伤害责任累计责任限额：70 万元</w:t>
            </w:r>
          </w:p>
          <w:p w14:paraId="4F05809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医务人员每人责任限额：30万元</w:t>
            </w:r>
          </w:p>
          <w:p w14:paraId="2CC331A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4.保单绝对免赔额：每次事故20000元（含）或损失金额的10%，以高者为准。</w:t>
            </w:r>
          </w:p>
          <w:p w14:paraId="5EFAA06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5.项目承保方式：期内索赔制</w:t>
            </w:r>
          </w:p>
          <w:p w14:paraId="3B755A1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kern w:val="2"/>
                <w:sz w:val="21"/>
                <w:szCs w:val="21"/>
                <w:highlight w:val="yellow"/>
                <w:lang w:val="en-US" w:eastAsia="zh-CN" w:bidi="ar-SA"/>
              </w:rPr>
              <w:t>6.保险追溯期：首年追溯期为零，以后连续续保，追溯期相应增加，但最长不超过3年，具体起止时间以保险单载明的时间为准。</w:t>
            </w:r>
          </w:p>
        </w:tc>
      </w:tr>
      <w:tr w14:paraId="40EB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6" w:type="pct"/>
            <w:noWrap w:val="0"/>
            <w:vAlign w:val="center"/>
          </w:tcPr>
          <w:p w14:paraId="35065EEE">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eastAsia="zh-CN"/>
              </w:rPr>
              <w:t>3.整体实施方案</w:t>
            </w:r>
          </w:p>
        </w:tc>
        <w:tc>
          <w:tcPr>
            <w:tcW w:w="3943" w:type="pct"/>
            <w:noWrap w:val="0"/>
            <w:vAlign w:val="center"/>
          </w:tcPr>
          <w:p w14:paraId="36D76E57">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为了顺利开展工作、形成对项目的充分理解，促进本项目医疗责任保险理赔服务规范、高效、有序实施，投标人需制订针对本项目的实施方案，包含但不限于以下内容： </w:t>
            </w:r>
          </w:p>
          <w:p w14:paraId="4C358219">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保险理赔定责方案；</w:t>
            </w:r>
          </w:p>
          <w:p w14:paraId="01855498">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保险理赔的报案流程； </w:t>
            </w:r>
          </w:p>
          <w:p w14:paraId="7A03405D">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保险理赔手续</w:t>
            </w:r>
            <w:r>
              <w:rPr>
                <w:rFonts w:hint="eastAsia" w:ascii="宋体" w:hAnsi="宋体" w:eastAsia="宋体" w:cs="宋体"/>
                <w:color w:val="auto"/>
                <w:sz w:val="21"/>
                <w:szCs w:val="21"/>
                <w:highlight w:val="none"/>
                <w:lang w:eastAsia="zh-CN"/>
              </w:rPr>
              <w:t>；</w:t>
            </w:r>
          </w:p>
          <w:p w14:paraId="101C7C88">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保险理赔</w:t>
            </w:r>
            <w:r>
              <w:rPr>
                <w:rFonts w:hint="eastAsia" w:ascii="宋体" w:hAnsi="宋体" w:eastAsia="宋体" w:cs="宋体"/>
                <w:color w:val="auto"/>
                <w:sz w:val="21"/>
                <w:szCs w:val="21"/>
                <w:highlight w:val="none"/>
                <w:lang w:eastAsia="zh-CN"/>
              </w:rPr>
              <w:t>文书资料要求</w:t>
            </w:r>
          </w:p>
          <w:p w14:paraId="54CF550E">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、保险理赔时效</w:t>
            </w:r>
            <w:r>
              <w:rPr>
                <w:rFonts w:hint="eastAsia" w:ascii="宋体" w:hAnsi="宋体" w:eastAsia="宋体" w:cs="宋体"/>
                <w:color w:val="auto"/>
                <w:sz w:val="21"/>
                <w:szCs w:val="21"/>
                <w:highlight w:val="none"/>
                <w:lang w:eastAsia="zh-CN"/>
              </w:rPr>
              <w:t>说明</w:t>
            </w:r>
            <w:r>
              <w:rPr>
                <w:rFonts w:hint="eastAsia" w:ascii="宋体" w:hAnsi="宋体" w:eastAsia="宋体" w:cs="宋体"/>
                <w:color w:val="auto"/>
                <w:sz w:val="21"/>
                <w:szCs w:val="21"/>
                <w:highlight w:val="none"/>
              </w:rPr>
              <w:t>；</w:t>
            </w:r>
          </w:p>
          <w:p w14:paraId="577A64A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、其他特色或创新服务。</w:t>
            </w:r>
          </w:p>
        </w:tc>
      </w:tr>
      <w:tr w14:paraId="33AF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1056" w:type="pct"/>
            <w:noWrap w:val="0"/>
            <w:vAlign w:val="center"/>
          </w:tcPr>
          <w:p w14:paraId="7F0CD234">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4.拟投入项目团队成员情况</w:t>
            </w:r>
          </w:p>
        </w:tc>
        <w:tc>
          <w:tcPr>
            <w:tcW w:w="3943" w:type="pct"/>
            <w:noWrap w:val="0"/>
            <w:vAlign w:val="top"/>
          </w:tcPr>
          <w:p w14:paraId="419BB0C5">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b/>
                <w:bCs/>
                <w:color w:val="auto"/>
                <w:sz w:val="21"/>
                <w:szCs w:val="21"/>
                <w:highlight w:val="yellow"/>
              </w:rPr>
              <w:t>★</w:t>
            </w:r>
            <w:r>
              <w:rPr>
                <w:rFonts w:hint="eastAsia" w:ascii="宋体" w:hAnsi="宋体" w:eastAsia="宋体" w:cs="宋体"/>
                <w:color w:val="auto"/>
                <w:sz w:val="21"/>
                <w:szCs w:val="21"/>
                <w:highlight w:val="yellow"/>
              </w:rPr>
              <w:t>1.中标人在合同签署时，中标人需安排</w:t>
            </w:r>
            <w:r>
              <w:rPr>
                <w:rFonts w:hint="eastAsia" w:ascii="宋体" w:hAnsi="宋体" w:eastAsia="宋体" w:cs="宋体"/>
                <w:color w:val="auto"/>
                <w:sz w:val="21"/>
                <w:szCs w:val="21"/>
                <w:highlight w:val="yellow"/>
                <w:lang w:eastAsia="zh-CN"/>
              </w:rPr>
              <w:t>专人</w:t>
            </w:r>
            <w:r>
              <w:rPr>
                <w:rFonts w:hint="eastAsia" w:ascii="宋体" w:hAnsi="宋体" w:eastAsia="宋体" w:cs="宋体"/>
                <w:color w:val="auto"/>
                <w:sz w:val="21"/>
                <w:szCs w:val="21"/>
                <w:highlight w:val="yellow"/>
              </w:rPr>
              <w:t>负责</w:t>
            </w:r>
            <w:r>
              <w:rPr>
                <w:rFonts w:hint="eastAsia" w:ascii="宋体" w:hAnsi="宋体" w:eastAsia="宋体" w:cs="宋体"/>
                <w:color w:val="auto"/>
                <w:sz w:val="21"/>
                <w:szCs w:val="21"/>
                <w:highlight w:val="yellow"/>
                <w:lang w:eastAsia="zh-CN"/>
              </w:rPr>
              <w:t>采购人</w:t>
            </w:r>
            <w:r>
              <w:rPr>
                <w:rFonts w:hint="eastAsia" w:ascii="宋体" w:hAnsi="宋体" w:eastAsia="宋体" w:cs="宋体"/>
                <w:color w:val="auto"/>
                <w:sz w:val="21"/>
                <w:szCs w:val="21"/>
                <w:highlight w:val="yellow"/>
              </w:rPr>
              <w:t>保险案件的</w:t>
            </w:r>
            <w:r>
              <w:rPr>
                <w:rFonts w:hint="eastAsia" w:ascii="宋体" w:hAnsi="宋体" w:eastAsia="宋体" w:cs="宋体"/>
                <w:color w:val="auto"/>
                <w:kern w:val="0"/>
                <w:sz w:val="21"/>
                <w:szCs w:val="21"/>
                <w:highlight w:val="yellow"/>
              </w:rPr>
              <w:t>报案、查勘、理赔单证等相关工作</w:t>
            </w:r>
            <w:r>
              <w:rPr>
                <w:rFonts w:hint="eastAsia" w:ascii="宋体" w:hAnsi="宋体" w:eastAsia="宋体" w:cs="宋体"/>
                <w:color w:val="auto"/>
                <w:sz w:val="21"/>
                <w:szCs w:val="21"/>
                <w:highlight w:val="yellow"/>
              </w:rPr>
              <w:t>，备注联系方式和姓名。如有变更，应及时向采购人告知。</w:t>
            </w:r>
          </w:p>
          <w:p w14:paraId="1F97C0FD">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eastAsia="zh-CN" w:bidi="ar-SA"/>
              </w:rPr>
              <w:t>2.为保障医疗责任保险承保理赔服务的专业化、规范化水平，以及医疗纠纷处置的合法合规性，</w:t>
            </w:r>
            <w:r>
              <w:rPr>
                <w:rFonts w:hint="eastAsia" w:ascii="宋体" w:hAnsi="宋体" w:eastAsia="宋体" w:cs="宋体"/>
                <w:color w:val="auto"/>
                <w:kern w:val="2"/>
                <w:sz w:val="21"/>
                <w:szCs w:val="21"/>
                <w:highlight w:val="none"/>
                <w:lang w:val="en-US" w:eastAsia="zh-CN" w:bidi="ar-SA"/>
              </w:rPr>
              <w:t>保证项目平稳运行，中标人需为采购人</w:t>
            </w:r>
            <w:r>
              <w:rPr>
                <w:rFonts w:hint="eastAsia" w:ascii="宋体" w:hAnsi="宋体" w:eastAsia="宋体" w:cs="宋体"/>
                <w:color w:val="auto"/>
                <w:sz w:val="21"/>
                <w:szCs w:val="21"/>
                <w:highlight w:val="none"/>
                <w:vertAlign w:val="baseline"/>
                <w:lang w:val="en-US" w:eastAsia="zh-CN"/>
              </w:rPr>
              <w:t>配备团队成员，</w:t>
            </w:r>
            <w:r>
              <w:rPr>
                <w:rFonts w:hint="eastAsia" w:ascii="宋体" w:hAnsi="宋体" w:eastAsia="宋体" w:cs="宋体"/>
                <w:b w:val="0"/>
                <w:bCs w:val="0"/>
                <w:color w:val="auto"/>
                <w:kern w:val="2"/>
                <w:sz w:val="21"/>
                <w:szCs w:val="21"/>
                <w:highlight w:val="none"/>
                <w:lang w:val="en-US" w:eastAsia="zh-CN"/>
              </w:rPr>
              <w:t>投入项目团队成员</w:t>
            </w:r>
            <w:r>
              <w:rPr>
                <w:rFonts w:hint="eastAsia" w:ascii="宋体" w:hAnsi="宋体" w:eastAsia="宋体" w:cs="宋体"/>
                <w:b w:val="0"/>
                <w:bCs w:val="0"/>
                <w:color w:val="auto"/>
                <w:kern w:val="2"/>
                <w:sz w:val="21"/>
                <w:szCs w:val="21"/>
                <w:highlight w:val="none"/>
                <w:lang w:eastAsia="zh-CN"/>
              </w:rPr>
              <w:t>为投标人自有员工</w:t>
            </w:r>
            <w:r>
              <w:rPr>
                <w:rFonts w:hint="eastAsia" w:ascii="宋体" w:hAnsi="宋体" w:eastAsia="宋体" w:cs="宋体"/>
                <w:color w:val="auto"/>
                <w:sz w:val="21"/>
                <w:szCs w:val="21"/>
                <w:highlight w:val="none"/>
              </w:rPr>
              <w:t>，具有法学或医学或保险学相关专业本科（或以上）学历背景，具备同类工作经验</w:t>
            </w:r>
            <w:r>
              <w:rPr>
                <w:rFonts w:hint="eastAsia" w:ascii="宋体" w:hAnsi="宋体" w:eastAsia="宋体" w:cs="宋体"/>
                <w:color w:val="auto"/>
                <w:sz w:val="21"/>
                <w:szCs w:val="21"/>
                <w:highlight w:val="none"/>
                <w:lang w:eastAsia="zh-CN"/>
              </w:rPr>
              <w:t>，以便团队能尽可能准确地理解医疗责任保险条款、判断医疗损害责任、审查理赔单证、把控法律风险，也有利于快速介入医疗纠纷处置、缩短定责与理赔周期、提高沟通协调效率，从而保障项目连续、稳定、专业运行。</w:t>
            </w:r>
          </w:p>
        </w:tc>
      </w:tr>
      <w:tr w14:paraId="1941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6" w:type="pct"/>
            <w:noWrap w:val="0"/>
            <w:vAlign w:val="center"/>
          </w:tcPr>
          <w:p w14:paraId="5219B64B">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yellow"/>
                <w:u w:val="none"/>
                <w:vertAlign w:val="baseline"/>
                <w:lang w:val="en-US" w:eastAsia="zh-CN" w:bidi="ar-SA"/>
              </w:rPr>
            </w:pPr>
            <w:r>
              <w:rPr>
                <w:rFonts w:hint="eastAsia" w:ascii="宋体" w:hAnsi="宋体" w:eastAsia="宋体" w:cs="宋体"/>
                <w:b/>
                <w:bCs/>
                <w:color w:val="auto"/>
                <w:sz w:val="21"/>
                <w:szCs w:val="21"/>
                <w:highlight w:val="yellow"/>
              </w:rPr>
              <w:t>★</w:t>
            </w:r>
            <w:r>
              <w:rPr>
                <w:rFonts w:hint="eastAsia" w:ascii="宋体" w:hAnsi="宋体" w:eastAsia="宋体" w:cs="宋体"/>
                <w:b w:val="0"/>
                <w:bCs w:val="0"/>
                <w:color w:val="auto"/>
                <w:sz w:val="21"/>
                <w:szCs w:val="21"/>
                <w:highlight w:val="yellow"/>
                <w:lang w:val="en-US" w:eastAsia="zh-CN"/>
              </w:rPr>
              <w:t>5.</w:t>
            </w:r>
            <w:r>
              <w:rPr>
                <w:rFonts w:hint="eastAsia" w:ascii="宋体" w:hAnsi="宋体" w:eastAsia="宋体" w:cs="宋体"/>
                <w:color w:val="auto"/>
                <w:kern w:val="2"/>
                <w:sz w:val="21"/>
                <w:szCs w:val="21"/>
                <w:highlight w:val="yellow"/>
                <w:u w:val="none"/>
                <w:vertAlign w:val="baseline"/>
                <w:lang w:val="en-US" w:eastAsia="zh-CN" w:bidi="ar-SA"/>
              </w:rPr>
              <w:t>其他</w:t>
            </w:r>
          </w:p>
          <w:p w14:paraId="1E697EFB">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yellow"/>
                <w:vertAlign w:val="baseline"/>
                <w:lang w:val="en-US" w:eastAsia="zh-CN"/>
              </w:rPr>
            </w:pPr>
            <w:r>
              <w:rPr>
                <w:rFonts w:hint="eastAsia" w:ascii="宋体" w:hAnsi="宋体" w:eastAsia="宋体" w:cs="宋体"/>
                <w:color w:val="auto"/>
                <w:kern w:val="2"/>
                <w:sz w:val="21"/>
                <w:szCs w:val="21"/>
                <w:highlight w:val="yellow"/>
                <w:u w:val="none"/>
                <w:vertAlign w:val="baseline"/>
                <w:lang w:val="en-US" w:eastAsia="zh-CN" w:bidi="ar-SA"/>
              </w:rPr>
              <w:t>技术要求</w:t>
            </w:r>
          </w:p>
        </w:tc>
        <w:tc>
          <w:tcPr>
            <w:tcW w:w="3943" w:type="pct"/>
            <w:noWrap w:val="0"/>
            <w:vAlign w:val="top"/>
          </w:tcPr>
          <w:p w14:paraId="21BAE308">
            <w:pPr>
              <w:keepNext w:val="0"/>
              <w:keepLines w:val="0"/>
              <w:pageBreakBefore w:val="0"/>
              <w:shd w:val="clear" w:color="auto" w:fill="auto"/>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1.北京容海保险经纪有限公司深圳分公司为本项目的保险经纪人，为采购人的医疗责任保险项目提供保险经纪服务。保险经纪人在采购人授权范围内的事项，投标人及最终确定的承保人需配合保险经纪人代表采购人所提涉保要求，认可其所发挥的督促、协调作用，并一致认为保险经纪人能为保险双方的顺利合作起到应有的积极作用。</w:t>
            </w:r>
          </w:p>
          <w:p w14:paraId="13D33F53">
            <w:pPr>
              <w:keepNext w:val="0"/>
              <w:keepLines w:val="0"/>
              <w:pageBreakBefore w:val="0"/>
              <w:shd w:val="clear" w:color="auto" w:fill="auto"/>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yellow"/>
                <w:vertAlign w:val="baseline"/>
                <w:lang w:val="en-US" w:eastAsia="zh-CN"/>
              </w:rPr>
            </w:pPr>
            <w:r>
              <w:rPr>
                <w:rFonts w:hint="eastAsia" w:ascii="宋体" w:hAnsi="宋体" w:eastAsia="宋体" w:cs="宋体"/>
                <w:color w:val="auto"/>
                <w:kern w:val="2"/>
                <w:sz w:val="21"/>
                <w:szCs w:val="21"/>
                <w:highlight w:val="yellow"/>
                <w:lang w:val="en-US" w:eastAsia="zh-CN"/>
              </w:rPr>
              <w:t>2.</w:t>
            </w:r>
            <w:r>
              <w:rPr>
                <w:rFonts w:hint="eastAsia" w:ascii="宋体" w:hAnsi="宋体" w:eastAsia="宋体" w:cs="宋体"/>
                <w:color w:val="auto"/>
                <w:kern w:val="2"/>
                <w:sz w:val="21"/>
                <w:szCs w:val="21"/>
                <w:highlight w:val="yellow"/>
              </w:rPr>
              <w:t>本项目接受</w:t>
            </w:r>
            <w:r>
              <w:rPr>
                <w:rFonts w:hint="eastAsia" w:ascii="宋体" w:hAnsi="宋体" w:eastAsia="宋体" w:cs="宋体"/>
                <w:color w:val="auto"/>
                <w:kern w:val="2"/>
                <w:sz w:val="21"/>
                <w:szCs w:val="21"/>
                <w:highlight w:val="yellow"/>
                <w:lang w:eastAsia="zh-CN"/>
              </w:rPr>
              <w:t>中标人</w:t>
            </w:r>
            <w:r>
              <w:rPr>
                <w:rFonts w:hint="eastAsia" w:ascii="宋体" w:hAnsi="宋体" w:eastAsia="宋体" w:cs="宋体"/>
                <w:color w:val="auto"/>
                <w:kern w:val="2"/>
                <w:sz w:val="21"/>
                <w:szCs w:val="21"/>
                <w:highlight w:val="yellow"/>
              </w:rPr>
              <w:t>按照中国保险监督管理委员会《关于加强财产保险共保业务管理的通知》要求安排共保及再保，但</w:t>
            </w:r>
            <w:r>
              <w:rPr>
                <w:rFonts w:hint="eastAsia" w:ascii="宋体" w:hAnsi="宋体" w:eastAsia="宋体" w:cs="宋体"/>
                <w:color w:val="auto"/>
                <w:kern w:val="2"/>
                <w:sz w:val="21"/>
                <w:szCs w:val="21"/>
                <w:highlight w:val="yellow"/>
                <w:lang w:eastAsia="zh-CN"/>
              </w:rPr>
              <w:t>中标人</w:t>
            </w:r>
            <w:r>
              <w:rPr>
                <w:rFonts w:hint="eastAsia" w:ascii="宋体" w:hAnsi="宋体" w:eastAsia="宋体" w:cs="宋体"/>
                <w:color w:val="auto"/>
                <w:kern w:val="2"/>
                <w:sz w:val="21"/>
                <w:szCs w:val="21"/>
                <w:highlight w:val="yellow"/>
              </w:rPr>
              <w:t>必须作为主承保人负责承保、理赔服务，不得将承保、理赔服务分配其他参与共保公司服务。</w:t>
            </w:r>
          </w:p>
        </w:tc>
      </w:tr>
    </w:tbl>
    <w:p w14:paraId="59F3F507">
      <w:pPr>
        <w:pStyle w:val="458"/>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outlineLvl w:val="0"/>
        <w:rPr>
          <w:rFonts w:hint="eastAsia" w:ascii="宋体" w:hAnsi="宋体" w:eastAsia="宋体" w:cs="宋体"/>
          <w:bCs/>
          <w:color w:val="auto"/>
          <w:szCs w:val="21"/>
          <w:lang w:val="en-US" w:eastAsia="zh-CN"/>
        </w:rPr>
      </w:pPr>
    </w:p>
    <w:p w14:paraId="5A591394">
      <w:pPr>
        <w:spacing w:line="360" w:lineRule="auto"/>
        <w:rPr>
          <w:rFonts w:ascii="宋体" w:hAnsi="宋体"/>
          <w:b/>
          <w:bCs/>
          <w:snapToGrid w:val="0"/>
          <w:kern w:val="0"/>
          <w:sz w:val="24"/>
          <w:highlight w:val="none"/>
        </w:rPr>
      </w:pPr>
      <w:r>
        <w:rPr>
          <w:rFonts w:hint="eastAsia" w:ascii="宋体" w:hAnsi="宋体"/>
          <w:b/>
          <w:bCs/>
          <w:snapToGrid w:val="0"/>
          <w:kern w:val="0"/>
          <w:sz w:val="24"/>
          <w:highlight w:val="none"/>
        </w:rPr>
        <w:t>三、商务要求</w:t>
      </w:r>
    </w:p>
    <w:tbl>
      <w:tblPr>
        <w:tblStyle w:val="5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4"/>
        <w:gridCol w:w="7438"/>
      </w:tblGrid>
      <w:tr w14:paraId="5F32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25" w:type="pct"/>
            <w:noWrap w:val="0"/>
            <w:vAlign w:val="top"/>
          </w:tcPr>
          <w:p w14:paraId="2FC5B33A">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vertAlign w:val="baseline"/>
                <w:lang w:val="en-US" w:eastAsia="zh-CN"/>
              </w:rPr>
              <w:t>内容</w:t>
            </w:r>
          </w:p>
        </w:tc>
        <w:tc>
          <w:tcPr>
            <w:tcW w:w="3774" w:type="pct"/>
            <w:noWrap w:val="0"/>
            <w:vAlign w:val="top"/>
          </w:tcPr>
          <w:p w14:paraId="7FF4BAB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vertAlign w:val="baseline"/>
                <w:lang w:val="en-US" w:eastAsia="zh-CN"/>
              </w:rPr>
              <w:t>要求</w:t>
            </w:r>
          </w:p>
        </w:tc>
      </w:tr>
      <w:tr w14:paraId="7272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25" w:type="pct"/>
            <w:noWrap w:val="0"/>
            <w:vAlign w:val="center"/>
          </w:tcPr>
          <w:p w14:paraId="6C433833">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1.服务期限</w:t>
            </w:r>
          </w:p>
        </w:tc>
        <w:tc>
          <w:tcPr>
            <w:tcW w:w="3774" w:type="pct"/>
            <w:noWrap w:val="0"/>
            <w:vAlign w:val="center"/>
          </w:tcPr>
          <w:p w14:paraId="64BD5502">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1.1服务期限：合同签订后1年。</w:t>
            </w:r>
            <w:r>
              <w:rPr>
                <w:rFonts w:hint="eastAsia" w:ascii="宋体" w:hAnsi="宋体" w:eastAsia="宋体" w:cs="宋体"/>
                <w:color w:val="auto"/>
                <w:sz w:val="21"/>
                <w:szCs w:val="21"/>
                <w:highlight w:val="none"/>
                <w:u w:val="none"/>
                <w:vertAlign w:val="baseline"/>
                <w:lang w:val="en-US" w:eastAsia="zh-CN"/>
              </w:rPr>
              <w:tab/>
            </w:r>
          </w:p>
          <w:p w14:paraId="3F05D45E">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1.2本项目为长期服务项目，合同一年一签。</w:t>
            </w:r>
          </w:p>
          <w:p w14:paraId="0EC06A9A">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1.3合同续签：若合同履行结束后，采购人相关部门根据合同内容和招标文件、中标人投标文件（供应商的资质、服务的详细内容符合程度等）进行履约评价，项目履约评价为“良好”或以上，并且查询其信用信息未被列入失信被执行人、重大税收违法案件当事人名单、政府采购严重违法失信行为记录名单，经双方协商同意可续签，但总体合同履行期限最长不得超过三十六个月。</w:t>
            </w:r>
          </w:p>
        </w:tc>
      </w:tr>
      <w:tr w14:paraId="7863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225" w:type="pct"/>
            <w:noWrap w:val="0"/>
            <w:vAlign w:val="center"/>
          </w:tcPr>
          <w:p w14:paraId="166E766F">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u w:val="none"/>
                <w:vertAlign w:val="baseline"/>
                <w:lang w:val="en-US" w:eastAsia="zh-CN"/>
              </w:rPr>
              <w:t>2.服务地点</w:t>
            </w:r>
          </w:p>
        </w:tc>
        <w:tc>
          <w:tcPr>
            <w:tcW w:w="3774" w:type="pct"/>
            <w:noWrap w:val="0"/>
            <w:vAlign w:val="center"/>
          </w:tcPr>
          <w:p w14:paraId="4526685E">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2.1被保险人：深圳市龙岗区人民医院</w:t>
            </w:r>
          </w:p>
          <w:p w14:paraId="1D6F8091">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2.2保险经纪人：北京容海保险经纪有限公司深圳分公司</w:t>
            </w:r>
          </w:p>
        </w:tc>
      </w:tr>
      <w:tr w14:paraId="6834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1225" w:type="pct"/>
            <w:noWrap w:val="0"/>
            <w:vAlign w:val="center"/>
          </w:tcPr>
          <w:p w14:paraId="30CCC581">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3.验收方案</w:t>
            </w:r>
          </w:p>
        </w:tc>
        <w:tc>
          <w:tcPr>
            <w:tcW w:w="3774" w:type="pct"/>
            <w:noWrap w:val="0"/>
            <w:vAlign w:val="center"/>
          </w:tcPr>
          <w:p w14:paraId="1D2AF027">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验收小组按照合同以及招投标文件验收，形成验收报告，由验收参与方签字确认。</w:t>
            </w:r>
          </w:p>
          <w:p w14:paraId="24D2E2ED">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3.1采购人相关部门组织成立验收小组。</w:t>
            </w:r>
          </w:p>
          <w:p w14:paraId="4F65DF35">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3.2验收小组对服务团队进场验收，对投标人和团队人员的情况进行核验并记录。</w:t>
            </w:r>
          </w:p>
          <w:p w14:paraId="6C33ED34">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lang w:val="en-US" w:eastAsia="zh-CN"/>
              </w:rPr>
              <w:t>3.3按照项目进度，项目年度服务结束后进行年度履约评价并撰写验收报告，验收报告由验收参与双方签字确认。年度履约评价参考附件。</w:t>
            </w:r>
          </w:p>
        </w:tc>
      </w:tr>
      <w:tr w14:paraId="365E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pct"/>
            <w:noWrap w:val="0"/>
            <w:vAlign w:val="center"/>
          </w:tcPr>
          <w:p w14:paraId="647D67EE">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4.付款条件</w:t>
            </w:r>
          </w:p>
        </w:tc>
        <w:tc>
          <w:tcPr>
            <w:tcW w:w="3774" w:type="pct"/>
            <w:noWrap w:val="0"/>
            <w:vAlign w:val="center"/>
          </w:tcPr>
          <w:p w14:paraId="629C36F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rPr>
              <w:t xml:space="preserve">   据国家金融监督管理总局 “金发 [2025] 36 号”《国家金融监督管理总局关于加强非车险业务监管有关事项的通知》第七条健全保费收入管理的规定，财产保险公司应在收取保费后向客户签发保单并开具保费发票。根据采购人的投保需求，在保单生效前，采购人应将保费一次性转入中标人的指定账户。中标人在收到保费及出单所需资料后 3 个工作日内出具保单和发票。</w:t>
            </w:r>
            <w:r>
              <w:rPr>
                <w:rFonts w:hint="eastAsia" w:ascii="宋体" w:hAnsi="宋体" w:eastAsia="宋体" w:cs="宋体"/>
                <w:color w:val="auto"/>
                <w:sz w:val="21"/>
                <w:szCs w:val="21"/>
                <w:highlight w:val="none"/>
                <w:lang w:val="en-US" w:eastAsia="zh-CN"/>
              </w:rPr>
              <w:t>采购人收到</w:t>
            </w:r>
            <w:r>
              <w:rPr>
                <w:rFonts w:hint="eastAsia" w:ascii="宋体" w:hAnsi="宋体" w:eastAsia="宋体" w:cs="宋体"/>
                <w:color w:val="auto"/>
                <w:sz w:val="21"/>
                <w:szCs w:val="21"/>
                <w:highlight w:val="none"/>
              </w:rPr>
              <w:t>保单和发票</w:t>
            </w:r>
            <w:r>
              <w:rPr>
                <w:rFonts w:hint="eastAsia" w:ascii="宋体" w:hAnsi="宋体" w:eastAsia="宋体" w:cs="宋体"/>
                <w:color w:val="auto"/>
                <w:sz w:val="21"/>
                <w:szCs w:val="21"/>
                <w:highlight w:val="none"/>
                <w:lang w:val="en-US" w:eastAsia="zh-CN"/>
              </w:rPr>
              <w:t>后，要求10个工作日内支付中标人保费。</w:t>
            </w:r>
          </w:p>
        </w:tc>
      </w:tr>
      <w:tr w14:paraId="2BCF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pct"/>
            <w:noWrap w:val="0"/>
            <w:vAlign w:val="center"/>
          </w:tcPr>
          <w:p w14:paraId="24F9511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lang w:val="en-US" w:eastAsia="zh-CN"/>
              </w:rPr>
              <w:t>5.付款方式</w:t>
            </w:r>
          </w:p>
        </w:tc>
        <w:tc>
          <w:tcPr>
            <w:tcW w:w="3774" w:type="pct"/>
            <w:noWrap w:val="0"/>
            <w:vAlign w:val="center"/>
          </w:tcPr>
          <w:p w14:paraId="14F42A1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转账形式</w:t>
            </w:r>
          </w:p>
        </w:tc>
      </w:tr>
      <w:tr w14:paraId="59B6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pct"/>
            <w:noWrap w:val="0"/>
            <w:vAlign w:val="center"/>
          </w:tcPr>
          <w:p w14:paraId="0A92D09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6.违约责任</w:t>
            </w:r>
          </w:p>
        </w:tc>
        <w:tc>
          <w:tcPr>
            <w:tcW w:w="3774" w:type="pct"/>
            <w:noWrap w:val="0"/>
            <w:vAlign w:val="center"/>
          </w:tcPr>
          <w:p w14:paraId="6F74B897">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rPr>
              <w:t>若成交供应商无法按照合同约定提供服务，视为成交供应商违约，采购人有权在合同到期后终止合同，若成交供应商给采购人造成损失，采购人有权要求成交供应商依法承担违约责任。</w:t>
            </w:r>
          </w:p>
        </w:tc>
      </w:tr>
      <w:tr w14:paraId="6300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25" w:type="pct"/>
            <w:noWrap w:val="0"/>
            <w:vAlign w:val="center"/>
          </w:tcPr>
          <w:p w14:paraId="06D33BD4">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7.合同解除情形</w:t>
            </w:r>
          </w:p>
        </w:tc>
        <w:tc>
          <w:tcPr>
            <w:tcW w:w="3774" w:type="pct"/>
            <w:noWrap w:val="0"/>
            <w:vAlign w:val="center"/>
          </w:tcPr>
          <w:p w14:paraId="2999BE8F">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中标方在合同执行期间有下列行为之一的，采购人有权在直接解除合同：</w:t>
            </w:r>
          </w:p>
          <w:p w14:paraId="6F50D351">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7.1擅自变更或者中止采购服务合同的；</w:t>
            </w:r>
          </w:p>
          <w:p w14:paraId="22B8A12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7.2不按招投标文件以及服务合同要求全面履约的；</w:t>
            </w:r>
          </w:p>
          <w:p w14:paraId="604796E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7.3非法分包或转包给任何单位和个人；</w:t>
            </w:r>
          </w:p>
          <w:p w14:paraId="305922B4">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7.4造成严重后果或恶劣影响的；</w:t>
            </w:r>
          </w:p>
          <w:p w14:paraId="28C54D3A">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出现上述情况之一的，采购方有权终止服务合同，其中造成医院损失（直接和间接）的，中标人应当进行赔偿。</w:t>
            </w:r>
          </w:p>
        </w:tc>
      </w:tr>
      <w:tr w14:paraId="3D9C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225" w:type="pct"/>
            <w:noWrap w:val="0"/>
            <w:vAlign w:val="center"/>
          </w:tcPr>
          <w:p w14:paraId="32A00423">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8.履约保证金</w:t>
            </w:r>
          </w:p>
        </w:tc>
        <w:tc>
          <w:tcPr>
            <w:tcW w:w="3774" w:type="pct"/>
            <w:noWrap w:val="0"/>
            <w:vAlign w:val="center"/>
          </w:tcPr>
          <w:p w14:paraId="70FD3A8B">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无。</w:t>
            </w:r>
          </w:p>
        </w:tc>
      </w:tr>
      <w:tr w14:paraId="5F75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pct"/>
            <w:noWrap w:val="0"/>
            <w:vAlign w:val="center"/>
          </w:tcPr>
          <w:p w14:paraId="1A519D12">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9.包装运输</w:t>
            </w:r>
          </w:p>
        </w:tc>
        <w:tc>
          <w:tcPr>
            <w:tcW w:w="3774" w:type="pct"/>
            <w:noWrap w:val="0"/>
            <w:vAlign w:val="center"/>
          </w:tcPr>
          <w:p w14:paraId="53736825">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无。</w:t>
            </w:r>
          </w:p>
        </w:tc>
      </w:tr>
      <w:tr w14:paraId="4F55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3" w:hRule="atLeast"/>
        </w:trPr>
        <w:tc>
          <w:tcPr>
            <w:tcW w:w="1225" w:type="pct"/>
            <w:noWrap w:val="0"/>
            <w:vAlign w:val="center"/>
          </w:tcPr>
          <w:p w14:paraId="770D3C9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yellow"/>
                <w:u w:val="none"/>
                <w:lang w:val="en-US" w:eastAsia="zh-CN"/>
              </w:rPr>
            </w:pPr>
            <w:r>
              <w:rPr>
                <w:rFonts w:hint="eastAsia" w:ascii="宋体" w:hAnsi="宋体" w:eastAsia="宋体" w:cs="宋体"/>
                <w:b/>
                <w:bCs/>
                <w:color w:val="auto"/>
                <w:sz w:val="21"/>
                <w:szCs w:val="21"/>
                <w:highlight w:val="yellow"/>
              </w:rPr>
              <w:t>★</w:t>
            </w:r>
            <w:r>
              <w:rPr>
                <w:rFonts w:hint="eastAsia" w:ascii="宋体" w:hAnsi="宋体" w:eastAsia="宋体" w:cs="宋体"/>
                <w:color w:val="auto"/>
                <w:sz w:val="21"/>
                <w:szCs w:val="21"/>
                <w:highlight w:val="yellow"/>
                <w:u w:val="none"/>
                <w:lang w:val="en-US" w:eastAsia="zh-CN"/>
              </w:rPr>
              <w:t>10.售后服务</w:t>
            </w:r>
          </w:p>
        </w:tc>
        <w:tc>
          <w:tcPr>
            <w:tcW w:w="3774" w:type="pct"/>
            <w:noWrap w:val="0"/>
            <w:vAlign w:val="center"/>
          </w:tcPr>
          <w:p w14:paraId="2255EC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u w:val="none"/>
                <w:lang w:eastAsia="zh-CN"/>
              </w:rPr>
              <w:t>1.</w:t>
            </w:r>
            <w:r>
              <w:rPr>
                <w:rFonts w:hint="eastAsia" w:ascii="宋体" w:hAnsi="宋体" w:eastAsia="宋体" w:cs="宋体"/>
                <w:color w:val="auto"/>
                <w:sz w:val="21"/>
                <w:szCs w:val="21"/>
                <w:highlight w:val="yellow"/>
              </w:rPr>
              <w:t>保险报案：报案形式可采取台账报案形式，同时保险公司也可提供官方报案电话。</w:t>
            </w:r>
          </w:p>
          <w:p w14:paraId="6EB1208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2.投标人原则上应提供发票纸质原件或电子发票，确有特殊情况不能提供发票纸质原件的，与</w:t>
            </w:r>
            <w:r>
              <w:rPr>
                <w:rFonts w:hint="eastAsia" w:ascii="宋体" w:hAnsi="宋体" w:eastAsia="宋体" w:cs="宋体"/>
                <w:color w:val="auto"/>
                <w:sz w:val="21"/>
                <w:szCs w:val="21"/>
                <w:highlight w:val="yellow"/>
                <w:lang w:eastAsia="zh-CN"/>
              </w:rPr>
              <w:t>投标人</w:t>
            </w:r>
            <w:r>
              <w:rPr>
                <w:rFonts w:hint="eastAsia" w:ascii="宋体" w:hAnsi="宋体" w:eastAsia="宋体" w:cs="宋体"/>
                <w:color w:val="auto"/>
                <w:sz w:val="21"/>
                <w:szCs w:val="21"/>
                <w:highlight w:val="yellow"/>
              </w:rPr>
              <w:t>沟通并征得</w:t>
            </w:r>
            <w:r>
              <w:rPr>
                <w:rFonts w:hint="eastAsia" w:ascii="宋体" w:hAnsi="宋体" w:eastAsia="宋体" w:cs="宋体"/>
                <w:color w:val="auto"/>
                <w:sz w:val="21"/>
                <w:szCs w:val="21"/>
                <w:highlight w:val="yellow"/>
                <w:lang w:eastAsia="zh-CN"/>
              </w:rPr>
              <w:t>投标人</w:t>
            </w:r>
            <w:r>
              <w:rPr>
                <w:rFonts w:hint="eastAsia" w:ascii="宋体" w:hAnsi="宋体" w:eastAsia="宋体" w:cs="宋体"/>
                <w:color w:val="auto"/>
                <w:sz w:val="21"/>
                <w:szCs w:val="21"/>
                <w:highlight w:val="yellow"/>
              </w:rPr>
              <w:t>同意也可。</w:t>
            </w:r>
          </w:p>
          <w:p w14:paraId="1489C6E1">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color w:val="auto"/>
                <w:sz w:val="21"/>
                <w:szCs w:val="21"/>
                <w:highlight w:val="yellow"/>
                <w:u w:val="none"/>
                <w:lang w:val="en-US" w:eastAsia="zh-CN"/>
              </w:rPr>
            </w:pPr>
            <w:r>
              <w:rPr>
                <w:rFonts w:hint="eastAsia" w:ascii="宋体" w:hAnsi="宋体" w:eastAsia="宋体" w:cs="宋体"/>
                <w:color w:val="auto"/>
                <w:sz w:val="21"/>
                <w:szCs w:val="21"/>
                <w:highlight w:val="yellow"/>
              </w:rPr>
              <w:t>3.在保险期限内发生的保险事故结案后，患方如因同一事故再次提起赔偿请求（包含但不限于请求赔偿后续治疗费、后续护理费），经法院判决或者仲裁裁决的，对应由被保险人支付或者承担的赔偿金额及法律费用等，保险人应在保险责任赔偿额范围内赔偿。</w:t>
            </w:r>
          </w:p>
        </w:tc>
      </w:tr>
      <w:tr w14:paraId="2E97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225" w:type="pct"/>
            <w:noWrap w:val="0"/>
            <w:vAlign w:val="center"/>
          </w:tcPr>
          <w:p w14:paraId="76DC1E4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11.保险</w:t>
            </w:r>
          </w:p>
        </w:tc>
        <w:tc>
          <w:tcPr>
            <w:tcW w:w="3774" w:type="pct"/>
            <w:noWrap w:val="0"/>
            <w:vAlign w:val="center"/>
          </w:tcPr>
          <w:p w14:paraId="10F5A4C9">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无。</w:t>
            </w:r>
          </w:p>
        </w:tc>
      </w:tr>
      <w:tr w14:paraId="349C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225" w:type="pct"/>
            <w:noWrap w:val="0"/>
            <w:vAlign w:val="center"/>
          </w:tcPr>
          <w:p w14:paraId="4215FAC8">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rPr>
              <w:t>12.报价要求</w:t>
            </w:r>
          </w:p>
        </w:tc>
        <w:tc>
          <w:tcPr>
            <w:tcW w:w="3774" w:type="pct"/>
            <w:noWrap w:val="0"/>
            <w:vAlign w:val="center"/>
          </w:tcPr>
          <w:p w14:paraId="1CB7D3F7">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12.1</w:t>
            </w:r>
            <w:r>
              <w:rPr>
                <w:rFonts w:hint="eastAsia" w:ascii="宋体" w:hAnsi="宋体" w:eastAsia="宋体" w:cs="宋体"/>
                <w:color w:val="auto"/>
                <w:sz w:val="21"/>
                <w:szCs w:val="21"/>
                <w:highlight w:val="none"/>
                <w:lang w:val="en-US" w:eastAsia="zh-CN"/>
              </w:rPr>
              <w:t>.由投标人根据招标需求自行测算投标报价；一经中标，投标报价即作为中标人与采购人签订的合同金额</w:t>
            </w:r>
            <w:r>
              <w:rPr>
                <w:rFonts w:hint="eastAsia" w:ascii="宋体" w:hAnsi="宋体" w:eastAsia="宋体" w:cs="宋体"/>
                <w:color w:val="auto"/>
                <w:sz w:val="21"/>
                <w:szCs w:val="21"/>
                <w:highlight w:val="none"/>
                <w:u w:val="none"/>
                <w:lang w:val="en-US" w:eastAsia="zh-CN"/>
              </w:rPr>
              <w:t>。</w:t>
            </w:r>
          </w:p>
          <w:p w14:paraId="032511F3">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12.2投标人报价不能超过最高限价。</w:t>
            </w:r>
          </w:p>
          <w:p w14:paraId="4B4F9CC3">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12.3</w:t>
            </w:r>
            <w:r>
              <w:rPr>
                <w:rFonts w:hint="eastAsia" w:ascii="宋体" w:hAnsi="宋体" w:eastAsia="宋体" w:cs="宋体"/>
                <w:color w:val="auto"/>
                <w:sz w:val="21"/>
                <w:szCs w:val="21"/>
                <w:highlight w:val="none"/>
                <w:lang w:val="en-US" w:eastAsia="zh-CN"/>
              </w:rPr>
              <w:t>投标报价采用包干制，应包括成本、法定税费和相应的利润，应涵盖本项目招标范围和招标文件所列的各项内容中所述的全部。</w:t>
            </w:r>
          </w:p>
          <w:p w14:paraId="4CC5D9D1">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12.4投标人应根据本企业的成本自行决定报价。</w:t>
            </w:r>
          </w:p>
          <w:p w14:paraId="398EEFB5">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12.5投标人应充分了解项目的位置、情况及任何其他足以影响投标报价的情况，任何因忽视或误解项目情况而导致的索赔或服务期限延长的申请将不获批准。</w:t>
            </w:r>
          </w:p>
          <w:p w14:paraId="5895264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rPr>
              <w:t>12.6投标人不得期望通过索赔等方式获取补偿，否则，除可能遭到拒绝外，还可能将被作为不良行为记录在案，并可能影响其以后参加政府采购的项目投标。各投标人在投标报价时，应充分考虑投标报价的风险。</w:t>
            </w:r>
          </w:p>
        </w:tc>
      </w:tr>
      <w:tr w14:paraId="735E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225" w:type="pct"/>
            <w:noWrap w:val="0"/>
            <w:vAlign w:val="center"/>
          </w:tcPr>
          <w:p w14:paraId="50F01868">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13.其他商务要求</w:t>
            </w:r>
          </w:p>
        </w:tc>
        <w:tc>
          <w:tcPr>
            <w:tcW w:w="3774" w:type="pct"/>
            <w:noWrap w:val="0"/>
            <w:vAlign w:val="center"/>
          </w:tcPr>
          <w:p w14:paraId="3CE4D3A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13.1投标人为了确保具备充足的理赔兑付能力与财务稳健性，能够在保险期间内独立履行赔偿义务，需具有良好的综合偿付能力充足率，以证明其具备与承保风险相匹配的资本实力和抗风险能力。</w:t>
            </w:r>
            <w:r>
              <w:rPr>
                <w:rFonts w:hint="eastAsia" w:ascii="宋体" w:hAnsi="宋体" w:eastAsia="宋体" w:cs="宋体"/>
                <w:color w:val="auto"/>
                <w:kern w:val="0"/>
                <w:sz w:val="21"/>
                <w:szCs w:val="21"/>
                <w:highlight w:val="none"/>
                <w:lang w:eastAsia="zh-CN"/>
              </w:rPr>
              <w:t>如投标人为新成立单位，满足法规要求的前提上，</w:t>
            </w:r>
            <w:r>
              <w:rPr>
                <w:rFonts w:hint="eastAsia" w:ascii="宋体" w:hAnsi="宋体" w:eastAsia="宋体" w:cs="宋体"/>
                <w:color w:val="auto"/>
                <w:kern w:val="0"/>
                <w:sz w:val="21"/>
                <w:szCs w:val="21"/>
                <w:highlight w:val="none"/>
                <w:lang w:val="en-US" w:eastAsia="zh-CN"/>
              </w:rPr>
              <w:t>还</w:t>
            </w:r>
            <w:r>
              <w:rPr>
                <w:rFonts w:hint="eastAsia" w:ascii="宋体" w:hAnsi="宋体" w:eastAsia="宋体" w:cs="宋体"/>
                <w:color w:val="auto"/>
                <w:kern w:val="0"/>
                <w:sz w:val="21"/>
                <w:szCs w:val="21"/>
                <w:highlight w:val="none"/>
                <w:lang w:eastAsia="zh-CN"/>
              </w:rPr>
              <w:t>不能提供综合偿付能力信息披露资料的，</w:t>
            </w:r>
            <w:r>
              <w:rPr>
                <w:rFonts w:hint="eastAsia" w:ascii="宋体" w:hAnsi="宋体" w:eastAsia="宋体" w:cs="宋体"/>
                <w:color w:val="auto"/>
                <w:kern w:val="0"/>
                <w:sz w:val="21"/>
                <w:szCs w:val="21"/>
                <w:highlight w:val="none"/>
                <w:lang w:val="en-US" w:eastAsia="zh-CN"/>
              </w:rPr>
              <w:t>需</w:t>
            </w:r>
            <w:r>
              <w:rPr>
                <w:rFonts w:hint="eastAsia" w:ascii="宋体" w:hAnsi="宋体" w:eastAsia="宋体" w:cs="宋体"/>
                <w:color w:val="auto"/>
                <w:kern w:val="0"/>
                <w:sz w:val="21"/>
                <w:szCs w:val="21"/>
                <w:highlight w:val="none"/>
                <w:lang w:eastAsia="zh-CN"/>
              </w:rPr>
              <w:t>提供相关说明（</w:t>
            </w:r>
            <w:r>
              <w:rPr>
                <w:rFonts w:hint="eastAsia" w:ascii="宋体" w:hAnsi="宋体" w:eastAsia="宋体" w:cs="宋体"/>
                <w:color w:val="auto"/>
                <w:kern w:val="0"/>
                <w:sz w:val="21"/>
                <w:szCs w:val="21"/>
                <w:highlight w:val="none"/>
                <w:lang w:val="en-US" w:eastAsia="zh-CN"/>
              </w:rPr>
              <w:t>比如财务报表或承诺函）。</w:t>
            </w:r>
          </w:p>
          <w:p w14:paraId="5285FED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13.2为保障投标人服务本项目时处理承保及理赔服务的专业性与稳定性，充分借鉴既往成熟经验快速投入服务工作，投标人需具有同类医疗责任保险项目服务经验，并在履约过程中获得良好或良好以上的履约评价，以证明其具备持续、可靠的服务能力。</w:t>
            </w:r>
          </w:p>
          <w:p w14:paraId="6094503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u w:val="none"/>
                <w:lang w:val="en-US" w:eastAsia="zh-CN"/>
              </w:rPr>
              <w:t>13.3为了保证履约诚信与服务品质，投标人需具有良好的信用评价情况，无《深圳市财政局政府采购供应商信用信息管理办法》（深财规〔2023〕3号）列明的一般行政处罚信息、一般违法失信记录信息。</w:t>
            </w:r>
          </w:p>
        </w:tc>
      </w:tr>
    </w:tbl>
    <w:p w14:paraId="6C5E70D1"/>
    <w:p w14:paraId="246AAFA7">
      <w:pPr>
        <w:spacing w:line="360" w:lineRule="auto"/>
        <w:rPr>
          <w:rFonts w:hint="eastAsia" w:ascii="宋体" w:hAnsi="宋体" w:eastAsia="宋体" w:cs="Times New Roman"/>
          <w:b/>
          <w:bCs/>
          <w:snapToGrid w:val="0"/>
          <w:kern w:val="0"/>
          <w:sz w:val="24"/>
          <w:highlight w:val="none"/>
          <w:lang w:val="en-US" w:eastAsia="zh-CN"/>
        </w:rPr>
      </w:pPr>
      <w:bookmarkStart w:id="4" w:name="_Toc15948"/>
      <w:r>
        <w:rPr>
          <w:rFonts w:hint="eastAsia" w:ascii="宋体" w:hAnsi="宋体" w:eastAsia="宋体" w:cs="Times New Roman"/>
          <w:b/>
          <w:bCs/>
          <w:snapToGrid w:val="0"/>
          <w:kern w:val="0"/>
          <w:sz w:val="24"/>
          <w:highlight w:val="none"/>
          <w:lang w:val="en-US" w:eastAsia="zh-CN"/>
        </w:rPr>
        <w:t>四、通用条款：</w:t>
      </w:r>
    </w:p>
    <w:tbl>
      <w:tblPr>
        <w:tblStyle w:val="5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7903"/>
      </w:tblGrid>
      <w:tr w14:paraId="1571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noWrap w:val="0"/>
            <w:vAlign w:val="center"/>
          </w:tcPr>
          <w:p w14:paraId="287BD66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1.保密义务</w:t>
            </w:r>
          </w:p>
        </w:tc>
        <w:tc>
          <w:tcPr>
            <w:tcW w:w="4010" w:type="pct"/>
            <w:noWrap w:val="0"/>
            <w:vAlign w:val="center"/>
          </w:tcPr>
          <w:p w14:paraId="79349DD4">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采购人、中标人双方在采购和履行合同过程中所获悉的所有信息都属于保密的内容，</w:t>
            </w:r>
            <w:r>
              <w:rPr>
                <w:rFonts w:hint="eastAsia" w:ascii="宋体" w:hAnsi="宋体" w:eastAsia="宋体" w:cs="宋体"/>
                <w:color w:val="auto"/>
                <w:sz w:val="21"/>
                <w:szCs w:val="21"/>
                <w:highlight w:val="none"/>
              </w:rPr>
              <w:t>包括但不限于</w:t>
            </w:r>
            <w:r>
              <w:rPr>
                <w:rFonts w:hint="eastAsia" w:ascii="宋体" w:hAnsi="宋体" w:eastAsia="宋体" w:cs="宋体"/>
                <w:color w:val="auto"/>
                <w:sz w:val="21"/>
                <w:szCs w:val="21"/>
                <w:highlight w:val="none"/>
                <w:lang w:val="en-US" w:eastAsia="zh-CN"/>
              </w:rPr>
              <w:t>被保险</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保险对象的</w:t>
            </w:r>
            <w:r>
              <w:rPr>
                <w:rFonts w:hint="eastAsia" w:ascii="宋体" w:hAnsi="宋体" w:eastAsia="宋体" w:cs="宋体"/>
                <w:color w:val="auto"/>
                <w:sz w:val="21"/>
                <w:szCs w:val="21"/>
                <w:highlight w:val="none"/>
              </w:rPr>
              <w:t>案件情况、理赔情况、知识产权等进行保密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采购人和中标人双方均有保密义务。</w:t>
            </w:r>
          </w:p>
        </w:tc>
      </w:tr>
      <w:tr w14:paraId="3062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restart"/>
            <w:noWrap w:val="0"/>
            <w:vAlign w:val="center"/>
          </w:tcPr>
          <w:p w14:paraId="0681BC87">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合同的变更</w:t>
            </w:r>
          </w:p>
        </w:tc>
        <w:tc>
          <w:tcPr>
            <w:tcW w:w="4010" w:type="pct"/>
            <w:noWrap w:val="0"/>
            <w:vAlign w:val="center"/>
          </w:tcPr>
          <w:p w14:paraId="6FECE186">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2.1</w:t>
            </w:r>
            <w:r>
              <w:rPr>
                <w:rFonts w:hint="eastAsia" w:ascii="宋体" w:hAnsi="宋体" w:eastAsia="宋体" w:cs="宋体"/>
                <w:color w:val="auto"/>
                <w:kern w:val="0"/>
                <w:sz w:val="21"/>
                <w:szCs w:val="21"/>
                <w:highlight w:val="none"/>
              </w:rPr>
              <w:t>在合同履行过程中，采购人、中标人双方可就合同履行的时间、地点和方式等协商进行变更。协商一致后，双方应签订书面的补充协议。</w:t>
            </w:r>
          </w:p>
        </w:tc>
      </w:tr>
      <w:tr w14:paraId="01B5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continue"/>
            <w:noWrap w:val="0"/>
            <w:vAlign w:val="center"/>
          </w:tcPr>
          <w:p w14:paraId="0D82726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0487CC73">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2.2</w:t>
            </w:r>
            <w:r>
              <w:rPr>
                <w:rFonts w:hint="eastAsia" w:ascii="宋体" w:hAnsi="宋体" w:eastAsia="宋体" w:cs="宋体"/>
                <w:color w:val="auto"/>
                <w:kern w:val="0"/>
                <w:sz w:val="21"/>
                <w:szCs w:val="21"/>
                <w:highlight w:val="none"/>
              </w:rPr>
              <w:t>除了双方签署书面协议，并成为合同不可分割的一部分之外，合同条件不得有任何变更。</w:t>
            </w:r>
          </w:p>
        </w:tc>
      </w:tr>
      <w:tr w14:paraId="713C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989" w:type="pct"/>
            <w:vMerge w:val="restart"/>
            <w:noWrap w:val="0"/>
            <w:vAlign w:val="center"/>
          </w:tcPr>
          <w:p w14:paraId="29C7939C">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3.合</w:t>
            </w:r>
            <w:r>
              <w:rPr>
                <w:rFonts w:hint="eastAsia" w:ascii="宋体" w:hAnsi="宋体" w:eastAsia="宋体" w:cs="宋体"/>
                <w:color w:val="auto"/>
                <w:kern w:val="0"/>
                <w:sz w:val="21"/>
                <w:szCs w:val="21"/>
                <w:highlight w:val="none"/>
              </w:rPr>
              <w:t>同转让和分包</w:t>
            </w:r>
          </w:p>
        </w:tc>
        <w:tc>
          <w:tcPr>
            <w:tcW w:w="4010" w:type="pct"/>
            <w:noWrap w:val="0"/>
            <w:vAlign w:val="center"/>
          </w:tcPr>
          <w:p w14:paraId="559648AB">
            <w:pPr>
              <w:pStyle w:val="28"/>
              <w:keepNext w:val="0"/>
              <w:keepLines w:val="0"/>
              <w:pageBreakBefore w:val="0"/>
              <w:widowControl w:val="0"/>
              <w:numPr>
                <w:ilvl w:val="1"/>
                <w:numId w:val="0"/>
              </w:numPr>
              <w:shd w:val="clear" w:color="auto" w:fill="auto"/>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kern w:val="0"/>
                <w:sz w:val="21"/>
                <w:szCs w:val="21"/>
                <w:highlight w:val="none"/>
                <w:lang w:eastAsia="zh-CN"/>
              </w:rPr>
              <w:t>中标人</w:t>
            </w:r>
            <w:r>
              <w:rPr>
                <w:rFonts w:hint="eastAsia" w:ascii="宋体" w:hAnsi="宋体" w:eastAsia="宋体" w:cs="宋体"/>
                <w:color w:val="auto"/>
                <w:kern w:val="0"/>
                <w:sz w:val="21"/>
                <w:szCs w:val="21"/>
                <w:highlight w:val="none"/>
              </w:rPr>
              <w:t>不得以任何形式部分或全部转让其应履行的合同义务。</w:t>
            </w:r>
          </w:p>
        </w:tc>
      </w:tr>
      <w:tr w14:paraId="5A66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continue"/>
            <w:noWrap w:val="0"/>
            <w:vAlign w:val="center"/>
          </w:tcPr>
          <w:p w14:paraId="734581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529BB5CA">
            <w:pPr>
              <w:pStyle w:val="28"/>
              <w:keepNext w:val="0"/>
              <w:keepLines w:val="0"/>
              <w:pageBreakBefore w:val="0"/>
              <w:widowControl w:val="0"/>
              <w:numPr>
                <w:ilvl w:val="1"/>
                <w:numId w:val="0"/>
              </w:numPr>
              <w:shd w:val="clear" w:color="auto" w:fill="auto"/>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kern w:val="0"/>
                <w:sz w:val="21"/>
                <w:szCs w:val="21"/>
                <w:highlight w:val="none"/>
                <w:lang w:eastAsia="zh-CN"/>
              </w:rPr>
              <w:t>中标人</w:t>
            </w:r>
            <w:r>
              <w:rPr>
                <w:rFonts w:hint="eastAsia" w:ascii="宋体" w:hAnsi="宋体" w:eastAsia="宋体" w:cs="宋体"/>
                <w:color w:val="auto"/>
                <w:kern w:val="0"/>
                <w:sz w:val="21"/>
                <w:szCs w:val="21"/>
                <w:highlight w:val="none"/>
              </w:rPr>
              <w:t>不得采用分包方式履行合同。</w:t>
            </w:r>
          </w:p>
        </w:tc>
      </w:tr>
      <w:tr w14:paraId="336F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restart"/>
            <w:noWrap w:val="0"/>
            <w:vAlign w:val="center"/>
          </w:tcPr>
          <w:p w14:paraId="7122C23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4.解决争议的方法</w:t>
            </w:r>
          </w:p>
        </w:tc>
        <w:tc>
          <w:tcPr>
            <w:tcW w:w="4010" w:type="pct"/>
            <w:noWrap w:val="0"/>
            <w:vAlign w:val="center"/>
          </w:tcPr>
          <w:p w14:paraId="7D17197D">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4.1合同各方应通过友好协商，解决在执行合同过程中所发生的或与合同有关的一切争端。</w:t>
            </w:r>
          </w:p>
        </w:tc>
      </w:tr>
      <w:tr w14:paraId="40CB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continue"/>
            <w:noWrap w:val="0"/>
            <w:vAlign w:val="center"/>
          </w:tcPr>
          <w:p w14:paraId="51DFFAA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047DC6FF">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4.2如从协商开始28天内仍不能解决，任一方可向采购人所在地的人民法院提起诉讼。</w:t>
            </w:r>
          </w:p>
        </w:tc>
      </w:tr>
      <w:tr w14:paraId="67E6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989" w:type="pct"/>
            <w:vMerge w:val="continue"/>
            <w:noWrap w:val="0"/>
            <w:vAlign w:val="center"/>
          </w:tcPr>
          <w:p w14:paraId="005A17F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2F3C81EC">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4.3在诉讼期间，除正在进行诉讼的部分外，合同的其他部分应继续执行。</w:t>
            </w:r>
          </w:p>
        </w:tc>
      </w:tr>
      <w:tr w14:paraId="4836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noWrap w:val="0"/>
            <w:vAlign w:val="center"/>
          </w:tcPr>
          <w:p w14:paraId="41341193">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5.合同语言</w:t>
            </w:r>
            <w:r>
              <w:rPr>
                <w:rFonts w:hint="eastAsia" w:ascii="宋体" w:hAnsi="宋体" w:eastAsia="宋体" w:cs="宋体"/>
                <w:color w:val="auto"/>
                <w:kern w:val="0"/>
                <w:sz w:val="21"/>
                <w:szCs w:val="21"/>
                <w:highlight w:val="none"/>
              </w:rPr>
              <w:tab/>
            </w:r>
          </w:p>
        </w:tc>
        <w:tc>
          <w:tcPr>
            <w:tcW w:w="4010" w:type="pct"/>
            <w:noWrap w:val="0"/>
            <w:vAlign w:val="center"/>
          </w:tcPr>
          <w:p w14:paraId="1A3B0361">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5.1</w:t>
            </w:r>
            <w:r>
              <w:rPr>
                <w:rFonts w:hint="eastAsia" w:ascii="宋体" w:hAnsi="宋体" w:eastAsia="宋体" w:cs="宋体"/>
                <w:color w:val="auto"/>
                <w:kern w:val="0"/>
                <w:sz w:val="21"/>
                <w:szCs w:val="21"/>
                <w:highlight w:val="none"/>
              </w:rPr>
              <w:t>合同以及双方来往的与合同有关的信件、传真和其它文件应用中文书写。</w:t>
            </w:r>
          </w:p>
        </w:tc>
      </w:tr>
      <w:tr w14:paraId="4273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noWrap w:val="0"/>
            <w:vAlign w:val="center"/>
          </w:tcPr>
          <w:p w14:paraId="06AEA6A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6.法律适用</w:t>
            </w:r>
          </w:p>
        </w:tc>
        <w:tc>
          <w:tcPr>
            <w:tcW w:w="4010" w:type="pct"/>
            <w:noWrap w:val="0"/>
            <w:vAlign w:val="center"/>
          </w:tcPr>
          <w:p w14:paraId="2E36C818">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6.1合同适用中华人民共和国现行法律、行政法规和规章，如合同条款与法律、行政法规和规章不一致的，按照法律、行政法规和规章修改合同。</w:t>
            </w:r>
          </w:p>
        </w:tc>
      </w:tr>
      <w:tr w14:paraId="2D4B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restart"/>
            <w:noWrap w:val="0"/>
            <w:vAlign w:val="center"/>
          </w:tcPr>
          <w:p w14:paraId="4A43243B">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7.通知</w:t>
            </w:r>
            <w:r>
              <w:rPr>
                <w:rFonts w:hint="eastAsia" w:ascii="宋体" w:hAnsi="宋体" w:eastAsia="宋体" w:cs="宋体"/>
                <w:color w:val="auto"/>
                <w:kern w:val="0"/>
                <w:sz w:val="21"/>
                <w:szCs w:val="21"/>
                <w:highlight w:val="none"/>
              </w:rPr>
              <w:tab/>
            </w:r>
          </w:p>
        </w:tc>
        <w:tc>
          <w:tcPr>
            <w:tcW w:w="4010" w:type="pct"/>
            <w:noWrap w:val="0"/>
            <w:vAlign w:val="center"/>
          </w:tcPr>
          <w:p w14:paraId="041E3F7F">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7.1合同一方给另一方的通知均应采用书面形式，传真或快递送到对方的地址和办理签收手续。</w:t>
            </w:r>
          </w:p>
        </w:tc>
      </w:tr>
      <w:tr w14:paraId="76F9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989" w:type="pct"/>
            <w:vMerge w:val="continue"/>
            <w:noWrap w:val="0"/>
            <w:vAlign w:val="center"/>
          </w:tcPr>
          <w:p w14:paraId="0460F5A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14E1E06C">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7.2通知以送到之日或通知书中规定的生效之日起生效，两者中以较迟之日为准。</w:t>
            </w:r>
          </w:p>
        </w:tc>
      </w:tr>
      <w:tr w14:paraId="6C31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989" w:type="pct"/>
            <w:noWrap w:val="0"/>
            <w:vAlign w:val="center"/>
          </w:tcPr>
          <w:p w14:paraId="3CA4A3C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8.知识产权</w:t>
            </w:r>
          </w:p>
        </w:tc>
        <w:tc>
          <w:tcPr>
            <w:tcW w:w="4010" w:type="pct"/>
            <w:noWrap w:val="0"/>
            <w:vAlign w:val="center"/>
          </w:tcPr>
          <w:p w14:paraId="531E7020">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8.1中标人应保证采购人在使用该服务或其任何一部分时免受第三方提出侵犯其专利、商标、版权等知识产权或商品名称及其他权利的起诉及索赔。若采购人因此被第三方起诉或以其它方式追究责任，中标人应赔偿因采购人被第三方索赔所引起的一切损失，包括但不限于采购人所支付的侵权损害赔偿费、律师费、诉讼费、仲裁费、办案差旅费等因应诉、沟通协调所发生的一切费用。</w:t>
            </w:r>
          </w:p>
        </w:tc>
      </w:tr>
      <w:tr w14:paraId="6956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89" w:type="pct"/>
            <w:noWrap w:val="0"/>
            <w:vAlign w:val="center"/>
          </w:tcPr>
          <w:p w14:paraId="6608E13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9.税费</w:t>
            </w:r>
          </w:p>
        </w:tc>
        <w:tc>
          <w:tcPr>
            <w:tcW w:w="4010" w:type="pct"/>
            <w:noWrap w:val="0"/>
            <w:vAlign w:val="center"/>
          </w:tcPr>
          <w:p w14:paraId="3622EAB0">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9.1中国政府根据现行税法向中标人征收的与合同有关的一切税费均由中标人负责。</w:t>
            </w:r>
          </w:p>
        </w:tc>
      </w:tr>
    </w:tbl>
    <w:p w14:paraId="629BCB6A">
      <w:pPr>
        <w:shd w:val="clear" w:color="auto" w:fill="auto"/>
        <w:jc w:val="left"/>
        <w:rPr>
          <w:rFonts w:hint="eastAsia"/>
          <w:b/>
          <w:bCs/>
          <w:color w:val="auto"/>
          <w:sz w:val="28"/>
          <w:szCs w:val="28"/>
          <w:highlight w:val="none"/>
          <w:lang w:val="en-US" w:eastAsia="zh-CN"/>
        </w:rPr>
      </w:pPr>
      <w:r>
        <w:rPr>
          <w:rFonts w:hint="eastAsia"/>
          <w:b/>
          <w:bCs/>
          <w:color w:val="auto"/>
          <w:sz w:val="28"/>
          <w:szCs w:val="28"/>
          <w:highlight w:val="none"/>
          <w:lang w:val="en-US" w:eastAsia="zh-CN"/>
        </w:rPr>
        <w:t>附件：</w:t>
      </w:r>
    </w:p>
    <w:p w14:paraId="070B124B">
      <w:pPr>
        <w:shd w:val="clear" w:color="auto" w:fill="auto"/>
        <w:jc w:val="center"/>
        <w:rPr>
          <w:rFonts w:hint="default" w:eastAsia="宋体"/>
          <w:b/>
          <w:bCs/>
          <w:color w:val="auto"/>
          <w:sz w:val="28"/>
          <w:szCs w:val="28"/>
          <w:highlight w:val="none"/>
          <w:lang w:val="en-US" w:eastAsia="zh-CN"/>
        </w:rPr>
      </w:pPr>
      <w:r>
        <w:rPr>
          <w:rFonts w:hint="eastAsia"/>
          <w:b/>
          <w:bCs/>
          <w:color w:val="auto"/>
          <w:sz w:val="28"/>
          <w:szCs w:val="28"/>
          <w:highlight w:val="none"/>
          <w:lang w:val="en-US" w:eastAsia="zh-CN"/>
        </w:rPr>
        <w:t>深圳市龙岗区人民医院</w:t>
      </w:r>
    </w:p>
    <w:p w14:paraId="4CF9D183">
      <w:pPr>
        <w:shd w:val="clear" w:color="auto" w:fill="auto"/>
        <w:jc w:val="center"/>
        <w:rPr>
          <w:rFonts w:hint="eastAsia" w:eastAsia="宋体"/>
          <w:b/>
          <w:bCs/>
          <w:color w:val="auto"/>
          <w:sz w:val="28"/>
          <w:szCs w:val="28"/>
          <w:highlight w:val="none"/>
          <w:lang w:eastAsia="zh-CN"/>
        </w:rPr>
      </w:pPr>
      <w:r>
        <w:rPr>
          <w:rFonts w:hint="eastAsia"/>
          <w:b/>
          <w:bCs/>
          <w:color w:val="auto"/>
          <w:sz w:val="28"/>
          <w:szCs w:val="28"/>
          <w:highlight w:val="none"/>
          <w:lang w:val="en-US" w:eastAsia="zh-CN"/>
        </w:rPr>
        <w:t>医疗责任保险服务项目</w:t>
      </w:r>
      <w:r>
        <w:rPr>
          <w:rFonts w:hint="eastAsia"/>
          <w:b/>
          <w:bCs/>
          <w:color w:val="auto"/>
          <w:sz w:val="28"/>
          <w:szCs w:val="28"/>
          <w:highlight w:val="none"/>
        </w:rPr>
        <w:t>履约情况反馈表</w:t>
      </w:r>
    </w:p>
    <w:p w14:paraId="42E68559">
      <w:pPr>
        <w:shd w:val="clear" w:color="auto" w:fill="auto"/>
        <w:spacing w:line="60" w:lineRule="exact"/>
        <w:rPr>
          <w:rFonts w:ascii="宋体" w:hAnsi="宋体"/>
          <w:b/>
          <w:color w:val="auto"/>
          <w:szCs w:val="21"/>
          <w:highlight w:val="none"/>
        </w:rPr>
      </w:pPr>
    </w:p>
    <w:tbl>
      <w:tblPr>
        <w:tblStyle w:val="52"/>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950"/>
        <w:gridCol w:w="1073"/>
        <w:gridCol w:w="6763"/>
        <w:gridCol w:w="534"/>
        <w:gridCol w:w="534"/>
      </w:tblGrid>
      <w:tr w14:paraId="30459A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0" w:type="auto"/>
            <w:noWrap w:val="0"/>
            <w:vAlign w:val="center"/>
          </w:tcPr>
          <w:p w14:paraId="5EB7820A">
            <w:pPr>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采购人</w:t>
            </w:r>
          </w:p>
        </w:tc>
        <w:tc>
          <w:tcPr>
            <w:tcW w:w="0" w:type="auto"/>
            <w:noWrap w:val="0"/>
            <w:vAlign w:val="center"/>
          </w:tcPr>
          <w:p w14:paraId="4230BA2D">
            <w:pPr>
              <w:shd w:val="clear" w:color="auto" w:fill="auto"/>
              <w:spacing w:line="240" w:lineRule="atLeast"/>
              <w:jc w:val="center"/>
              <w:rPr>
                <w:rFonts w:hint="eastAsia" w:ascii="宋体" w:hAnsi="宋体" w:eastAsia="宋体" w:cs="宋体"/>
                <w:color w:val="auto"/>
                <w:sz w:val="21"/>
                <w:szCs w:val="21"/>
                <w:highlight w:val="none"/>
                <w:lang w:val="en-US" w:eastAsia="zh-CN"/>
              </w:rPr>
            </w:pPr>
          </w:p>
        </w:tc>
        <w:tc>
          <w:tcPr>
            <w:tcW w:w="0" w:type="auto"/>
            <w:noWrap w:val="0"/>
            <w:vAlign w:val="center"/>
          </w:tcPr>
          <w:p w14:paraId="40B7163B">
            <w:pPr>
              <w:shd w:val="clear" w:color="auto" w:fill="auto"/>
              <w:spacing w:line="240" w:lineRule="atLeast"/>
              <w:jc w:val="center"/>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合同</w:t>
            </w:r>
            <w:r>
              <w:rPr>
                <w:rFonts w:hint="eastAsia" w:ascii="宋体" w:hAnsi="宋体" w:eastAsia="宋体" w:cs="宋体"/>
                <w:color w:val="auto"/>
                <w:sz w:val="21"/>
                <w:szCs w:val="21"/>
                <w:highlight w:val="none"/>
                <w:u w:val="none"/>
              </w:rPr>
              <w:t>金额</w:t>
            </w:r>
          </w:p>
        </w:tc>
        <w:tc>
          <w:tcPr>
            <w:tcW w:w="0" w:type="auto"/>
            <w:gridSpan w:val="2"/>
            <w:noWrap w:val="0"/>
            <w:vAlign w:val="center"/>
          </w:tcPr>
          <w:p w14:paraId="255FF8E9">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265EBB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59" w:hRule="atLeast"/>
          <w:jc w:val="center"/>
        </w:trPr>
        <w:tc>
          <w:tcPr>
            <w:tcW w:w="0" w:type="auto"/>
            <w:noWrap w:val="0"/>
            <w:vAlign w:val="center"/>
          </w:tcPr>
          <w:p w14:paraId="28873E4E">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0" w:type="auto"/>
            <w:gridSpan w:val="4"/>
            <w:noWrap w:val="0"/>
            <w:vAlign w:val="center"/>
          </w:tcPr>
          <w:p w14:paraId="62205418">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5C19FA1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0" w:hRule="atLeast"/>
          <w:jc w:val="center"/>
        </w:trPr>
        <w:tc>
          <w:tcPr>
            <w:tcW w:w="0" w:type="auto"/>
            <w:noWrap w:val="0"/>
            <w:vAlign w:val="center"/>
          </w:tcPr>
          <w:p w14:paraId="77F0BE00">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w:t>
            </w:r>
          </w:p>
          <w:p w14:paraId="641C39B3">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0" w:type="auto"/>
            <w:noWrap w:val="0"/>
            <w:vAlign w:val="center"/>
          </w:tcPr>
          <w:p w14:paraId="06DA5F70">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639C7EE4">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p>
          <w:p w14:paraId="3CD849CE">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联系人及电话</w:t>
            </w:r>
          </w:p>
        </w:tc>
        <w:tc>
          <w:tcPr>
            <w:tcW w:w="0" w:type="auto"/>
            <w:gridSpan w:val="2"/>
            <w:noWrap w:val="0"/>
            <w:vAlign w:val="center"/>
          </w:tcPr>
          <w:p w14:paraId="1AA146DC">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3902399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noWrap w:val="0"/>
            <w:vAlign w:val="center"/>
          </w:tcPr>
          <w:p w14:paraId="76EB32C2">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合同履约</w:t>
            </w:r>
          </w:p>
          <w:p w14:paraId="46E82912">
            <w:pPr>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时间</w:t>
            </w:r>
          </w:p>
        </w:tc>
        <w:tc>
          <w:tcPr>
            <w:tcW w:w="0" w:type="auto"/>
            <w:gridSpan w:val="4"/>
            <w:noWrap w:val="0"/>
            <w:vAlign w:val="center"/>
          </w:tcPr>
          <w:p w14:paraId="5D8C74F1">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70505CA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restart"/>
            <w:noWrap w:val="0"/>
            <w:vAlign w:val="center"/>
          </w:tcPr>
          <w:p w14:paraId="49833EAA">
            <w:pPr>
              <w:keepNext w:val="0"/>
              <w:keepLines w:val="0"/>
              <w:widowControl/>
              <w:suppressLineNumbers w:val="0"/>
              <w:shd w:val="clear" w:color="auto" w:fill="auto"/>
              <w:jc w:val="center"/>
              <w:textAlignment w:val="center"/>
              <w:rPr>
                <w:rFonts w:hint="eastAsia" w:ascii="宋体" w:hAnsi="宋体" w:eastAsia="宋体" w:cs="宋体"/>
                <w:b/>
                <w:bCs/>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履约情况</w:t>
            </w:r>
          </w:p>
          <w:p w14:paraId="0F33688D">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rPr>
              <w:t>评价内容</w:t>
            </w:r>
          </w:p>
        </w:tc>
        <w:tc>
          <w:tcPr>
            <w:tcW w:w="0" w:type="auto"/>
            <w:noWrap w:val="0"/>
            <w:vAlign w:val="center"/>
          </w:tcPr>
          <w:p w14:paraId="4FD6C155">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服务内容</w:t>
            </w:r>
          </w:p>
        </w:tc>
        <w:tc>
          <w:tcPr>
            <w:tcW w:w="0" w:type="auto"/>
            <w:noWrap w:val="0"/>
            <w:vAlign w:val="center"/>
          </w:tcPr>
          <w:p w14:paraId="461250E8">
            <w:pPr>
              <w:keepNext w:val="0"/>
              <w:keepLines w:val="0"/>
              <w:widowControl/>
              <w:suppressLineNumbers w:val="0"/>
              <w:shd w:val="clear" w:color="auto" w:fill="auto"/>
              <w:jc w:val="center"/>
              <w:textAlignment w:val="center"/>
              <w:rPr>
                <w:rFonts w:hint="eastAsia" w:ascii="宋体" w:hAnsi="宋体" w:eastAsia="宋体" w:cs="宋体"/>
                <w:b/>
                <w:bCs/>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评价标准</w:t>
            </w:r>
          </w:p>
        </w:tc>
        <w:tc>
          <w:tcPr>
            <w:tcW w:w="0" w:type="auto"/>
            <w:noWrap w:val="0"/>
            <w:vAlign w:val="center"/>
          </w:tcPr>
          <w:p w14:paraId="521851CC">
            <w:pPr>
              <w:keepNext w:val="0"/>
              <w:keepLines w:val="0"/>
              <w:widowControl/>
              <w:suppressLineNumbers w:val="0"/>
              <w:shd w:val="clear" w:color="auto" w:fill="auto"/>
              <w:jc w:val="center"/>
              <w:textAlignment w:val="center"/>
              <w:rPr>
                <w:rFonts w:hint="eastAsia" w:ascii="宋体" w:hAnsi="宋体" w:eastAsia="宋体" w:cs="宋体"/>
                <w:b/>
                <w:bCs/>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分值</w:t>
            </w:r>
          </w:p>
        </w:tc>
        <w:tc>
          <w:tcPr>
            <w:tcW w:w="0" w:type="auto"/>
            <w:noWrap w:val="0"/>
            <w:vAlign w:val="center"/>
          </w:tcPr>
          <w:p w14:paraId="2DB10BEC">
            <w:pPr>
              <w:keepNext w:val="0"/>
              <w:keepLines w:val="0"/>
              <w:widowControl/>
              <w:suppressLineNumbers w:val="0"/>
              <w:shd w:val="clear" w:color="auto" w:fill="auto"/>
              <w:jc w:val="center"/>
              <w:textAlignment w:val="center"/>
              <w:rPr>
                <w:rFonts w:hint="eastAsia" w:ascii="宋体" w:hAnsi="宋体" w:eastAsia="宋体" w:cs="宋体"/>
                <w:b/>
                <w:bCs/>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打分</w:t>
            </w:r>
          </w:p>
        </w:tc>
      </w:tr>
      <w:tr w14:paraId="32A6EB2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5B5B54CF">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27C948F9">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承保方面</w:t>
            </w:r>
          </w:p>
        </w:tc>
        <w:tc>
          <w:tcPr>
            <w:tcW w:w="0" w:type="auto"/>
            <w:noWrap w:val="0"/>
            <w:vAlign w:val="center"/>
          </w:tcPr>
          <w:p w14:paraId="74DBFD46">
            <w:pPr>
              <w:keepNext w:val="0"/>
              <w:keepLines w:val="0"/>
              <w:widowControl/>
              <w:numPr>
                <w:ilvl w:val="0"/>
                <w:numId w:val="4"/>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保险责任、赔偿限额、免赔额与合同约定一致率 100%，无擅自缩减责任范围</w:t>
            </w:r>
          </w:p>
          <w:p w14:paraId="70E9EA8F">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满足得10分，每出现一处不合规行为扣5分。</w:t>
            </w:r>
          </w:p>
          <w:p w14:paraId="31AE70F2">
            <w:pPr>
              <w:keepNext w:val="0"/>
              <w:keepLines w:val="0"/>
              <w:widowControl/>
              <w:numPr>
                <w:ilvl w:val="0"/>
                <w:numId w:val="4"/>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保险条款无漏洞、无歧义，无免责扩大化情形。满足得10分，每出现一处不合规行为扣5分。</w:t>
            </w:r>
          </w:p>
          <w:p w14:paraId="47A33683">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 保单信息准确无误，错误发生率0%满足得10分，每出现一处错误扣5分。</w:t>
            </w:r>
          </w:p>
        </w:tc>
        <w:tc>
          <w:tcPr>
            <w:tcW w:w="0" w:type="auto"/>
            <w:noWrap w:val="0"/>
            <w:vAlign w:val="center"/>
          </w:tcPr>
          <w:p w14:paraId="1C2186DD">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30</w:t>
            </w:r>
          </w:p>
        </w:tc>
        <w:tc>
          <w:tcPr>
            <w:tcW w:w="0" w:type="auto"/>
            <w:noWrap w:val="0"/>
            <w:vAlign w:val="center"/>
          </w:tcPr>
          <w:p w14:paraId="5582D666">
            <w:pPr>
              <w:shd w:val="clear" w:color="auto" w:fill="auto"/>
              <w:jc w:val="center"/>
              <w:rPr>
                <w:rFonts w:hint="eastAsia" w:ascii="宋体" w:hAnsi="宋体" w:eastAsia="宋体" w:cs="宋体"/>
                <w:color w:val="auto"/>
                <w:sz w:val="21"/>
                <w:szCs w:val="21"/>
                <w:highlight w:val="none"/>
                <w:lang w:val="en-US" w:eastAsia="zh-CN"/>
              </w:rPr>
            </w:pPr>
          </w:p>
        </w:tc>
      </w:tr>
      <w:tr w14:paraId="32D984A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0B8274AE">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42F64A42">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价格方面</w:t>
            </w:r>
          </w:p>
        </w:tc>
        <w:tc>
          <w:tcPr>
            <w:tcW w:w="0" w:type="auto"/>
            <w:noWrap w:val="0"/>
            <w:vAlign w:val="center"/>
          </w:tcPr>
          <w:p w14:paraId="05BBF327">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严格按合同约定收费，无任何合同外收费、乱收费。满足得10分，不满足不得分。</w:t>
            </w:r>
          </w:p>
        </w:tc>
        <w:tc>
          <w:tcPr>
            <w:tcW w:w="0" w:type="auto"/>
            <w:noWrap w:val="0"/>
            <w:vAlign w:val="center"/>
          </w:tcPr>
          <w:p w14:paraId="3DED98C6">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10</w:t>
            </w:r>
          </w:p>
        </w:tc>
        <w:tc>
          <w:tcPr>
            <w:tcW w:w="0" w:type="auto"/>
            <w:noWrap w:val="0"/>
            <w:vAlign w:val="center"/>
          </w:tcPr>
          <w:p w14:paraId="52526CF3">
            <w:pPr>
              <w:shd w:val="clear" w:color="auto" w:fill="auto"/>
              <w:jc w:val="center"/>
              <w:rPr>
                <w:rFonts w:hint="eastAsia" w:ascii="宋体" w:hAnsi="宋体" w:eastAsia="宋体" w:cs="宋体"/>
                <w:color w:val="auto"/>
                <w:sz w:val="21"/>
                <w:szCs w:val="21"/>
                <w:highlight w:val="none"/>
                <w:lang w:val="en-US" w:eastAsia="zh-CN"/>
              </w:rPr>
            </w:pPr>
          </w:p>
        </w:tc>
      </w:tr>
      <w:tr w14:paraId="6CAC304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19746048">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70C7D329">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日常服务方面</w:t>
            </w:r>
          </w:p>
        </w:tc>
        <w:tc>
          <w:tcPr>
            <w:tcW w:w="0" w:type="auto"/>
            <w:noWrap w:val="0"/>
            <w:vAlign w:val="center"/>
          </w:tcPr>
          <w:p w14:paraId="32066507">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1.医院理赔报案后，24 小时内完成签收、核对与反馈，签收及时率100%。满足得5分，每出现一次不合规行为，扣1分。</w:t>
            </w:r>
          </w:p>
          <w:p w14:paraId="6D5FBB39">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2.主动对接医院保险工作，每季度至少1 次主动沟通服务情况。满足得5分，每出现一次不合规行为，扣2分。</w:t>
            </w:r>
          </w:p>
        </w:tc>
        <w:tc>
          <w:tcPr>
            <w:tcW w:w="0" w:type="auto"/>
            <w:noWrap w:val="0"/>
            <w:vAlign w:val="center"/>
          </w:tcPr>
          <w:p w14:paraId="6DA6F477">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10</w:t>
            </w:r>
          </w:p>
        </w:tc>
        <w:tc>
          <w:tcPr>
            <w:tcW w:w="0" w:type="auto"/>
            <w:noWrap w:val="0"/>
            <w:vAlign w:val="center"/>
          </w:tcPr>
          <w:p w14:paraId="657B1E95">
            <w:pPr>
              <w:shd w:val="clear" w:color="auto" w:fill="auto"/>
              <w:jc w:val="center"/>
              <w:rPr>
                <w:rFonts w:hint="eastAsia" w:ascii="宋体" w:hAnsi="宋体" w:eastAsia="宋体" w:cs="宋体"/>
                <w:color w:val="auto"/>
                <w:sz w:val="21"/>
                <w:szCs w:val="21"/>
                <w:highlight w:val="none"/>
                <w:lang w:val="en-US" w:eastAsia="zh-CN"/>
              </w:rPr>
            </w:pPr>
          </w:p>
        </w:tc>
      </w:tr>
      <w:tr w14:paraId="646F2FE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0" w:type="auto"/>
            <w:vMerge w:val="continue"/>
            <w:noWrap w:val="0"/>
            <w:vAlign w:val="center"/>
          </w:tcPr>
          <w:p w14:paraId="73CEBBBB">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137C739D">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时效方面</w:t>
            </w:r>
          </w:p>
        </w:tc>
        <w:tc>
          <w:tcPr>
            <w:tcW w:w="0" w:type="auto"/>
            <w:noWrap w:val="0"/>
            <w:vAlign w:val="center"/>
          </w:tcPr>
          <w:p w14:paraId="78D8EE78">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1.无拖延、无遗漏、无超期办理，办理及时率100%。满足得5分，每出现一次不合规行为，扣1分。</w:t>
            </w:r>
          </w:p>
          <w:p w14:paraId="6739DC17">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2.医院咨询的问题在约定时间内反馈，反馈及时率100%。满足得5分，每出现一次不合规行为，扣1分。</w:t>
            </w:r>
          </w:p>
        </w:tc>
        <w:tc>
          <w:tcPr>
            <w:tcW w:w="0" w:type="auto"/>
            <w:noWrap w:val="0"/>
            <w:vAlign w:val="center"/>
          </w:tcPr>
          <w:p w14:paraId="2BC2EEE6">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10</w:t>
            </w:r>
          </w:p>
        </w:tc>
        <w:tc>
          <w:tcPr>
            <w:tcW w:w="0" w:type="auto"/>
            <w:noWrap w:val="0"/>
            <w:vAlign w:val="center"/>
          </w:tcPr>
          <w:p w14:paraId="61710A0D">
            <w:pPr>
              <w:shd w:val="clear" w:color="auto" w:fill="auto"/>
              <w:jc w:val="center"/>
              <w:rPr>
                <w:rFonts w:hint="eastAsia" w:ascii="宋体" w:hAnsi="宋体" w:eastAsia="宋体" w:cs="宋体"/>
                <w:color w:val="auto"/>
                <w:sz w:val="21"/>
                <w:szCs w:val="21"/>
                <w:highlight w:val="none"/>
                <w:lang w:val="en-US" w:eastAsia="zh-CN"/>
              </w:rPr>
            </w:pPr>
          </w:p>
        </w:tc>
      </w:tr>
      <w:tr w14:paraId="647D8F6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1E73C171">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0D3A349C">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理赔方面</w:t>
            </w:r>
          </w:p>
        </w:tc>
        <w:tc>
          <w:tcPr>
            <w:tcW w:w="0" w:type="auto"/>
            <w:noWrap w:val="0"/>
            <w:vAlign w:val="center"/>
          </w:tcPr>
          <w:p w14:paraId="730BCDBC">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1.每周反馈理赔进度，关键节点即时提醒，进度反馈率100%。满足得10分，每出现一次不合规行为，扣1分。</w:t>
            </w:r>
          </w:p>
          <w:p w14:paraId="598AB0DA">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2.常规案件能够在30个工作日内确定理赔方案（特殊案件除外）。满足得5分，其他视情况扣分，每出现一次不合规行为，扣1分。</w:t>
            </w:r>
          </w:p>
          <w:p w14:paraId="4E76F91E">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3.理赔沟通耐心专业，投诉发生率0%。满足得5分，其他视情况扣分。每出现一次不合规行为，扣1分。</w:t>
            </w:r>
          </w:p>
        </w:tc>
        <w:tc>
          <w:tcPr>
            <w:tcW w:w="0" w:type="auto"/>
            <w:noWrap w:val="0"/>
            <w:vAlign w:val="center"/>
          </w:tcPr>
          <w:p w14:paraId="15CBCC47">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20</w:t>
            </w:r>
          </w:p>
        </w:tc>
        <w:tc>
          <w:tcPr>
            <w:tcW w:w="0" w:type="auto"/>
            <w:noWrap w:val="0"/>
            <w:vAlign w:val="center"/>
          </w:tcPr>
          <w:p w14:paraId="118C3984">
            <w:pPr>
              <w:shd w:val="clear" w:color="auto" w:fill="auto"/>
              <w:jc w:val="center"/>
              <w:rPr>
                <w:rFonts w:hint="eastAsia" w:ascii="宋体" w:hAnsi="宋体" w:eastAsia="宋体" w:cs="宋体"/>
                <w:color w:val="auto"/>
                <w:sz w:val="21"/>
                <w:szCs w:val="21"/>
                <w:highlight w:val="none"/>
                <w:lang w:val="en-US" w:eastAsia="zh-CN"/>
              </w:rPr>
            </w:pPr>
          </w:p>
        </w:tc>
      </w:tr>
      <w:tr w14:paraId="5FE9B1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414B30C2">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5EF21D73">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售后</w:t>
            </w:r>
          </w:p>
          <w:p w14:paraId="2023D7AF">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服务方面</w:t>
            </w:r>
          </w:p>
        </w:tc>
        <w:tc>
          <w:tcPr>
            <w:tcW w:w="0" w:type="auto"/>
            <w:noWrap w:val="0"/>
            <w:vAlign w:val="center"/>
          </w:tcPr>
          <w:p w14:paraId="4D33CBED">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1.保险期满后，保期内已报案案件 100%按原合同标准处理，不拒办、不推诿。满足得10分，不满足不得分。</w:t>
            </w:r>
          </w:p>
          <w:p w14:paraId="7CC2384F">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2.案件处理时效、服务标准、理赔要求与保险期内完全一致。满足得10分，不满足不得分。</w:t>
            </w:r>
          </w:p>
        </w:tc>
        <w:tc>
          <w:tcPr>
            <w:tcW w:w="0" w:type="auto"/>
            <w:noWrap w:val="0"/>
            <w:vAlign w:val="center"/>
          </w:tcPr>
          <w:p w14:paraId="4D2BC90F">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20</w:t>
            </w:r>
          </w:p>
        </w:tc>
        <w:tc>
          <w:tcPr>
            <w:tcW w:w="0" w:type="auto"/>
            <w:noWrap w:val="0"/>
            <w:vAlign w:val="center"/>
          </w:tcPr>
          <w:p w14:paraId="186DE710">
            <w:pPr>
              <w:shd w:val="clear" w:color="auto" w:fill="auto"/>
              <w:jc w:val="center"/>
              <w:rPr>
                <w:rFonts w:hint="eastAsia" w:ascii="宋体" w:hAnsi="宋体" w:eastAsia="宋体" w:cs="宋体"/>
                <w:color w:val="auto"/>
                <w:sz w:val="21"/>
                <w:szCs w:val="21"/>
                <w:highlight w:val="none"/>
                <w:lang w:val="en-US" w:eastAsia="zh-CN"/>
              </w:rPr>
            </w:pPr>
          </w:p>
        </w:tc>
      </w:tr>
      <w:tr w14:paraId="398196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gridSpan w:val="2"/>
            <w:noWrap w:val="0"/>
            <w:vAlign w:val="center"/>
          </w:tcPr>
          <w:p w14:paraId="53D0CA3E">
            <w:pPr>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具体情况说明（如不合格原因）</w:t>
            </w:r>
          </w:p>
        </w:tc>
        <w:tc>
          <w:tcPr>
            <w:tcW w:w="0" w:type="auto"/>
            <w:gridSpan w:val="3"/>
            <w:noWrap w:val="0"/>
            <w:vAlign w:val="center"/>
          </w:tcPr>
          <w:p w14:paraId="5CE166DC">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2ACD8A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gridSpan w:val="5"/>
            <w:noWrap w:val="0"/>
            <w:vAlign w:val="center"/>
          </w:tcPr>
          <w:p w14:paraId="77CCC01A">
            <w:pPr>
              <w:shd w:val="clear" w:color="auto" w:fill="auto"/>
              <w:spacing w:line="240" w:lineRule="atLeas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备注：总分为</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90-100分为满意，60-89分为基本满意，60分以下为不满意。</w:t>
            </w:r>
          </w:p>
        </w:tc>
      </w:tr>
    </w:tbl>
    <w:p w14:paraId="7ACEEC3F"/>
    <w:p w14:paraId="47F81BD9">
      <w:pPr>
        <w:rPr>
          <w:rFonts w:hint="eastAsia"/>
        </w:rPr>
      </w:pPr>
      <w:r>
        <w:rPr>
          <w:rFonts w:hint="eastAsia"/>
        </w:rPr>
        <w:br w:type="page"/>
      </w:r>
    </w:p>
    <w:p w14:paraId="05C29FE9">
      <w:pPr>
        <w:pStyle w:val="2"/>
      </w:pPr>
      <w:r>
        <w:rPr>
          <w:rFonts w:hint="eastAsia"/>
        </w:rPr>
        <w:t>第三章  响应文件初审</w:t>
      </w:r>
      <w:bookmarkEnd w:id="4"/>
    </w:p>
    <w:p w14:paraId="1E997D5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本章是本采购文件中涉及的所有无效标和废标情形的摘要，除法律法规另有规定外，响应文件的其他任何情形均不得作无效标和废标处理。采购文件中有关无效标和废标与本章节不一致的，以本章节内容为准。</w:t>
      </w:r>
    </w:p>
    <w:p w14:paraId="179A1E5D">
      <w:pPr>
        <w:adjustRightInd w:val="0"/>
        <w:spacing w:line="360" w:lineRule="auto"/>
        <w:rPr>
          <w:snapToGrid w:val="0"/>
          <w:kern w:val="0"/>
        </w:rPr>
      </w:pPr>
    </w:p>
    <w:p w14:paraId="5A11FEA2">
      <w:pPr>
        <w:adjustRightInd w:val="0"/>
        <w:spacing w:line="360" w:lineRule="auto"/>
        <w:rPr>
          <w:snapToGrid w:val="0"/>
          <w:kern w:val="0"/>
        </w:rPr>
      </w:pPr>
      <w:r>
        <w:rPr>
          <w:rFonts w:hint="eastAsia"/>
          <w:snapToGrid w:val="0"/>
          <w:kern w:val="0"/>
        </w:rPr>
        <w:t>一、资格性</w:t>
      </w:r>
      <w:r>
        <w:rPr>
          <w:rFonts w:hint="eastAsia" w:ascii="宋体" w:hAnsi="宋体"/>
          <w:snapToGrid w:val="0"/>
          <w:kern w:val="0"/>
        </w:rPr>
        <w:t>审查</w:t>
      </w:r>
    </w:p>
    <w:p w14:paraId="00497D17">
      <w:pPr>
        <w:adjustRightInd w:val="0"/>
        <w:spacing w:line="360" w:lineRule="auto"/>
        <w:rPr>
          <w:rFonts w:ascii="宋体" w:hAnsi="宋体"/>
          <w:snapToGrid w:val="0"/>
          <w:kern w:val="0"/>
        </w:rPr>
      </w:pPr>
      <w:r>
        <w:rPr>
          <w:rFonts w:hint="eastAsia" w:ascii="宋体" w:hAnsi="宋体"/>
          <w:snapToGrid w:val="0"/>
          <w:kern w:val="0"/>
        </w:rPr>
        <w:t>1、供应商的资格不符合采购文件要求</w:t>
      </w:r>
      <w:r>
        <w:rPr>
          <w:rFonts w:hint="eastAsia" w:ascii="宋体" w:hAnsi="宋体"/>
        </w:rPr>
        <w:t>或资格证明文件提供不全</w:t>
      </w:r>
      <w:r>
        <w:rPr>
          <w:rFonts w:hint="eastAsia" w:ascii="宋体" w:hAnsi="宋体"/>
          <w:snapToGrid w:val="0"/>
          <w:kern w:val="0"/>
        </w:rPr>
        <w:t>。</w:t>
      </w:r>
    </w:p>
    <w:p w14:paraId="7F964CC4">
      <w:pPr>
        <w:adjustRightInd w:val="0"/>
        <w:spacing w:line="360" w:lineRule="auto"/>
        <w:rPr>
          <w:rFonts w:ascii="宋体" w:hAnsi="宋体"/>
          <w:snapToGrid w:val="0"/>
          <w:kern w:val="0"/>
        </w:rPr>
      </w:pPr>
    </w:p>
    <w:p w14:paraId="6050E601">
      <w:pPr>
        <w:adjustRightInd w:val="0"/>
        <w:spacing w:line="360" w:lineRule="auto"/>
        <w:rPr>
          <w:rFonts w:ascii="宋体" w:hAnsi="宋体"/>
          <w:snapToGrid w:val="0"/>
          <w:kern w:val="0"/>
        </w:rPr>
      </w:pPr>
      <w:r>
        <w:rPr>
          <w:rFonts w:hint="eastAsia" w:ascii="宋体" w:hAnsi="宋体"/>
          <w:snapToGrid w:val="0"/>
          <w:kern w:val="0"/>
        </w:rPr>
        <w:t>二、符合性审查</w:t>
      </w:r>
    </w:p>
    <w:p w14:paraId="64264B8B">
      <w:pPr>
        <w:adjustRightInd w:val="0"/>
        <w:spacing w:line="360" w:lineRule="auto"/>
        <w:rPr>
          <w:rFonts w:ascii="宋体" w:hAnsi="宋体"/>
          <w:snapToGrid w:val="0"/>
          <w:kern w:val="0"/>
        </w:rPr>
      </w:pPr>
      <w:r>
        <w:rPr>
          <w:rFonts w:hint="eastAsia" w:ascii="宋体" w:hAnsi="宋体"/>
          <w:snapToGrid w:val="0"/>
          <w:kern w:val="0"/>
        </w:rPr>
        <w:t>1、供应商提供的响应文件数量不符合采购文件要求。</w:t>
      </w:r>
    </w:p>
    <w:p w14:paraId="6DACA1F9">
      <w:pPr>
        <w:adjustRightInd w:val="0"/>
        <w:spacing w:line="360" w:lineRule="auto"/>
        <w:rPr>
          <w:rFonts w:ascii="宋体" w:hAnsi="宋体"/>
          <w:snapToGrid w:val="0"/>
          <w:kern w:val="0"/>
        </w:rPr>
      </w:pPr>
      <w:r>
        <w:rPr>
          <w:rFonts w:hint="eastAsia" w:ascii="宋体" w:hAnsi="宋体"/>
          <w:snapToGrid w:val="0"/>
          <w:kern w:val="0"/>
        </w:rPr>
        <w:t>2、响应文件未按照采购文件要求制作、密封和标记。</w:t>
      </w:r>
    </w:p>
    <w:p w14:paraId="3582934A">
      <w:pPr>
        <w:adjustRightInd w:val="0"/>
        <w:spacing w:line="360" w:lineRule="auto"/>
        <w:rPr>
          <w:rFonts w:ascii="宋体" w:hAnsi="宋体"/>
          <w:snapToGrid w:val="0"/>
          <w:kern w:val="0"/>
        </w:rPr>
      </w:pPr>
      <w:r>
        <w:rPr>
          <w:rFonts w:hint="eastAsia" w:ascii="宋体" w:hAnsi="宋体"/>
          <w:snapToGrid w:val="0"/>
          <w:kern w:val="0"/>
        </w:rPr>
        <w:t>3、未按采购文件要求提供法定代表人（负责人）证明书和法定代表人（负责人）授权委托书。</w:t>
      </w:r>
    </w:p>
    <w:p w14:paraId="037ECA3D">
      <w:pPr>
        <w:adjustRightInd w:val="0"/>
        <w:spacing w:line="360" w:lineRule="auto"/>
        <w:ind w:left="283" w:hanging="283" w:hangingChars="135"/>
        <w:rPr>
          <w:rFonts w:ascii="宋体" w:hAnsi="宋体"/>
          <w:snapToGrid w:val="0"/>
          <w:kern w:val="0"/>
          <w:highlight w:val="none"/>
        </w:rPr>
      </w:pPr>
      <w:r>
        <w:rPr>
          <w:rFonts w:hint="eastAsia" w:ascii="宋体" w:hAnsi="宋体"/>
          <w:snapToGrid w:val="0"/>
          <w:kern w:val="0"/>
        </w:rPr>
        <w:t>4、响应文件有关内容未按采购文</w:t>
      </w:r>
      <w:r>
        <w:rPr>
          <w:rFonts w:hint="eastAsia" w:ascii="宋体" w:hAnsi="宋体"/>
          <w:snapToGrid w:val="0"/>
          <w:kern w:val="0"/>
          <w:highlight w:val="none"/>
        </w:rPr>
        <w:t>件要求加盖供应商印章、或未经法定代表人或其委托代理人签字（或盖章）。</w:t>
      </w:r>
    </w:p>
    <w:p w14:paraId="549D1AE0">
      <w:pPr>
        <w:adjustRightInd w:val="0"/>
        <w:spacing w:line="360" w:lineRule="auto"/>
        <w:rPr>
          <w:rFonts w:ascii="宋体" w:hAnsi="宋体"/>
          <w:snapToGrid w:val="0"/>
          <w:kern w:val="0"/>
          <w:highlight w:val="none"/>
        </w:rPr>
      </w:pPr>
      <w:r>
        <w:rPr>
          <w:rFonts w:hint="eastAsia" w:ascii="宋体" w:hAnsi="宋体"/>
          <w:snapToGrid w:val="0"/>
          <w:kern w:val="0"/>
          <w:highlight w:val="none"/>
        </w:rPr>
        <w:t>5、响应文件的关键内容字迹模糊、无法辨认的。</w:t>
      </w:r>
    </w:p>
    <w:p w14:paraId="48E4ACE2">
      <w:pPr>
        <w:adjustRightInd w:val="0"/>
        <w:spacing w:line="360" w:lineRule="auto"/>
        <w:rPr>
          <w:rFonts w:ascii="宋体" w:hAnsi="宋体"/>
          <w:snapToGrid w:val="0"/>
          <w:kern w:val="0"/>
          <w:highlight w:val="none"/>
        </w:rPr>
      </w:pPr>
      <w:r>
        <w:rPr>
          <w:rFonts w:hint="eastAsia" w:ascii="宋体" w:hAnsi="宋体"/>
          <w:snapToGrid w:val="0"/>
          <w:kern w:val="0"/>
          <w:highlight w:val="none"/>
        </w:rPr>
        <w:t>6、对招标文件规定的货物或服务采购清单或工程量清单的项目或数量进行修改，评标委员会判定投标响应不满足采购需求的。</w:t>
      </w:r>
    </w:p>
    <w:p w14:paraId="69B02070">
      <w:pPr>
        <w:adjustRightInd w:val="0"/>
        <w:spacing w:line="360" w:lineRule="auto"/>
        <w:rPr>
          <w:rFonts w:ascii="宋体" w:hAnsi="宋体"/>
          <w:snapToGrid w:val="0"/>
          <w:kern w:val="0"/>
          <w:highlight w:val="none"/>
        </w:rPr>
      </w:pPr>
      <w:r>
        <w:rPr>
          <w:rFonts w:hint="eastAsia" w:ascii="宋体" w:hAnsi="宋体"/>
          <w:snapToGrid w:val="0"/>
          <w:kern w:val="0"/>
          <w:highlight w:val="none"/>
        </w:rPr>
        <w:t>7、未按采购文件所提供的样式填写</w:t>
      </w:r>
      <w:r>
        <w:rPr>
          <w:rFonts w:ascii="宋体" w:hAnsi="宋体"/>
          <w:snapToGrid w:val="0"/>
          <w:kern w:val="0"/>
          <w:highlight w:val="none"/>
        </w:rPr>
        <w:t>《</w:t>
      </w:r>
      <w:r>
        <w:rPr>
          <w:rFonts w:hint="eastAsia" w:ascii="宋体" w:hAnsi="宋体"/>
          <w:snapToGrid w:val="0"/>
          <w:kern w:val="0"/>
          <w:highlight w:val="none"/>
        </w:rPr>
        <w:t>声明函》。</w:t>
      </w:r>
    </w:p>
    <w:p w14:paraId="286EAA26">
      <w:pPr>
        <w:adjustRightInd w:val="0"/>
        <w:spacing w:line="360" w:lineRule="auto"/>
        <w:rPr>
          <w:rFonts w:ascii="宋体" w:hAnsi="宋体"/>
          <w:snapToGrid w:val="0"/>
          <w:kern w:val="0"/>
          <w:highlight w:val="none"/>
        </w:rPr>
      </w:pPr>
      <w:r>
        <w:rPr>
          <w:rFonts w:hint="eastAsia" w:ascii="宋体" w:hAnsi="宋体"/>
          <w:snapToGrid w:val="0"/>
          <w:kern w:val="0"/>
          <w:highlight w:val="none"/>
        </w:rPr>
        <w:t>8、任一项带★的指标未响应或不满足要求（如有带</w:t>
      </w:r>
      <w:r>
        <w:rPr>
          <w:rFonts w:hint="eastAsia" w:ascii="宋体" w:hAnsi="宋体"/>
          <w:highlight w:val="none"/>
        </w:rPr>
        <w:t>★</w:t>
      </w:r>
      <w:r>
        <w:rPr>
          <w:rFonts w:hint="eastAsia" w:ascii="宋体" w:hAnsi="宋体"/>
          <w:snapToGrid w:val="0"/>
          <w:kern w:val="0"/>
          <w:highlight w:val="none"/>
        </w:rPr>
        <w:t>号条款）。</w:t>
      </w:r>
    </w:p>
    <w:p w14:paraId="2DCBFDF3">
      <w:pPr>
        <w:adjustRightInd w:val="0"/>
        <w:spacing w:line="360" w:lineRule="auto"/>
        <w:rPr>
          <w:rFonts w:ascii="宋体" w:hAnsi="宋体"/>
          <w:snapToGrid w:val="0"/>
          <w:kern w:val="0"/>
          <w:highlight w:val="none"/>
        </w:rPr>
      </w:pPr>
      <w:r>
        <w:rPr>
          <w:rFonts w:hint="eastAsia" w:ascii="宋体" w:hAnsi="宋体"/>
          <w:snapToGrid w:val="0"/>
          <w:kern w:val="0"/>
          <w:highlight w:val="none"/>
        </w:rPr>
        <w:t>9、将一个项目包拆分响应，同时提供两套或以上的响应方案</w:t>
      </w:r>
      <w:r>
        <w:rPr>
          <w:szCs w:val="21"/>
          <w:highlight w:val="none"/>
        </w:rPr>
        <w:t>（</w:t>
      </w:r>
      <w:r>
        <w:rPr>
          <w:rFonts w:hint="eastAsia"/>
          <w:szCs w:val="21"/>
          <w:highlight w:val="none"/>
        </w:rPr>
        <w:t>采购</w:t>
      </w:r>
      <w:r>
        <w:rPr>
          <w:szCs w:val="21"/>
          <w:highlight w:val="none"/>
        </w:rPr>
        <w:t>文件另有规定的除外）</w:t>
      </w:r>
      <w:r>
        <w:rPr>
          <w:rFonts w:hint="eastAsia" w:ascii="宋体" w:hAnsi="宋体"/>
          <w:snapToGrid w:val="0"/>
          <w:kern w:val="0"/>
          <w:highlight w:val="none"/>
        </w:rPr>
        <w:t>。</w:t>
      </w:r>
    </w:p>
    <w:p w14:paraId="2161AAB3">
      <w:pPr>
        <w:adjustRightInd w:val="0"/>
        <w:spacing w:line="360" w:lineRule="auto"/>
        <w:rPr>
          <w:rFonts w:ascii="宋体" w:hAnsi="宋体"/>
          <w:snapToGrid w:val="0"/>
          <w:kern w:val="0"/>
          <w:highlight w:val="none"/>
        </w:rPr>
      </w:pPr>
      <w:r>
        <w:rPr>
          <w:rFonts w:hint="eastAsia" w:ascii="宋体" w:hAnsi="宋体"/>
          <w:snapToGrid w:val="0"/>
          <w:kern w:val="0"/>
          <w:highlight w:val="none"/>
        </w:rPr>
        <w:t>10、响应文件附有</w:t>
      </w:r>
      <w:r>
        <w:rPr>
          <w:rFonts w:hint="eastAsia" w:ascii="宋体" w:hAnsi="宋体"/>
          <w:bCs/>
          <w:snapToGrid w:val="0"/>
          <w:kern w:val="0"/>
          <w:highlight w:val="none"/>
        </w:rPr>
        <w:t>采购人</w:t>
      </w:r>
      <w:r>
        <w:rPr>
          <w:rFonts w:hint="eastAsia" w:ascii="宋体" w:hAnsi="宋体"/>
          <w:snapToGrid w:val="0"/>
          <w:kern w:val="0"/>
          <w:highlight w:val="none"/>
        </w:rPr>
        <w:t>不能接受的条件。</w:t>
      </w:r>
    </w:p>
    <w:p w14:paraId="72049C14">
      <w:pPr>
        <w:adjustRightInd w:val="0"/>
        <w:spacing w:line="360" w:lineRule="auto"/>
        <w:rPr>
          <w:rFonts w:ascii="宋体" w:hAnsi="宋体"/>
          <w:snapToGrid w:val="0"/>
          <w:kern w:val="0"/>
          <w:highlight w:val="none"/>
        </w:rPr>
      </w:pPr>
      <w:r>
        <w:rPr>
          <w:rFonts w:hint="eastAsia" w:ascii="宋体" w:hAnsi="宋体"/>
          <w:snapToGrid w:val="0"/>
          <w:kern w:val="0"/>
          <w:highlight w:val="none"/>
        </w:rPr>
        <w:t>11、响应违规行为：如以他人名义竞标、串通响应或者以其他弄虚作假方式响应的。</w:t>
      </w:r>
    </w:p>
    <w:p w14:paraId="28FA2C88">
      <w:pPr>
        <w:adjustRightInd w:val="0"/>
        <w:spacing w:line="360" w:lineRule="auto"/>
        <w:rPr>
          <w:rFonts w:ascii="宋体" w:hAnsi="宋体"/>
          <w:snapToGrid w:val="0"/>
          <w:kern w:val="0"/>
          <w:highlight w:val="none"/>
        </w:rPr>
      </w:pPr>
      <w:r>
        <w:rPr>
          <w:rFonts w:hint="eastAsia" w:ascii="宋体" w:hAnsi="宋体"/>
          <w:snapToGrid w:val="0"/>
          <w:kern w:val="0"/>
          <w:highlight w:val="none"/>
        </w:rPr>
        <w:t>12、</w:t>
      </w:r>
      <w:r>
        <w:rPr>
          <w:rFonts w:hint="eastAsia" w:ascii="宋体" w:hAnsi="宋体"/>
          <w:bCs/>
          <w:szCs w:val="21"/>
          <w:highlight w:val="none"/>
        </w:rPr>
        <w:t>响应报价有缺漏项目或不符合采购文件要求或超过采购预算金额（或最高限价）的</w:t>
      </w:r>
      <w:r>
        <w:rPr>
          <w:rFonts w:hint="eastAsia" w:ascii="宋体" w:hAnsi="宋体"/>
          <w:snapToGrid w:val="0"/>
          <w:kern w:val="0"/>
          <w:highlight w:val="none"/>
        </w:rPr>
        <w:t>。</w:t>
      </w:r>
    </w:p>
    <w:p w14:paraId="1CB09028">
      <w:pPr>
        <w:adjustRightInd w:val="0"/>
        <w:spacing w:line="360" w:lineRule="auto"/>
        <w:rPr>
          <w:rFonts w:ascii="宋体" w:hAnsi="宋体"/>
          <w:snapToGrid w:val="0"/>
          <w:kern w:val="0"/>
          <w:highlight w:val="none"/>
        </w:rPr>
      </w:pPr>
      <w:r>
        <w:rPr>
          <w:rFonts w:hint="eastAsia" w:ascii="宋体" w:hAnsi="宋体"/>
          <w:snapToGrid w:val="0"/>
          <w:kern w:val="0"/>
          <w:highlight w:val="none"/>
        </w:rPr>
        <w:t>13、法律法规规定的其它情形。</w:t>
      </w:r>
    </w:p>
    <w:p w14:paraId="469CFCC9"/>
    <w:p w14:paraId="52B27C3D">
      <w:pPr>
        <w:adjustRightInd w:val="0"/>
        <w:spacing w:line="360" w:lineRule="auto"/>
        <w:rPr>
          <w:rFonts w:hint="eastAsia" w:ascii="宋体" w:hAnsi="宋体" w:eastAsia="宋体" w:cs="Times New Roman"/>
          <w:snapToGrid w:val="0"/>
          <w:kern w:val="0"/>
        </w:rPr>
      </w:pPr>
      <w:r>
        <w:rPr>
          <w:rFonts w:hint="eastAsia" w:ascii="宋体" w:hAnsi="宋体" w:eastAsia="宋体" w:cs="Times New Roman"/>
          <w:snapToGrid w:val="0"/>
          <w:kern w:val="0"/>
          <w:lang w:eastAsia="zh-CN"/>
        </w:rPr>
        <w:t>三</w:t>
      </w:r>
      <w:r>
        <w:rPr>
          <w:rFonts w:hint="eastAsia" w:ascii="宋体" w:hAnsi="宋体" w:eastAsia="宋体" w:cs="Times New Roman"/>
          <w:snapToGrid w:val="0"/>
          <w:kern w:val="0"/>
        </w:rPr>
        <w:t>、</w:t>
      </w:r>
      <w:r>
        <w:rPr>
          <w:rFonts w:hint="eastAsia" w:ascii="宋体" w:hAnsi="宋体" w:eastAsia="宋体" w:cs="Times New Roman"/>
          <w:snapToGrid w:val="0"/>
          <w:kern w:val="0"/>
          <w:lang w:eastAsia="zh-CN"/>
        </w:rPr>
        <w:t>异常低价</w:t>
      </w:r>
      <w:r>
        <w:rPr>
          <w:rFonts w:hint="eastAsia" w:ascii="宋体" w:hAnsi="宋体" w:eastAsia="宋体" w:cs="Times New Roman"/>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《资格性审查表》或《符合性审查表》中任一情形的，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2361D5CD"/>
    <w:p w14:paraId="54776B21"/>
    <w:p w14:paraId="3337933E"/>
    <w:p w14:paraId="71798654"/>
    <w:p w14:paraId="6B20616C">
      <w:pPr>
        <w:pStyle w:val="2"/>
        <w:spacing w:afterLines="100"/>
      </w:pPr>
      <w:bookmarkStart w:id="5" w:name="_Toc4700"/>
      <w:r>
        <w:rPr>
          <w:rFonts w:hint="eastAsia"/>
        </w:rPr>
        <w:t>第四章  评审方法和标准</w:t>
      </w:r>
      <w:bookmarkEnd w:id="5"/>
    </w:p>
    <w:p w14:paraId="7AF4D29E">
      <w:pPr>
        <w:pStyle w:val="4"/>
        <w:spacing w:before="0" w:after="0"/>
      </w:pPr>
      <w:bookmarkStart w:id="6" w:name="_Toc44691393"/>
      <w:bookmarkStart w:id="7" w:name="_Toc44690429"/>
      <w:bookmarkStart w:id="8" w:name="_Toc44691161"/>
      <w:bookmarkStart w:id="9" w:name="_Toc44690702"/>
      <w:bookmarkStart w:id="10" w:name="_Toc24707"/>
      <w:r>
        <w:rPr>
          <w:rFonts w:hint="eastAsia"/>
        </w:rPr>
        <w:t>一、</w:t>
      </w:r>
      <w:r>
        <w:t>评审方法</w:t>
      </w:r>
      <w:bookmarkEnd w:id="6"/>
      <w:bookmarkEnd w:id="7"/>
      <w:bookmarkEnd w:id="8"/>
      <w:bookmarkEnd w:id="9"/>
      <w:bookmarkEnd w:id="10"/>
    </w:p>
    <w:p w14:paraId="475B2603">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1、本项目评审方法：综合评分法</w:t>
      </w:r>
    </w:p>
    <w:p w14:paraId="726F7EBA">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highlight w:val="none"/>
        </w:rPr>
      </w:pPr>
      <w:r>
        <w:rPr>
          <w:rFonts w:hint="eastAsia" w:cs="仿宋" w:asciiTheme="minorEastAsia" w:hAnsiTheme="minorEastAsia" w:eastAsiaTheme="minorEastAsia"/>
          <w:b/>
          <w:kern w:val="2"/>
          <w:sz w:val="21"/>
          <w:szCs w:val="21"/>
          <w:highlight w:val="none"/>
        </w:rPr>
        <w:t>2、成交供应商及成交候选供应商数量：</w:t>
      </w:r>
      <w:r>
        <w:rPr>
          <w:rFonts w:hint="eastAsia" w:cs="仿宋" w:asciiTheme="minorEastAsia" w:hAnsiTheme="minorEastAsia" w:eastAsiaTheme="minorEastAsia"/>
          <w:kern w:val="2"/>
          <w:sz w:val="21"/>
          <w:szCs w:val="21"/>
          <w:highlight w:val="none"/>
        </w:rPr>
        <w:t>成交供应商数量：1名，成交候选供应商数量：</w:t>
      </w:r>
      <w:r>
        <w:rPr>
          <w:rFonts w:hint="eastAsia" w:cs="仿宋" w:asciiTheme="minorEastAsia" w:hAnsiTheme="minorEastAsia" w:eastAsiaTheme="minorEastAsia"/>
          <w:kern w:val="2"/>
          <w:sz w:val="21"/>
          <w:szCs w:val="21"/>
          <w:highlight w:val="none"/>
          <w:lang w:val="en-US" w:eastAsia="zh-CN"/>
        </w:rPr>
        <w:t>3</w:t>
      </w:r>
      <w:r>
        <w:rPr>
          <w:rFonts w:hint="eastAsia" w:cs="仿宋" w:asciiTheme="minorEastAsia" w:hAnsiTheme="minorEastAsia" w:eastAsiaTheme="minorEastAsia"/>
          <w:kern w:val="2"/>
          <w:sz w:val="21"/>
          <w:szCs w:val="21"/>
          <w:highlight w:val="none"/>
        </w:rPr>
        <w:t>名</w:t>
      </w:r>
      <w:r>
        <w:rPr>
          <w:rFonts w:hint="eastAsia" w:cs="仿宋" w:asciiTheme="minorEastAsia" w:hAnsiTheme="minorEastAsia" w:eastAsiaTheme="minorEastAsia"/>
          <w:kern w:val="2"/>
          <w:sz w:val="21"/>
          <w:szCs w:val="21"/>
          <w:highlight w:val="none"/>
          <w:lang w:eastAsia="zh-CN"/>
        </w:rPr>
        <w:t>（如转为院内竞争性谈判或院内单一来源采购时，成交候选供应商数量：</w:t>
      </w:r>
      <w:r>
        <w:rPr>
          <w:rFonts w:hint="eastAsia" w:cs="仿宋" w:asciiTheme="minorEastAsia" w:hAnsiTheme="minorEastAsia" w:eastAsiaTheme="minorEastAsia"/>
          <w:kern w:val="2"/>
          <w:sz w:val="21"/>
          <w:szCs w:val="21"/>
          <w:highlight w:val="none"/>
          <w:lang w:val="en-US" w:eastAsia="zh-CN"/>
        </w:rPr>
        <w:t>1名</w:t>
      </w:r>
      <w:r>
        <w:rPr>
          <w:rFonts w:hint="eastAsia" w:cs="仿宋" w:asciiTheme="minorEastAsia" w:hAnsiTheme="minorEastAsia" w:eastAsiaTheme="minorEastAsia"/>
          <w:kern w:val="2"/>
          <w:sz w:val="21"/>
          <w:szCs w:val="21"/>
          <w:highlight w:val="none"/>
          <w:lang w:eastAsia="zh-CN"/>
        </w:rPr>
        <w:t>）</w:t>
      </w:r>
      <w:r>
        <w:rPr>
          <w:rFonts w:hint="eastAsia" w:cs="仿宋" w:asciiTheme="minorEastAsia" w:hAnsiTheme="minorEastAsia" w:eastAsiaTheme="minorEastAsia"/>
          <w:kern w:val="2"/>
          <w:sz w:val="21"/>
          <w:szCs w:val="21"/>
          <w:highlight w:val="none"/>
        </w:rPr>
        <w:t>。</w:t>
      </w:r>
    </w:p>
    <w:p w14:paraId="12EFBB24">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3、评审规则：</w:t>
      </w:r>
    </w:p>
    <w:p w14:paraId="0528896D">
      <w:pPr>
        <w:pStyle w:val="47"/>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评审时，评审委员会按照“</w:t>
      </w:r>
      <w:r>
        <w:rPr>
          <w:rFonts w:hint="eastAsia" w:asciiTheme="minorEastAsia" w:hAnsiTheme="minorEastAsia" w:eastAsiaTheme="minorEastAsia"/>
          <w:bCs/>
          <w:sz w:val="21"/>
          <w:szCs w:val="21"/>
        </w:rPr>
        <w:t>评审标准</w:t>
      </w:r>
      <w:r>
        <w:rPr>
          <w:rFonts w:hint="eastAsia" w:cs="仿宋" w:asciiTheme="minorEastAsia" w:hAnsiTheme="minorEastAsia" w:eastAsiaTheme="minorEastAsia"/>
          <w:kern w:val="2"/>
          <w:sz w:val="21"/>
          <w:szCs w:val="21"/>
        </w:rPr>
        <w:t>”中的各项评审因素，对通过资格性审查和符合性审查的所有供应商的响应文件进行独立评审，并汇总每个供应商的得分，取算术平均值后确定其评审得分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0213B3CE">
      <w:pPr>
        <w:pStyle w:val="47"/>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排名结果按供应商评审得分由高到低顺序排列。</w:t>
      </w:r>
      <w:r>
        <w:rPr>
          <w:rFonts w:hint="eastAsia" w:cs="仿宋" w:asciiTheme="minorEastAsia" w:hAnsiTheme="minorEastAsia" w:eastAsiaTheme="minorEastAsia"/>
          <w:kern w:val="2"/>
          <w:sz w:val="21"/>
          <w:szCs w:val="21"/>
          <w:lang w:val="en-US" w:eastAsia="zh-CN"/>
        </w:rPr>
        <w:t>成交候选供应商并列的，采购人可委托评审委员会按下列顺序比较确定成交供应商：（1）技术评分（由高到低）；（2）节能产品；（3）环保产品。如以上都相同的，名次由采购人采取随机抽取方式确定</w:t>
      </w:r>
      <w:r>
        <w:rPr>
          <w:rFonts w:hint="eastAsia" w:cs="仿宋" w:asciiTheme="minorEastAsia" w:hAnsiTheme="minorEastAsia" w:eastAsiaTheme="minorEastAsia"/>
          <w:kern w:val="2"/>
          <w:sz w:val="21"/>
          <w:szCs w:val="21"/>
        </w:rPr>
        <w:t>。</w:t>
      </w:r>
    </w:p>
    <w:p w14:paraId="397EFDCE">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4、推荐成交候选供应商：</w:t>
      </w:r>
    </w:p>
    <w:p w14:paraId="2381DD67">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eastAsia="zh-CN"/>
        </w:rPr>
      </w:pPr>
      <w:r>
        <w:rPr>
          <w:rFonts w:hint="eastAsia" w:cs="仿宋" w:asciiTheme="minorEastAsia" w:hAnsiTheme="minorEastAsia" w:eastAsiaTheme="minorEastAsia"/>
          <w:kern w:val="2"/>
          <w:sz w:val="21"/>
          <w:szCs w:val="21"/>
        </w:rPr>
        <w:t>由评审委员会</w:t>
      </w:r>
      <w:r>
        <w:rPr>
          <w:rFonts w:hint="eastAsia" w:cs="仿宋" w:asciiTheme="minorEastAsia" w:hAnsiTheme="minorEastAsia" w:eastAsiaTheme="minorEastAsia"/>
          <w:kern w:val="2"/>
          <w:sz w:val="21"/>
          <w:szCs w:val="21"/>
          <w:lang w:eastAsia="zh-CN"/>
        </w:rPr>
        <w:t>根据实际采购方式</w:t>
      </w:r>
      <w:r>
        <w:rPr>
          <w:rFonts w:hint="eastAsia" w:cs="仿宋" w:asciiTheme="minorEastAsia" w:hAnsiTheme="minorEastAsia" w:eastAsiaTheme="minorEastAsia"/>
          <w:kern w:val="2"/>
          <w:sz w:val="21"/>
          <w:szCs w:val="21"/>
        </w:rPr>
        <w:t>推荐评审排名</w:t>
      </w:r>
      <w:r>
        <w:rPr>
          <w:rFonts w:hint="eastAsia" w:cs="仿宋" w:asciiTheme="minorEastAsia" w:hAnsiTheme="minorEastAsia" w:eastAsiaTheme="minorEastAsia"/>
          <w:kern w:val="2"/>
          <w:sz w:val="21"/>
          <w:szCs w:val="21"/>
          <w:lang w:eastAsia="zh-CN"/>
        </w:rPr>
        <w:t>前列</w:t>
      </w:r>
      <w:r>
        <w:rPr>
          <w:rFonts w:hint="eastAsia" w:cs="仿宋" w:asciiTheme="minorEastAsia" w:hAnsiTheme="minorEastAsia" w:eastAsiaTheme="minorEastAsia"/>
          <w:kern w:val="2"/>
          <w:sz w:val="21"/>
          <w:szCs w:val="21"/>
        </w:rPr>
        <w:t>的供应商作为成交候选供应商</w:t>
      </w:r>
      <w:r>
        <w:rPr>
          <w:rFonts w:hint="eastAsia" w:cs="仿宋" w:asciiTheme="minorEastAsia" w:hAnsiTheme="minorEastAsia" w:eastAsiaTheme="minorEastAsia"/>
          <w:kern w:val="2"/>
          <w:sz w:val="21"/>
          <w:szCs w:val="21"/>
          <w:lang w:eastAsia="zh-CN"/>
        </w:rPr>
        <w:t>。</w:t>
      </w:r>
    </w:p>
    <w:p w14:paraId="31CF607A">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5、确定成交供应商：</w:t>
      </w:r>
    </w:p>
    <w:p w14:paraId="735A2F3C">
      <w:pPr>
        <w:spacing w:line="360" w:lineRule="exact"/>
        <w:ind w:firstLine="424" w:firstLineChars="202"/>
        <w:rPr>
          <w:rFonts w:cs="仿宋" w:asciiTheme="minorEastAsia" w:hAnsiTheme="minorEastAsia" w:eastAsiaTheme="minorEastAsia"/>
          <w:szCs w:val="21"/>
        </w:rPr>
      </w:pPr>
      <w:r>
        <w:rPr>
          <w:rFonts w:hint="eastAsia" w:cs="仿宋" w:asciiTheme="minorEastAsia" w:hAnsiTheme="minorEastAsia" w:eastAsiaTheme="minorEastAsia"/>
          <w:szCs w:val="21"/>
        </w:rPr>
        <w:t>采购人在评审报告确定的成交候选供应商名单中按顺序确定1名成交供应商。</w:t>
      </w:r>
    </w:p>
    <w:p w14:paraId="36C76F95">
      <w:pPr>
        <w:pStyle w:val="47"/>
        <w:spacing w:before="0" w:beforeAutospacing="0" w:after="0" w:afterAutospacing="0" w:line="360" w:lineRule="exact"/>
        <w:ind w:firstLine="426" w:firstLineChars="202"/>
        <w:rPr>
          <w:rFonts w:hint="eastAsia" w:cs="仿宋" w:asciiTheme="minorEastAsia" w:hAnsiTheme="minorEastAsia" w:eastAsiaTheme="minorEastAsia"/>
          <w:b w:val="0"/>
          <w:bCs w:val="0"/>
          <w:color w:val="auto"/>
          <w:kern w:val="2"/>
          <w:sz w:val="21"/>
          <w:szCs w:val="21"/>
          <w:highlight w:val="none"/>
          <w:lang w:val="en-US" w:eastAsia="zh-CN"/>
        </w:rPr>
      </w:pPr>
      <w:r>
        <w:rPr>
          <w:rFonts w:hint="eastAsia" w:cs="仿宋" w:asciiTheme="minorEastAsia" w:hAnsiTheme="minorEastAsia" w:eastAsiaTheme="minorEastAsia"/>
          <w:b/>
          <w:bCs/>
          <w:kern w:val="2"/>
          <w:sz w:val="21"/>
          <w:szCs w:val="21"/>
          <w:highlight w:val="none"/>
          <w:lang w:val="en-US" w:eastAsia="zh-CN"/>
        </w:rPr>
        <w:t>6、</w:t>
      </w:r>
      <w:r>
        <w:rPr>
          <w:rFonts w:hint="eastAsia" w:cs="仿宋" w:asciiTheme="minorEastAsia" w:hAnsiTheme="minorEastAsia" w:eastAsiaTheme="minorEastAsia"/>
          <w:b w:val="0"/>
          <w:bCs w:val="0"/>
          <w:color w:val="auto"/>
          <w:kern w:val="2"/>
          <w:sz w:val="21"/>
          <w:szCs w:val="21"/>
          <w:highlight w:val="none"/>
          <w:lang w:val="en-US" w:eastAsia="zh-CN"/>
        </w:rPr>
        <w:t>投标人采用邮寄方式递交投标文件的，应当确保投标文件载明的联系电话在开标后评审全过程中保持畅通。为提高采购效率，根据采购人内部控制管理制度，公开征集项目出现下列情形之一且有效投标人数量仍不足法定数量的，采购人有权将采购方式变更为院内竞争性谈判或院内单一来源采购：</w:t>
      </w:r>
    </w:p>
    <w:p w14:paraId="78F07611">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val="en-US" w:eastAsia="zh-CN"/>
        </w:rPr>
      </w:pPr>
      <w:r>
        <w:rPr>
          <w:rFonts w:hint="eastAsia" w:cs="仿宋" w:asciiTheme="minorEastAsia" w:hAnsiTheme="minorEastAsia" w:eastAsiaTheme="minorEastAsia"/>
          <w:kern w:val="2"/>
          <w:sz w:val="21"/>
          <w:szCs w:val="21"/>
          <w:lang w:val="en-US" w:eastAsia="zh-CN"/>
        </w:rPr>
        <w:t xml:space="preserve">（一）公开征集项目延期报名的 </w:t>
      </w:r>
    </w:p>
    <w:p w14:paraId="0C11FC67">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val="en-US" w:eastAsia="zh-CN"/>
        </w:rPr>
      </w:pPr>
      <w:r>
        <w:rPr>
          <w:rFonts w:hint="eastAsia" w:cs="仿宋" w:asciiTheme="minorEastAsia" w:hAnsiTheme="minorEastAsia" w:eastAsiaTheme="minorEastAsia"/>
          <w:kern w:val="2"/>
          <w:sz w:val="21"/>
          <w:szCs w:val="21"/>
          <w:lang w:val="en-US" w:eastAsia="zh-CN"/>
        </w:rPr>
        <w:t>（二）公开征集项目采购失败后发布重新征集公告的</w:t>
      </w:r>
    </w:p>
    <w:p w14:paraId="14747EE3">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lang w:val="en-US" w:eastAsia="zh-CN"/>
        </w:rPr>
        <w:t>采购方式变更为院内竞争性谈判或院内单一来源采购的，采购人（评审委员会）应当场通过投标文件载明的联系电话与投标人进行谈判。评审现场经采购人（评审委员会）多次拨打项目授权人联系电话均无法取得联系，或者投标人经联系后未在评审委员会规定时限内，将加盖单位公章或经项目授权人签字的后续报价单扫描件报送至采购人（采购代理机构）指定邮箱（送达时间以采购人（采购代理机构）邮箱系统显示的收件时间为准，逾期不予接收），致使无法确认其后续报价的，视为投标人放弃后续报价权利，评审委员会以其投标文件载明的报价作为最终报价进行评审。</w:t>
      </w:r>
    </w:p>
    <w:p w14:paraId="442904B0">
      <w:pPr>
        <w:pStyle w:val="4"/>
        <w:spacing w:before="0" w:after="0"/>
        <w:rPr>
          <w:rFonts w:hint="eastAsia"/>
        </w:rPr>
      </w:pPr>
      <w:bookmarkStart w:id="11" w:name="_Toc16380"/>
    </w:p>
    <w:p w14:paraId="4B584CB7">
      <w:pPr>
        <w:pStyle w:val="4"/>
        <w:spacing w:before="0" w:after="0"/>
      </w:pPr>
      <w:r>
        <w:rPr>
          <w:rFonts w:hint="eastAsia"/>
        </w:rPr>
        <w:t>二、评审标准</w:t>
      </w:r>
      <w:bookmarkEnd w:id="11"/>
    </w:p>
    <w:p w14:paraId="41773ACB">
      <w:pPr>
        <w:spacing w:line="360" w:lineRule="auto"/>
        <w:ind w:firstLine="424" w:firstLineChars="202"/>
        <w:rPr>
          <w:rFonts w:ascii="宋体" w:hAnsi="宋体"/>
          <w:b/>
          <w:bCs/>
        </w:rPr>
      </w:pPr>
      <w:r>
        <w:rPr>
          <w:rFonts w:hint="eastAsia"/>
          <w:snapToGrid w:val="0"/>
          <w:kern w:val="0"/>
        </w:rPr>
        <w:t>评审委员会按照以下量化的评审因素，对各响应文件进行综合评审：</w:t>
      </w:r>
    </w:p>
    <w:tbl>
      <w:tblPr>
        <w:tblStyle w:val="5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43972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53" w:hRule="atLeast"/>
          <w:jc w:val="center"/>
        </w:trPr>
        <w:tc>
          <w:tcPr>
            <w:tcW w:w="8559" w:type="dxa"/>
            <w:gridSpan w:val="4"/>
            <w:vAlign w:val="center"/>
          </w:tcPr>
          <w:p w14:paraId="274E6D67">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评分项及评分规则</w:t>
            </w:r>
          </w:p>
        </w:tc>
        <w:tc>
          <w:tcPr>
            <w:tcW w:w="1187" w:type="dxa"/>
            <w:vAlign w:val="center"/>
          </w:tcPr>
          <w:p w14:paraId="697E96AA">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权重</w:t>
            </w:r>
          </w:p>
        </w:tc>
      </w:tr>
      <w:tr w14:paraId="3EA22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180FE443">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一、价格部分</w:t>
            </w:r>
          </w:p>
        </w:tc>
        <w:tc>
          <w:tcPr>
            <w:tcW w:w="1187" w:type="dxa"/>
            <w:vAlign w:val="center"/>
          </w:tcPr>
          <w:p w14:paraId="6BDDF6ED">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w:t>
            </w:r>
          </w:p>
        </w:tc>
      </w:tr>
      <w:tr w14:paraId="2BA3F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46F2EA28">
            <w:pPr>
              <w:keepNext w:val="0"/>
              <w:keepLines w:val="0"/>
              <w:pageBreakBefore w:val="0"/>
              <w:widowControl/>
              <w:kinsoku/>
              <w:overflowPunct/>
              <w:topLinePunct w:val="0"/>
              <w:bidi w:val="0"/>
              <w:spacing w:line="360" w:lineRule="exact"/>
              <w:ind w:left="0" w:left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价格分采用低价优先法计算，即满足</w:t>
            </w:r>
            <w:r>
              <w:rPr>
                <w:rFonts w:hint="eastAsia" w:ascii="宋体" w:hAnsi="宋体" w:eastAsia="宋体" w:cs="宋体"/>
                <w:sz w:val="21"/>
                <w:szCs w:val="21"/>
                <w:highlight w:val="none"/>
                <w:lang w:eastAsia="zh-CN"/>
              </w:rPr>
              <w:t>采购文件</w:t>
            </w:r>
            <w:r>
              <w:rPr>
                <w:rFonts w:hint="eastAsia" w:ascii="宋体" w:hAnsi="宋体" w:eastAsia="宋体" w:cs="宋体"/>
                <w:sz w:val="21"/>
                <w:szCs w:val="21"/>
                <w:highlight w:val="none"/>
              </w:rPr>
              <w:t>要求且投标价格最低的投标报价为评标基准价，其价格分为满分。其他</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的价格分统一按照下列公式计算：</w:t>
            </w:r>
          </w:p>
          <w:p w14:paraId="63368570">
            <w:pPr>
              <w:keepNext w:val="0"/>
              <w:keepLines w:val="0"/>
              <w:pageBreakBefore w:val="0"/>
              <w:widowControl/>
              <w:kinsoku/>
              <w:overflowPunct/>
              <w:topLinePunct w:val="0"/>
              <w:bidi w:val="0"/>
              <w:spacing w:line="360" w:lineRule="exact"/>
              <w:ind w:left="0" w:left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投标报价得分=(评标基准价／投标报价)×权重</w:t>
            </w:r>
          </w:p>
          <w:p w14:paraId="7B571D75">
            <w:pPr>
              <w:keepNext w:val="0"/>
              <w:keepLines w:val="0"/>
              <w:pageBreakBefore w:val="0"/>
              <w:kinsoku/>
              <w:overflowPunct/>
              <w:topLinePunct w:val="0"/>
              <w:bidi w:val="0"/>
              <w:adjustRightInd w:val="0"/>
              <w:snapToGrid w:val="0"/>
              <w:spacing w:line="360" w:lineRule="exact"/>
              <w:ind w:left="0" w:leftChars="0"/>
              <w:textAlignment w:val="auto"/>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备注：</w:t>
            </w:r>
          </w:p>
          <w:p w14:paraId="4FBF6DC5">
            <w:pPr>
              <w:keepNext w:val="0"/>
              <w:keepLines w:val="0"/>
              <w:pageBreakBefore w:val="0"/>
              <w:kinsoku/>
              <w:overflowPunct/>
              <w:topLinePunct w:val="0"/>
              <w:bidi w:val="0"/>
              <w:adjustRightInd w:val="0"/>
              <w:snapToGrid w:val="0"/>
              <w:spacing w:line="360" w:lineRule="exact"/>
              <w:ind w:left="0" w:leftChars="0"/>
              <w:textAlignment w:val="auto"/>
              <w:rPr>
                <w:rFonts w:hint="eastAsia" w:ascii="宋体" w:hAnsi="宋体" w:eastAsia="宋体" w:cs="宋体"/>
                <w:bCs/>
                <w:snapToGrid w:val="0"/>
                <w:kern w:val="0"/>
                <w:sz w:val="21"/>
                <w:szCs w:val="21"/>
                <w:highlight w:val="none"/>
              </w:rPr>
            </w:pPr>
            <w:r>
              <w:rPr>
                <w:rFonts w:hint="eastAsia" w:ascii="宋体" w:hAnsi="宋体" w:eastAsia="宋体" w:cs="宋体"/>
                <w:snapToGrid w:val="0"/>
                <w:kern w:val="0"/>
                <w:sz w:val="21"/>
                <w:szCs w:val="21"/>
                <w:highlight w:val="none"/>
              </w:rPr>
              <w:t>1、因落实政府采购政策进行价格调整的，以调整后的价格计算评标基准价和投标报价</w:t>
            </w:r>
            <w:r>
              <w:rPr>
                <w:rFonts w:hint="eastAsia" w:ascii="宋体" w:hAnsi="宋体" w:eastAsia="宋体" w:cs="宋体"/>
                <w:bCs/>
                <w:snapToGrid w:val="0"/>
                <w:kern w:val="0"/>
                <w:sz w:val="21"/>
                <w:szCs w:val="21"/>
                <w:highlight w:val="none"/>
              </w:rPr>
              <w:t>；</w:t>
            </w:r>
          </w:p>
          <w:p w14:paraId="22C65F33">
            <w:pPr>
              <w:keepNext w:val="0"/>
              <w:keepLines w:val="0"/>
              <w:pageBreakBefore w:val="0"/>
              <w:kinsoku/>
              <w:overflowPunct/>
              <w:topLinePunct w:val="0"/>
              <w:autoSpaceDE w:val="0"/>
              <w:autoSpaceDN w:val="0"/>
              <w:bidi w:val="0"/>
              <w:adjustRightInd w:val="0"/>
              <w:spacing w:line="360" w:lineRule="exact"/>
              <w:ind w:left="0" w:leftChars="0"/>
              <w:jc w:val="left"/>
              <w:textAlignment w:val="auto"/>
              <w:rPr>
                <w:rFonts w:hint="eastAsia" w:ascii="宋体" w:hAnsi="宋体" w:eastAsia="宋体" w:cs="宋体"/>
                <w:sz w:val="21"/>
                <w:szCs w:val="21"/>
                <w:highlight w:val="none"/>
              </w:rPr>
            </w:pPr>
            <w:r>
              <w:rPr>
                <w:rFonts w:hint="eastAsia" w:ascii="宋体" w:hAnsi="宋体" w:eastAsia="宋体" w:cs="宋体"/>
                <w:snapToGrid w:val="0"/>
                <w:kern w:val="0"/>
                <w:sz w:val="21"/>
                <w:szCs w:val="21"/>
                <w:highlight w:val="none"/>
              </w:rPr>
              <w:t>2、投标报价得分四舍五入后，小数点后保留两位有效数</w:t>
            </w:r>
            <w:r>
              <w:rPr>
                <w:rFonts w:hint="eastAsia" w:ascii="宋体" w:hAnsi="宋体" w:eastAsia="宋体" w:cs="宋体"/>
                <w:sz w:val="21"/>
                <w:szCs w:val="21"/>
                <w:highlight w:val="none"/>
              </w:rPr>
              <w:t>。</w:t>
            </w:r>
          </w:p>
        </w:tc>
        <w:tc>
          <w:tcPr>
            <w:tcW w:w="1187" w:type="dxa"/>
            <w:vAlign w:val="center"/>
          </w:tcPr>
          <w:p w14:paraId="4AD8093F">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按公式计算评分</w:t>
            </w:r>
          </w:p>
        </w:tc>
      </w:tr>
      <w:tr w14:paraId="79438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7B6C44F">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二、技术部分</w:t>
            </w:r>
          </w:p>
        </w:tc>
        <w:tc>
          <w:tcPr>
            <w:tcW w:w="1187" w:type="dxa"/>
            <w:vAlign w:val="center"/>
          </w:tcPr>
          <w:p w14:paraId="196DEDEA">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rPr>
            </w:pPr>
            <w:r>
              <w:rPr>
                <w:rFonts w:hint="eastAsia" w:ascii="宋体" w:hAnsi="宋体" w:eastAsia="宋体" w:cs="宋体"/>
                <w:b/>
                <w:bCs/>
                <w:color w:val="auto"/>
                <w:sz w:val="21"/>
                <w:szCs w:val="21"/>
                <w:highlight w:val="none"/>
                <w:lang w:val="en-US" w:eastAsia="zh-CN"/>
              </w:rPr>
              <w:t>55</w:t>
            </w:r>
          </w:p>
        </w:tc>
      </w:tr>
      <w:tr w14:paraId="58E7A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7683039D">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1143" w:type="dxa"/>
            <w:vAlign w:val="center"/>
          </w:tcPr>
          <w:p w14:paraId="60255BBE">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内容</w:t>
            </w:r>
          </w:p>
        </w:tc>
        <w:tc>
          <w:tcPr>
            <w:tcW w:w="709" w:type="dxa"/>
            <w:vAlign w:val="center"/>
          </w:tcPr>
          <w:p w14:paraId="06B66F3E">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权重</w:t>
            </w:r>
          </w:p>
        </w:tc>
        <w:tc>
          <w:tcPr>
            <w:tcW w:w="5953" w:type="dxa"/>
            <w:vAlign w:val="center"/>
          </w:tcPr>
          <w:p w14:paraId="0A031C3B">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评分规则</w:t>
            </w:r>
          </w:p>
        </w:tc>
        <w:tc>
          <w:tcPr>
            <w:tcW w:w="1187" w:type="dxa"/>
            <w:vAlign w:val="center"/>
          </w:tcPr>
          <w:p w14:paraId="53BEB5B5">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评分方式</w:t>
            </w:r>
          </w:p>
        </w:tc>
      </w:tr>
      <w:tr w14:paraId="2FFD3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79" w:hRule="atLeast"/>
          <w:jc w:val="center"/>
        </w:trPr>
        <w:tc>
          <w:tcPr>
            <w:tcW w:w="754" w:type="dxa"/>
            <w:vAlign w:val="center"/>
          </w:tcPr>
          <w:p w14:paraId="457AE073">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143" w:type="dxa"/>
            <w:vAlign w:val="center"/>
          </w:tcPr>
          <w:p w14:paraId="34A7A988">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保险额度</w:t>
            </w:r>
          </w:p>
        </w:tc>
        <w:tc>
          <w:tcPr>
            <w:tcW w:w="709" w:type="dxa"/>
            <w:vAlign w:val="center"/>
          </w:tcPr>
          <w:p w14:paraId="21FDE5FD">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5953" w:type="dxa"/>
            <w:vAlign w:val="top"/>
          </w:tcPr>
          <w:p w14:paraId="3DA3AB35">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bCs/>
                <w:color w:val="auto"/>
                <w:sz w:val="21"/>
                <w:szCs w:val="21"/>
                <w:highlight w:val="none"/>
              </w:rPr>
              <w:t>（一）评审内容：</w:t>
            </w:r>
          </w:p>
          <w:p w14:paraId="06FCC11A">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w:t>
            </w:r>
            <w:r>
              <w:rPr>
                <w:rFonts w:hint="eastAsia" w:ascii="宋体" w:hAnsi="宋体" w:eastAsia="宋体" w:cs="宋体"/>
                <w:b w:val="0"/>
                <w:bCs w:val="0"/>
                <w:color w:val="auto"/>
                <w:kern w:val="2"/>
                <w:sz w:val="21"/>
                <w:szCs w:val="21"/>
                <w:highlight w:val="none"/>
                <w:lang w:val="en-US" w:eastAsia="zh-CN"/>
              </w:rPr>
              <w:t>医疗损害（事故）责任事件累计赔偿额105万元，在赔偿额105万元的基础上，赔偿额每增加1万元，得0.5分，最多得15分。</w:t>
            </w:r>
          </w:p>
          <w:p w14:paraId="5FFE6351">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2、保单绝对免赔：每次事故20000元</w:t>
            </w: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含</w:t>
            </w: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或损失金额的10%（以高者为准）的基础上，每少1千元，得0.5分，最多得10分。</w:t>
            </w:r>
          </w:p>
          <w:p w14:paraId="5B3F665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val="en-US"/>
              </w:rPr>
            </w:pPr>
            <w:r>
              <w:rPr>
                <w:rFonts w:hint="eastAsia" w:ascii="宋体" w:hAnsi="宋体" w:eastAsia="宋体" w:cs="宋体"/>
                <w:b w:val="0"/>
                <w:bCs w:val="0"/>
                <w:color w:val="auto"/>
                <w:kern w:val="2"/>
                <w:sz w:val="21"/>
                <w:szCs w:val="21"/>
                <w:highlight w:val="none"/>
                <w:lang w:val="en-US" w:eastAsia="zh-CN"/>
              </w:rPr>
              <w:t>以上累计得分25分。</w:t>
            </w:r>
          </w:p>
          <w:p w14:paraId="7F150654">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 xml:space="preserve">（二）评分依据： </w:t>
            </w:r>
            <w:r>
              <w:rPr>
                <w:rFonts w:hint="eastAsia" w:ascii="宋体" w:hAnsi="宋体" w:eastAsia="宋体" w:cs="宋体"/>
                <w:color w:val="auto"/>
                <w:sz w:val="21"/>
                <w:szCs w:val="21"/>
                <w:highlight w:val="none"/>
              </w:rPr>
              <w:t xml:space="preserve"> </w:t>
            </w:r>
          </w:p>
          <w:p w14:paraId="0739E685">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1、投标人承诺函（格式自拟）证明，需要体现以上额度要求方可得分。</w:t>
            </w:r>
          </w:p>
          <w:p w14:paraId="6E58FB33">
            <w:pPr>
              <w:keepNext w:val="0"/>
              <w:keepLines w:val="0"/>
              <w:pageBreakBefore w:val="0"/>
              <w:widowControl/>
              <w:shd w:val="clear" w:color="auto" w:fill="auto"/>
              <w:kinsoku/>
              <w:wordWrap/>
              <w:overflowPunct/>
              <w:topLinePunct w:val="0"/>
              <w:autoSpaceDE/>
              <w:autoSpaceDN/>
              <w:bidi w:val="0"/>
              <w:adjustRightInd/>
              <w:spacing w:line="360" w:lineRule="exact"/>
              <w:ind w:left="0" w:leftChars="0"/>
              <w:jc w:val="left"/>
              <w:textAlignment w:val="auto"/>
              <w:rPr>
                <w:rFonts w:hint="eastAsia" w:ascii="宋体" w:hAnsi="宋体" w:eastAsia="宋体" w:cs="宋体"/>
                <w:sz w:val="21"/>
                <w:szCs w:val="21"/>
                <w:highlight w:val="none"/>
                <w:lang w:eastAsia="zh-CN"/>
              </w:rPr>
            </w:pPr>
            <w:r>
              <w:rPr>
                <w:rFonts w:hint="eastAsia" w:ascii="宋体" w:hAnsi="宋体" w:eastAsia="宋体" w:cs="宋体"/>
                <w:b w:val="0"/>
                <w:bCs w:val="0"/>
                <w:color w:val="auto"/>
                <w:kern w:val="2"/>
                <w:sz w:val="21"/>
                <w:szCs w:val="21"/>
                <w:highlight w:val="none"/>
                <w:lang w:val="en-US" w:eastAsia="zh-CN"/>
              </w:rPr>
              <w:t>2、若出现未提供证明资料或凭所提供资料无法判断是否得分的情形，一律按不得分处理。</w:t>
            </w:r>
          </w:p>
        </w:tc>
        <w:tc>
          <w:tcPr>
            <w:tcW w:w="1187" w:type="dxa"/>
            <w:vAlign w:val="center"/>
          </w:tcPr>
          <w:p w14:paraId="47F0E827">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评委打分</w:t>
            </w:r>
          </w:p>
        </w:tc>
      </w:tr>
      <w:tr w14:paraId="0FD20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754" w:type="dxa"/>
            <w:vAlign w:val="center"/>
          </w:tcPr>
          <w:p w14:paraId="5325CB47">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143" w:type="dxa"/>
            <w:vAlign w:val="center"/>
          </w:tcPr>
          <w:p w14:paraId="5076628A">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整体实施方案</w:t>
            </w:r>
          </w:p>
        </w:tc>
        <w:tc>
          <w:tcPr>
            <w:tcW w:w="709" w:type="dxa"/>
            <w:vAlign w:val="center"/>
          </w:tcPr>
          <w:p w14:paraId="673A3FDA">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5953" w:type="dxa"/>
            <w:vAlign w:val="top"/>
          </w:tcPr>
          <w:p w14:paraId="172E7F32">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（一）评审内容：</w:t>
            </w:r>
            <w:r>
              <w:rPr>
                <w:rFonts w:hint="eastAsia" w:ascii="宋体" w:hAnsi="宋体" w:eastAsia="宋体" w:cs="宋体"/>
                <w:color w:val="auto"/>
                <w:sz w:val="21"/>
                <w:szCs w:val="21"/>
                <w:highlight w:val="none"/>
              </w:rPr>
              <w:t xml:space="preserve"> </w:t>
            </w:r>
          </w:p>
          <w:p w14:paraId="46CCB33E">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制订了针对本项目的实施方案，包含但不限于以下内容： </w:t>
            </w:r>
          </w:p>
          <w:p w14:paraId="614740C0">
            <w:pPr>
              <w:keepNext w:val="0"/>
              <w:keepLines w:val="0"/>
              <w:pageBreakBefore w:val="0"/>
              <w:numPr>
                <w:ilvl w:val="0"/>
                <w:numId w:val="5"/>
              </w:numPr>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保险理赔定责方案</w:t>
            </w:r>
          </w:p>
          <w:p w14:paraId="3C26CAEE">
            <w:pPr>
              <w:keepNext w:val="0"/>
              <w:keepLines w:val="0"/>
              <w:pageBreakBefore w:val="0"/>
              <w:numPr>
                <w:ilvl w:val="0"/>
                <w:numId w:val="5"/>
              </w:numPr>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保险理赔的报案流程； </w:t>
            </w:r>
          </w:p>
          <w:p w14:paraId="6D6E41FD">
            <w:pPr>
              <w:keepNext w:val="0"/>
              <w:keepLines w:val="0"/>
              <w:pageBreakBefore w:val="0"/>
              <w:numPr>
                <w:ilvl w:val="0"/>
                <w:numId w:val="5"/>
              </w:numPr>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保险理赔手续</w:t>
            </w:r>
          </w:p>
          <w:p w14:paraId="217C0042">
            <w:pPr>
              <w:keepNext w:val="0"/>
              <w:keepLines w:val="0"/>
              <w:pageBreakBefore w:val="0"/>
              <w:numPr>
                <w:ilvl w:val="0"/>
                <w:numId w:val="5"/>
              </w:numPr>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保险理赔</w:t>
            </w:r>
            <w:r>
              <w:rPr>
                <w:rFonts w:hint="eastAsia" w:ascii="宋体" w:hAnsi="宋体" w:eastAsia="宋体" w:cs="宋体"/>
                <w:color w:val="auto"/>
                <w:sz w:val="21"/>
                <w:szCs w:val="21"/>
                <w:highlight w:val="none"/>
                <w:lang w:eastAsia="zh-CN"/>
              </w:rPr>
              <w:t>文书资料要求</w:t>
            </w:r>
            <w:r>
              <w:rPr>
                <w:rFonts w:hint="eastAsia" w:ascii="宋体" w:hAnsi="宋体" w:eastAsia="宋体" w:cs="宋体"/>
                <w:color w:val="auto"/>
                <w:sz w:val="21"/>
                <w:szCs w:val="21"/>
                <w:highlight w:val="none"/>
              </w:rPr>
              <w:t>；</w:t>
            </w:r>
          </w:p>
          <w:p w14:paraId="3C46EECE">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、保险理赔时效</w:t>
            </w:r>
            <w:r>
              <w:rPr>
                <w:rFonts w:hint="eastAsia" w:ascii="宋体" w:hAnsi="宋体" w:eastAsia="宋体" w:cs="宋体"/>
                <w:color w:val="auto"/>
                <w:sz w:val="21"/>
                <w:szCs w:val="21"/>
                <w:highlight w:val="none"/>
                <w:lang w:eastAsia="zh-CN"/>
              </w:rPr>
              <w:t>说明</w:t>
            </w:r>
            <w:r>
              <w:rPr>
                <w:rFonts w:hint="eastAsia" w:ascii="宋体" w:hAnsi="宋体" w:eastAsia="宋体" w:cs="宋体"/>
                <w:color w:val="auto"/>
                <w:sz w:val="21"/>
                <w:szCs w:val="21"/>
                <w:highlight w:val="none"/>
              </w:rPr>
              <w:t>；</w:t>
            </w:r>
          </w:p>
          <w:p w14:paraId="0F5F0F8B">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、其他特色或创新服务。</w:t>
            </w:r>
          </w:p>
          <w:p w14:paraId="395F0838">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 xml:space="preserve">（二）评分依据： </w:t>
            </w:r>
            <w:r>
              <w:rPr>
                <w:rFonts w:hint="eastAsia" w:ascii="宋体" w:hAnsi="宋体" w:eastAsia="宋体" w:cs="宋体"/>
                <w:color w:val="auto"/>
                <w:sz w:val="21"/>
                <w:szCs w:val="21"/>
                <w:highlight w:val="none"/>
              </w:rPr>
              <w:t xml:space="preserve"> </w:t>
            </w:r>
          </w:p>
          <w:p w14:paraId="58F3DB69">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方案的内容满足</w:t>
            </w:r>
            <w:r>
              <w:rPr>
                <w:rFonts w:hint="eastAsia" w:ascii="宋体" w:hAnsi="宋体" w:eastAsia="宋体" w:cs="宋体"/>
                <w:color w:val="auto"/>
                <w:sz w:val="21"/>
                <w:szCs w:val="21"/>
                <w:highlight w:val="none"/>
                <w:lang w:eastAsia="zh-CN"/>
              </w:rPr>
              <w:t>以上任意一项得</w:t>
            </w:r>
            <w:r>
              <w:rPr>
                <w:rFonts w:hint="eastAsia" w:ascii="宋体" w:hAnsi="宋体" w:eastAsia="宋体" w:cs="宋体"/>
                <w:color w:val="auto"/>
                <w:sz w:val="21"/>
                <w:szCs w:val="21"/>
                <w:highlight w:val="none"/>
                <w:lang w:val="en-US" w:eastAsia="zh-CN"/>
              </w:rPr>
              <w:t>1.5分，最高得9分</w:t>
            </w:r>
            <w:r>
              <w:rPr>
                <w:rFonts w:hint="eastAsia" w:ascii="宋体" w:hAnsi="宋体" w:eastAsia="宋体" w:cs="宋体"/>
                <w:color w:val="auto"/>
                <w:sz w:val="21"/>
                <w:szCs w:val="21"/>
                <w:highlight w:val="none"/>
              </w:rPr>
              <w:t>，其他情况不得分。</w:t>
            </w:r>
          </w:p>
          <w:p w14:paraId="2ABD860B">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上述</w:t>
            </w:r>
            <w:r>
              <w:rPr>
                <w:rFonts w:hint="eastAsia" w:ascii="宋体" w:hAnsi="宋体" w:eastAsia="宋体" w:cs="宋体"/>
                <w:color w:val="auto"/>
                <w:sz w:val="21"/>
                <w:szCs w:val="21"/>
                <w:highlight w:val="none"/>
              </w:rPr>
              <w:t>基础上，专家根据各供应商的具体响应情况进一步评审：</w:t>
            </w:r>
          </w:p>
          <w:p w14:paraId="7495C869">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）保险理赔定责方案：</w:t>
            </w:r>
            <w:r>
              <w:rPr>
                <w:rFonts w:hint="eastAsia" w:ascii="宋体" w:hAnsi="宋体" w:eastAsia="宋体" w:cs="宋体"/>
                <w:color w:val="auto"/>
                <w:sz w:val="21"/>
                <w:szCs w:val="21"/>
                <w:highlight w:val="none"/>
              </w:rPr>
              <w:t>合理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周全，兼顾法律法规、人文关怀与社会和谐因素</w:t>
            </w:r>
            <w:r>
              <w:rPr>
                <w:rFonts w:hint="eastAsia" w:ascii="宋体" w:hAnsi="宋体" w:eastAsia="宋体" w:cs="宋体"/>
                <w:color w:val="auto"/>
                <w:sz w:val="21"/>
                <w:szCs w:val="21"/>
                <w:highlight w:val="none"/>
                <w:lang w:val="en-US" w:eastAsia="zh-CN"/>
              </w:rPr>
              <w:t>；</w:t>
            </w:r>
          </w:p>
          <w:p w14:paraId="53AA1F5D">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保险理赔的报案流程</w:t>
            </w:r>
            <w:r>
              <w:rPr>
                <w:rFonts w:hint="eastAsia" w:ascii="宋体" w:hAnsi="宋体" w:eastAsia="宋体" w:cs="宋体"/>
                <w:color w:val="auto"/>
                <w:sz w:val="21"/>
                <w:szCs w:val="21"/>
                <w:highlight w:val="none"/>
                <w:lang w:eastAsia="zh-CN"/>
              </w:rPr>
              <w:t>：设计简单、操作便捷；</w:t>
            </w:r>
          </w:p>
          <w:p w14:paraId="6923C667">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保险理赔手续</w:t>
            </w:r>
            <w:r>
              <w:rPr>
                <w:rFonts w:hint="eastAsia" w:ascii="宋体" w:hAnsi="宋体" w:eastAsia="宋体" w:cs="宋体"/>
                <w:color w:val="auto"/>
                <w:sz w:val="21"/>
                <w:szCs w:val="21"/>
                <w:highlight w:val="none"/>
                <w:lang w:eastAsia="zh-CN"/>
              </w:rPr>
              <w:t>：内容全面、具体，具备可操作性；</w:t>
            </w:r>
          </w:p>
          <w:p w14:paraId="01D6D9A2">
            <w:pPr>
              <w:pStyle w:val="51"/>
              <w:keepNext w:val="0"/>
              <w:keepLines w:val="0"/>
              <w:pageBreakBefore w:val="0"/>
              <w:shd w:val="clear" w:color="auto" w:fill="auto"/>
              <w:kinsoku/>
              <w:overflowPunct/>
              <w:topLinePunct w:val="0"/>
              <w:bidi w:val="0"/>
              <w:spacing w:after="0"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保险理赔</w:t>
            </w:r>
            <w:r>
              <w:rPr>
                <w:rFonts w:hint="eastAsia" w:ascii="宋体" w:hAnsi="宋体" w:eastAsia="宋体" w:cs="宋体"/>
                <w:color w:val="auto"/>
                <w:sz w:val="21"/>
                <w:szCs w:val="21"/>
                <w:highlight w:val="none"/>
                <w:lang w:eastAsia="zh-CN"/>
              </w:rPr>
              <w:t>文书资料</w:t>
            </w:r>
            <w:r>
              <w:rPr>
                <w:rFonts w:hint="eastAsia" w:ascii="宋体" w:hAnsi="宋体" w:eastAsia="宋体" w:cs="宋体"/>
                <w:color w:val="auto"/>
                <w:sz w:val="21"/>
                <w:szCs w:val="21"/>
                <w:highlight w:val="none"/>
                <w:lang w:val="en-US" w:eastAsia="zh-CN"/>
              </w:rPr>
              <w:t>要求：精简、可行，仅要求提供核心、必需资料；</w:t>
            </w:r>
          </w:p>
          <w:p w14:paraId="1D6A607D">
            <w:pPr>
              <w:pStyle w:val="51"/>
              <w:keepNext w:val="0"/>
              <w:keepLines w:val="0"/>
              <w:pageBreakBefore w:val="0"/>
              <w:shd w:val="clear" w:color="auto" w:fill="auto"/>
              <w:kinsoku/>
              <w:overflowPunct/>
              <w:topLinePunct w:val="0"/>
              <w:bidi w:val="0"/>
              <w:spacing w:after="0"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保险理赔时效</w:t>
            </w:r>
            <w:r>
              <w:rPr>
                <w:rFonts w:hint="eastAsia" w:ascii="宋体" w:hAnsi="宋体" w:eastAsia="宋体" w:cs="宋体"/>
                <w:color w:val="auto"/>
                <w:sz w:val="21"/>
                <w:szCs w:val="21"/>
                <w:highlight w:val="none"/>
                <w:lang w:val="en-US" w:eastAsia="zh-CN"/>
              </w:rPr>
              <w:t>快捷：快捷高效，承诺明确；</w:t>
            </w:r>
          </w:p>
          <w:p w14:paraId="3E0206F9">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）其他特色或创新服务</w:t>
            </w:r>
            <w:r>
              <w:rPr>
                <w:rFonts w:hint="eastAsia" w:ascii="宋体" w:hAnsi="宋体" w:eastAsia="宋体" w:cs="宋体"/>
                <w:color w:val="auto"/>
                <w:sz w:val="21"/>
                <w:szCs w:val="21"/>
                <w:highlight w:val="none"/>
              </w:rPr>
              <w:t>方案</w:t>
            </w:r>
            <w:r>
              <w:rPr>
                <w:rFonts w:hint="eastAsia" w:ascii="宋体" w:hAnsi="宋体" w:eastAsia="宋体" w:cs="宋体"/>
                <w:color w:val="auto"/>
                <w:sz w:val="21"/>
                <w:szCs w:val="21"/>
                <w:highlight w:val="none"/>
                <w:lang w:eastAsia="zh-CN"/>
              </w:rPr>
              <w:t>科学合理，具备可行性。</w:t>
            </w:r>
          </w:p>
          <w:p w14:paraId="33477CC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以上，每满足一条加</w:t>
            </w:r>
            <w:r>
              <w:rPr>
                <w:rFonts w:hint="eastAsia" w:ascii="宋体" w:hAnsi="宋体" w:eastAsia="宋体" w:cs="宋体"/>
                <w:color w:val="auto"/>
                <w:sz w:val="21"/>
                <w:szCs w:val="21"/>
                <w:highlight w:val="none"/>
                <w:lang w:val="en-US" w:eastAsia="zh-CN"/>
              </w:rPr>
              <w:t>1分，最高加6分，每一条的其他情况不加分。</w:t>
            </w:r>
          </w:p>
          <w:p w14:paraId="0CE0F253">
            <w:pPr>
              <w:keepNext w:val="0"/>
              <w:keepLines w:val="0"/>
              <w:pageBreakBefore w:val="0"/>
              <w:widowControl/>
              <w:shd w:val="clear" w:color="auto" w:fill="auto"/>
              <w:kinsoku/>
              <w:wordWrap/>
              <w:overflowPunct/>
              <w:topLinePunct w:val="0"/>
              <w:autoSpaceDE/>
              <w:autoSpaceDN/>
              <w:bidi w:val="0"/>
              <w:adjustRightInd/>
              <w:spacing w:line="360" w:lineRule="exact"/>
              <w:ind w:left="0" w:leftChars="0"/>
              <w:jc w:val="left"/>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评分中出现无证明资料或专家无法凭所提供资料判断是否得分的情况，一律作不得分处理。</w:t>
            </w:r>
          </w:p>
        </w:tc>
        <w:tc>
          <w:tcPr>
            <w:tcW w:w="1187" w:type="dxa"/>
            <w:vAlign w:val="center"/>
          </w:tcPr>
          <w:p w14:paraId="36E85E64">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评委打分</w:t>
            </w:r>
          </w:p>
        </w:tc>
      </w:tr>
      <w:tr w14:paraId="222F5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54" w:hRule="atLeast"/>
          <w:jc w:val="center"/>
        </w:trPr>
        <w:tc>
          <w:tcPr>
            <w:tcW w:w="754" w:type="dxa"/>
            <w:vAlign w:val="center"/>
          </w:tcPr>
          <w:p w14:paraId="7CC162BC">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1143" w:type="dxa"/>
            <w:vAlign w:val="center"/>
          </w:tcPr>
          <w:p w14:paraId="605644C2">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sz w:val="21"/>
                <w:szCs w:val="21"/>
                <w:highlight w:val="none"/>
                <w:lang w:val="en-US" w:eastAsia="zh-CN"/>
              </w:rPr>
              <w:t>拟投入项目团队成员情况</w:t>
            </w:r>
          </w:p>
        </w:tc>
        <w:tc>
          <w:tcPr>
            <w:tcW w:w="709" w:type="dxa"/>
            <w:vAlign w:val="center"/>
          </w:tcPr>
          <w:p w14:paraId="6EF5F41F">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kern w:val="2"/>
                <w:sz w:val="21"/>
                <w:szCs w:val="21"/>
              </w:rPr>
            </w:pPr>
            <w:r>
              <w:rPr>
                <w:rFonts w:hint="eastAsia" w:ascii="宋体" w:hAnsi="宋体" w:eastAsia="宋体" w:cs="宋体"/>
                <w:bCs/>
                <w:color w:val="auto"/>
                <w:spacing w:val="10"/>
                <w:kern w:val="0"/>
                <w:sz w:val="21"/>
                <w:szCs w:val="21"/>
                <w:highlight w:val="none"/>
                <w:lang w:val="en-US" w:eastAsia="zh-CN" w:bidi="ar-SA"/>
              </w:rPr>
              <w:t>15</w:t>
            </w:r>
          </w:p>
        </w:tc>
        <w:tc>
          <w:tcPr>
            <w:tcW w:w="5953" w:type="dxa"/>
            <w:vAlign w:val="center"/>
          </w:tcPr>
          <w:p w14:paraId="4344F5D1">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内容：</w:t>
            </w:r>
          </w:p>
          <w:p w14:paraId="6539EA77">
            <w:pPr>
              <w:keepNext w:val="0"/>
              <w:keepLines w:val="0"/>
              <w:pageBreakBefore w:val="0"/>
              <w:numPr>
                <w:ilvl w:val="0"/>
                <w:numId w:val="0"/>
              </w:numPr>
              <w:shd w:val="clear" w:color="auto" w:fill="auto"/>
              <w:kinsoku/>
              <w:overflowPunct/>
              <w:topLinePunct w:val="0"/>
              <w:bidi w:val="0"/>
              <w:spacing w:line="360" w:lineRule="exact"/>
              <w:ind w:left="0" w:leftChars="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拟投入项目团队成员</w:t>
            </w:r>
            <w:r>
              <w:rPr>
                <w:rFonts w:hint="eastAsia" w:ascii="宋体" w:hAnsi="宋体" w:eastAsia="宋体" w:cs="宋体"/>
                <w:b/>
                <w:bCs/>
                <w:color w:val="auto"/>
                <w:kern w:val="0"/>
                <w:sz w:val="21"/>
                <w:szCs w:val="21"/>
                <w:highlight w:val="none"/>
                <w:lang w:eastAsia="zh-CN"/>
              </w:rPr>
              <w:t>为投标人自有员工，满足</w:t>
            </w:r>
            <w:r>
              <w:rPr>
                <w:rFonts w:hint="eastAsia" w:ascii="宋体" w:hAnsi="宋体" w:eastAsia="宋体" w:cs="宋体"/>
                <w:b/>
                <w:bCs/>
                <w:color w:val="auto"/>
                <w:kern w:val="0"/>
                <w:sz w:val="21"/>
                <w:szCs w:val="21"/>
                <w:highlight w:val="none"/>
              </w:rPr>
              <w:t>：</w:t>
            </w:r>
          </w:p>
          <w:p w14:paraId="197B337B">
            <w:pPr>
              <w:keepNext w:val="0"/>
              <w:keepLines w:val="0"/>
              <w:pageBreakBefore w:val="0"/>
              <w:shd w:val="clear" w:color="auto" w:fill="auto"/>
              <w:kinsoku/>
              <w:overflowPunct/>
              <w:topLinePunct w:val="0"/>
              <w:bidi w:val="0"/>
              <w:spacing w:line="360" w:lineRule="exact"/>
              <w:ind w:left="0" w:lef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eastAsia="zh-CN" w:bidi="ar-SA"/>
              </w:rPr>
              <w:t>1、</w:t>
            </w:r>
            <w:r>
              <w:rPr>
                <w:rFonts w:hint="eastAsia" w:ascii="宋体" w:hAnsi="宋体" w:eastAsia="宋体" w:cs="宋体"/>
                <w:color w:val="auto"/>
                <w:sz w:val="21"/>
                <w:szCs w:val="21"/>
                <w:highlight w:val="none"/>
                <w:lang w:eastAsia="zh-CN"/>
              </w:rPr>
              <w:t>人员数量：</w:t>
            </w:r>
            <w:r>
              <w:rPr>
                <w:rFonts w:hint="eastAsia" w:ascii="宋体" w:hAnsi="宋体" w:eastAsia="宋体" w:cs="宋体"/>
                <w:color w:val="auto"/>
                <w:sz w:val="21"/>
                <w:szCs w:val="21"/>
                <w:highlight w:val="none"/>
              </w:rPr>
              <w:t>团队成员</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得2</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每增加1人得1分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本小项最高得5</w:t>
            </w:r>
            <w:r>
              <w:rPr>
                <w:rFonts w:hint="eastAsia" w:ascii="宋体" w:hAnsi="宋体" w:eastAsia="宋体" w:cs="宋体"/>
                <w:color w:val="auto"/>
                <w:sz w:val="21"/>
                <w:szCs w:val="21"/>
                <w:highlight w:val="none"/>
                <w:lang w:val="en-US" w:eastAsia="zh-CN"/>
              </w:rPr>
              <w:t>分。</w:t>
            </w:r>
          </w:p>
          <w:p w14:paraId="09718B00">
            <w:pPr>
              <w:keepNext w:val="0"/>
              <w:keepLines w:val="0"/>
              <w:pageBreakBefore w:val="0"/>
              <w:shd w:val="clear" w:color="auto" w:fill="auto"/>
              <w:kinsoku/>
              <w:overflowPunct/>
              <w:topLinePunct w:val="0"/>
              <w:bidi w:val="0"/>
              <w:spacing w:line="360" w:lineRule="exact"/>
              <w:ind w:left="0" w:lef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val="en-US" w:eastAsia="zh-CN" w:bidi="ar-SA"/>
              </w:rPr>
              <w:t>专业人员：</w:t>
            </w:r>
            <w:r>
              <w:rPr>
                <w:rFonts w:hint="eastAsia" w:ascii="宋体" w:hAnsi="宋体" w:eastAsia="宋体" w:cs="宋体"/>
                <w:color w:val="auto"/>
                <w:sz w:val="21"/>
                <w:szCs w:val="21"/>
                <w:highlight w:val="none"/>
              </w:rPr>
              <w:t>团队成员中具备医学或者法学或保险相关专业本科（或以上）学历的，每提供1人得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分，最高得5分；</w:t>
            </w:r>
          </w:p>
          <w:p w14:paraId="33BC03AB">
            <w:pPr>
              <w:keepNext w:val="0"/>
              <w:keepLines w:val="0"/>
              <w:pageBreakBefore w:val="0"/>
              <w:shd w:val="clear" w:color="auto" w:fill="auto"/>
              <w:kinsoku/>
              <w:overflowPunct/>
              <w:topLinePunct w:val="0"/>
              <w:bidi w:val="0"/>
              <w:spacing w:line="360" w:lineRule="exact"/>
              <w:ind w:left="0" w:lef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eastAsia="zh-CN" w:bidi="ar-SA"/>
              </w:rPr>
              <w:t>3</w:t>
            </w:r>
            <w:r>
              <w:rPr>
                <w:rFonts w:hint="eastAsia" w:ascii="宋体" w:hAnsi="宋体" w:eastAsia="宋体" w:cs="宋体"/>
                <w:color w:val="auto"/>
                <w:kern w:val="2"/>
                <w:sz w:val="21"/>
                <w:szCs w:val="21"/>
                <w:highlight w:val="none"/>
                <w:lang w:val="en-US" w:eastAsia="zh-CN" w:bidi="ar-SA"/>
              </w:rPr>
              <w:t>、同类工作经验：团队成员</w:t>
            </w:r>
            <w:r>
              <w:rPr>
                <w:rFonts w:hint="eastAsia" w:ascii="宋体" w:hAnsi="宋体" w:eastAsia="宋体" w:cs="宋体"/>
                <w:color w:val="auto"/>
                <w:sz w:val="21"/>
                <w:szCs w:val="21"/>
                <w:highlight w:val="none"/>
              </w:rPr>
              <w:t>具有同类</w:t>
            </w:r>
            <w:r>
              <w:rPr>
                <w:rFonts w:hint="eastAsia" w:ascii="宋体" w:hAnsi="宋体" w:eastAsia="宋体" w:cs="宋体"/>
                <w:color w:val="auto"/>
                <w:sz w:val="21"/>
                <w:szCs w:val="21"/>
                <w:highlight w:val="none"/>
                <w:lang w:val="en-US" w:eastAsia="zh-CN"/>
              </w:rPr>
              <w:t>医疗责任保险</w:t>
            </w:r>
            <w:r>
              <w:rPr>
                <w:rFonts w:hint="eastAsia" w:ascii="宋体" w:hAnsi="宋体" w:eastAsia="宋体" w:cs="宋体"/>
                <w:color w:val="auto"/>
                <w:sz w:val="21"/>
                <w:szCs w:val="21"/>
                <w:highlight w:val="none"/>
              </w:rPr>
              <w:t>项目服务经验的，每提供1人，得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，最高得5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p w14:paraId="235EC959">
            <w:pPr>
              <w:keepNext w:val="0"/>
              <w:keepLines w:val="0"/>
              <w:pageBreakBefore w:val="0"/>
              <w:shd w:val="clear" w:color="auto" w:fill="auto"/>
              <w:kinsoku/>
              <w:overflowPunct/>
              <w:topLinePunct w:val="0"/>
              <w:bidi w:val="0"/>
              <w:spacing w:line="360" w:lineRule="exact"/>
              <w:ind w:left="0" w:lef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（二）评分依据：</w:t>
            </w:r>
          </w:p>
          <w:p w14:paraId="253D6DB1">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提供拟派项目团队成员的人员信息（格式自定，内容至少包含姓名、学历、工作经验年限及通过投标人缴纳的近一个月的社保证明作为本单位员工的证明依据。如社保材料因社保</w:t>
            </w:r>
            <w:r>
              <w:rPr>
                <w:rFonts w:hint="eastAsia" w:ascii="宋体" w:hAnsi="宋体" w:eastAsia="宋体" w:cs="宋体"/>
                <w:color w:val="auto"/>
                <w:sz w:val="21"/>
                <w:szCs w:val="21"/>
                <w:highlight w:val="none"/>
                <w:lang w:val="en-US" w:eastAsia="zh-CN"/>
              </w:rPr>
              <w:t>收缴</w:t>
            </w:r>
            <w:r>
              <w:rPr>
                <w:rFonts w:hint="eastAsia" w:ascii="宋体" w:hAnsi="宋体" w:eastAsia="宋体" w:cs="宋体"/>
                <w:color w:val="auto"/>
                <w:sz w:val="21"/>
                <w:szCs w:val="21"/>
                <w:highlight w:val="none"/>
              </w:rPr>
              <w:t>部门原因暂时无法取得，则可以往前顺延一个月；或已退休返聘人员无社保的需提供聘用合同。如供应商为新成立企业且成立时间不足一个月可提供加盖公章的情况说明或者证明材料亦视为符合。</w:t>
            </w:r>
          </w:p>
          <w:p w14:paraId="204FEDD7">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涉及</w:t>
            </w:r>
            <w:r>
              <w:rPr>
                <w:rFonts w:hint="eastAsia" w:ascii="宋体" w:hAnsi="宋体" w:eastAsia="宋体" w:cs="宋体"/>
                <w:color w:val="auto"/>
                <w:sz w:val="21"/>
                <w:szCs w:val="21"/>
                <w:highlight w:val="none"/>
                <w:lang w:eastAsia="zh-CN"/>
              </w:rPr>
              <w:t>专业和</w:t>
            </w:r>
            <w:r>
              <w:rPr>
                <w:rFonts w:hint="eastAsia" w:ascii="宋体" w:hAnsi="宋体" w:eastAsia="宋体" w:cs="宋体"/>
                <w:color w:val="auto"/>
                <w:sz w:val="21"/>
                <w:szCs w:val="21"/>
                <w:highlight w:val="none"/>
              </w:rPr>
              <w:t>学历证书，要求提供证书扫描件以及学信网查询记录。对于较早颁发的学历证书，学信网无法查询的，要求提供证书扫描件和其他佐证材料（如毕业院校、人社部门等颁发机构或监管机构等单位出具的证明）作为得分的依据。海外留学人员学历无法通过学信网站查询的，需提供教育部留学服务中心出具的学历认证证书及教育部留学服务中心官网查询截图。证明材料均提供扫描件，原件备查。</w:t>
            </w:r>
          </w:p>
          <w:p w14:paraId="47410BCC">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如涉及考察人员从业经验，要求提供项目合同关键信息（包含项目团队成员信息）作为得分依据，通过合同关键信息无法判断是否得分的，投标人还须同时提供合同甲方出具的证明文件（加盖合同甲方公章或业务章）</w:t>
            </w:r>
          </w:p>
          <w:p w14:paraId="50F16AB2">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.以上资料均要求提供扫描件（或官方网站截图），原件备查。评分中出现无证明资料或专家无法凭所提供资料判断是否得分的情况，一律作不得分处理。</w:t>
            </w:r>
          </w:p>
        </w:tc>
        <w:tc>
          <w:tcPr>
            <w:tcW w:w="1187" w:type="dxa"/>
            <w:vAlign w:val="center"/>
          </w:tcPr>
          <w:p w14:paraId="3A15F01E">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评委打分</w:t>
            </w:r>
          </w:p>
        </w:tc>
      </w:tr>
      <w:tr w14:paraId="4D5DA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332DE539">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zh-CN"/>
              </w:rPr>
              <w:t>三、商务部分</w:t>
            </w:r>
          </w:p>
        </w:tc>
        <w:tc>
          <w:tcPr>
            <w:tcW w:w="1187" w:type="dxa"/>
            <w:vAlign w:val="center"/>
          </w:tcPr>
          <w:p w14:paraId="352AB72B">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w:t>
            </w:r>
          </w:p>
        </w:tc>
      </w:tr>
      <w:tr w14:paraId="765B5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44E19713">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序号</w:t>
            </w:r>
          </w:p>
        </w:tc>
        <w:tc>
          <w:tcPr>
            <w:tcW w:w="1143" w:type="dxa"/>
            <w:vAlign w:val="center"/>
          </w:tcPr>
          <w:p w14:paraId="4E9254C0">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内容</w:t>
            </w:r>
          </w:p>
        </w:tc>
        <w:tc>
          <w:tcPr>
            <w:tcW w:w="709" w:type="dxa"/>
            <w:vAlign w:val="center"/>
          </w:tcPr>
          <w:p w14:paraId="3BA2302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权重</w:t>
            </w:r>
          </w:p>
        </w:tc>
        <w:tc>
          <w:tcPr>
            <w:tcW w:w="5953" w:type="dxa"/>
            <w:vAlign w:val="center"/>
          </w:tcPr>
          <w:p w14:paraId="6D3AA33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评分规则</w:t>
            </w:r>
          </w:p>
        </w:tc>
        <w:tc>
          <w:tcPr>
            <w:tcW w:w="1187" w:type="dxa"/>
            <w:vAlign w:val="center"/>
          </w:tcPr>
          <w:p w14:paraId="68B45252">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评分方式</w:t>
            </w:r>
          </w:p>
        </w:tc>
      </w:tr>
      <w:tr w14:paraId="19849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8" w:hRule="atLeast"/>
          <w:jc w:val="center"/>
        </w:trPr>
        <w:tc>
          <w:tcPr>
            <w:tcW w:w="754" w:type="dxa"/>
            <w:vAlign w:val="center"/>
          </w:tcPr>
          <w:p w14:paraId="67B8B88A">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1</w:t>
            </w:r>
          </w:p>
        </w:tc>
        <w:tc>
          <w:tcPr>
            <w:tcW w:w="1143" w:type="dxa"/>
            <w:vAlign w:val="center"/>
          </w:tcPr>
          <w:p w14:paraId="39F2C472">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综合偿付能力充足率</w:t>
            </w:r>
          </w:p>
        </w:tc>
        <w:tc>
          <w:tcPr>
            <w:tcW w:w="709" w:type="dxa"/>
            <w:vAlign w:val="center"/>
          </w:tcPr>
          <w:p w14:paraId="109F0D62">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953" w:type="dxa"/>
            <w:vAlign w:val="center"/>
          </w:tcPr>
          <w:p w14:paraId="5FDE7D3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eastAsia="zh-CN"/>
              </w:rPr>
              <w:t>评分</w:t>
            </w:r>
            <w:r>
              <w:rPr>
                <w:rFonts w:hint="eastAsia" w:ascii="宋体" w:hAnsi="宋体" w:eastAsia="宋体" w:cs="宋体"/>
                <w:color w:val="auto"/>
                <w:sz w:val="21"/>
                <w:szCs w:val="21"/>
                <w:highlight w:val="none"/>
              </w:rPr>
              <w:t>内容：</w:t>
            </w:r>
          </w:p>
          <w:p w14:paraId="25843463">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投标人（如投标人为分公司的，则以总公司的综合偿付能力充足率为准）202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年第</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季度</w:t>
            </w:r>
            <w:r>
              <w:rPr>
                <w:rFonts w:hint="eastAsia" w:ascii="宋体" w:hAnsi="宋体" w:eastAsia="宋体" w:cs="宋体"/>
                <w:color w:val="auto"/>
                <w:sz w:val="21"/>
                <w:szCs w:val="21"/>
                <w:highlight w:val="none"/>
                <w:lang w:val="en-US" w:eastAsia="zh-CN"/>
              </w:rPr>
              <w:t>或第二季度任一季度</w:t>
            </w:r>
            <w:r>
              <w:rPr>
                <w:rFonts w:hint="eastAsia" w:ascii="宋体" w:hAnsi="宋体" w:eastAsia="宋体" w:cs="宋体"/>
                <w:color w:val="auto"/>
                <w:sz w:val="21"/>
                <w:szCs w:val="21"/>
                <w:highlight w:val="none"/>
              </w:rPr>
              <w:t>综合偿付能力充足率情况：</w:t>
            </w:r>
          </w:p>
          <w:p w14:paraId="23249E4C">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（1）综合偿付能力充足率≥2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0FCC20E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（2）150%≤综合偿付能力充足率＜2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p w14:paraId="12CFFF3D">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100%≤综合偿付能力充足率＜150%,得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1597F276">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（4）综合偿付能力充足率＜100%,不得分。</w:t>
            </w:r>
          </w:p>
          <w:p w14:paraId="31625FEB">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（二）评分依据：</w:t>
            </w:r>
          </w:p>
          <w:p w14:paraId="5F9497A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提供“中国保险行业协会”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h</w:t>
            </w:r>
            <w:r>
              <w:rPr>
                <w:rFonts w:hint="eastAsia" w:ascii="宋体" w:hAnsi="宋体" w:eastAsia="宋体" w:cs="宋体"/>
                <w:color w:val="auto"/>
                <w:sz w:val="21"/>
                <w:szCs w:val="21"/>
                <w:highlight w:val="none"/>
              </w:rPr>
              <w:t>ttps://www.iachina.cn</w:t>
            </w:r>
          </w:p>
          <w:p w14:paraId="59728304">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—“信息披露”栏目—“偿付能力信息披露”页面下载对应保险公司偿付能力报告（202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年第</w:t>
            </w:r>
            <w:r>
              <w:rPr>
                <w:rFonts w:hint="eastAsia" w:ascii="宋体" w:hAnsi="宋体" w:eastAsia="宋体" w:cs="宋体"/>
                <w:color w:val="auto"/>
                <w:sz w:val="21"/>
                <w:szCs w:val="21"/>
                <w:highlight w:val="none"/>
                <w:lang w:val="en-US" w:eastAsia="zh-CN"/>
              </w:rPr>
              <w:t>一季度或第二季度</w:t>
            </w:r>
            <w:r>
              <w:rPr>
                <w:rFonts w:hint="eastAsia" w:ascii="宋体" w:hAnsi="宋体" w:eastAsia="宋体" w:cs="宋体"/>
                <w:color w:val="auto"/>
                <w:sz w:val="21"/>
                <w:szCs w:val="21"/>
                <w:highlight w:val="none"/>
              </w:rPr>
              <w:t>季度）扫描件，仅需提供首页、综合偿付能力充足率页等关键部分相关截图。</w:t>
            </w:r>
          </w:p>
          <w:p w14:paraId="6996309C">
            <w:pPr>
              <w:pStyle w:val="19"/>
              <w:keepNext w:val="0"/>
              <w:keepLines w:val="0"/>
              <w:pageBreakBefore w:val="0"/>
              <w:shd w:val="clear" w:color="auto" w:fill="auto"/>
              <w:kinsoku/>
              <w:overflowPunct/>
              <w:topLinePunct w:val="0"/>
              <w:bidi w:val="0"/>
              <w:spacing w:line="360" w:lineRule="exact"/>
              <w:ind w:left="210" w:leftChars="0" w:hanging="210" w:hangingChars="1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如投标人为新成立单位，满足法规要求的前提上，不能提供</w:t>
            </w:r>
            <w:r>
              <w:rPr>
                <w:rFonts w:hint="eastAsia" w:ascii="宋体" w:hAnsi="宋体" w:eastAsia="宋体" w:cs="宋体"/>
                <w:color w:val="auto"/>
                <w:sz w:val="21"/>
                <w:szCs w:val="21"/>
                <w:highlight w:val="none"/>
                <w:lang w:val="en-US" w:eastAsia="zh-CN"/>
              </w:rPr>
              <w:t>以上任一季度的</w:t>
            </w:r>
            <w:r>
              <w:rPr>
                <w:rFonts w:hint="eastAsia" w:ascii="宋体" w:hAnsi="宋体" w:eastAsia="宋体" w:cs="宋体"/>
                <w:color w:val="auto"/>
                <w:sz w:val="21"/>
                <w:szCs w:val="21"/>
                <w:highlight w:val="none"/>
                <w:lang w:eastAsia="zh-CN"/>
              </w:rPr>
              <w:t>综合偿付能力信息披露资料的，提供相关说明（</w:t>
            </w:r>
            <w:r>
              <w:rPr>
                <w:rFonts w:hint="eastAsia" w:ascii="宋体" w:hAnsi="宋体" w:eastAsia="宋体" w:cs="宋体"/>
                <w:color w:val="auto"/>
                <w:sz w:val="21"/>
                <w:szCs w:val="21"/>
                <w:highlight w:val="none"/>
                <w:lang w:val="en-US" w:eastAsia="zh-CN"/>
              </w:rPr>
              <w:t>比如财务报表或承诺函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以佐证前款描述。相关说明满足要求的得</w:t>
            </w:r>
            <w:r>
              <w:rPr>
                <w:rFonts w:hint="eastAsia" w:ascii="宋体" w:hAnsi="宋体" w:eastAsia="宋体" w:cs="宋体"/>
                <w:color w:val="auto"/>
                <w:sz w:val="21"/>
                <w:szCs w:val="21"/>
                <w:highlight w:val="none"/>
                <w:lang w:val="en-US" w:eastAsia="zh-CN"/>
              </w:rPr>
              <w:t>10分。</w:t>
            </w:r>
          </w:p>
          <w:p w14:paraId="7465B496">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sz w:val="21"/>
                <w:szCs w:val="21"/>
                <w:highlight w:val="none"/>
                <w:lang w:val="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以上资料均要求提供扫描件</w:t>
            </w:r>
            <w:r>
              <w:rPr>
                <w:rFonts w:hint="eastAsia" w:ascii="宋体" w:hAnsi="宋体" w:eastAsia="宋体" w:cs="宋体"/>
                <w:color w:val="auto"/>
                <w:sz w:val="21"/>
                <w:szCs w:val="21"/>
                <w:highlight w:val="none"/>
                <w:lang w:val="en-US" w:eastAsia="zh-CN"/>
              </w:rPr>
              <w:t>或复印件</w:t>
            </w:r>
            <w:r>
              <w:rPr>
                <w:rFonts w:hint="eastAsia" w:ascii="宋体" w:hAnsi="宋体" w:eastAsia="宋体" w:cs="宋体"/>
                <w:color w:val="auto"/>
                <w:sz w:val="21"/>
                <w:szCs w:val="21"/>
                <w:highlight w:val="none"/>
              </w:rPr>
              <w:t>（或官方网站截图），</w:t>
            </w:r>
            <w:r>
              <w:rPr>
                <w:rFonts w:hint="eastAsia" w:ascii="宋体" w:hAnsi="宋体" w:eastAsia="宋体" w:cs="宋体"/>
                <w:color w:val="auto"/>
                <w:sz w:val="21"/>
                <w:szCs w:val="21"/>
                <w:highlight w:val="none"/>
                <w:lang w:eastAsia="zh-CN"/>
              </w:rPr>
              <w:t>加盖投标人</w:t>
            </w:r>
            <w:r>
              <w:rPr>
                <w:rFonts w:hint="eastAsia" w:ascii="宋体" w:hAnsi="宋体" w:eastAsia="宋体" w:cs="宋体"/>
                <w:color w:val="auto"/>
                <w:sz w:val="21"/>
                <w:szCs w:val="21"/>
                <w:highlight w:val="none"/>
                <w:lang w:val="en-US" w:eastAsia="zh-CN"/>
              </w:rPr>
              <w:t>公章，</w:t>
            </w:r>
            <w:r>
              <w:rPr>
                <w:rFonts w:hint="eastAsia" w:ascii="宋体" w:hAnsi="宋体" w:eastAsia="宋体" w:cs="宋体"/>
                <w:color w:val="auto"/>
                <w:sz w:val="21"/>
                <w:szCs w:val="21"/>
                <w:highlight w:val="none"/>
              </w:rPr>
              <w:t>原件备查。未提供或未按要求提供或提供的扫描件</w:t>
            </w:r>
            <w:r>
              <w:rPr>
                <w:rFonts w:hint="eastAsia" w:ascii="宋体" w:hAnsi="宋体" w:eastAsia="宋体" w:cs="宋体"/>
                <w:color w:val="auto"/>
                <w:sz w:val="21"/>
                <w:szCs w:val="21"/>
                <w:highlight w:val="none"/>
                <w:lang w:val="en-US" w:eastAsia="zh-CN"/>
              </w:rPr>
              <w:t>或复印件</w:t>
            </w:r>
            <w:r>
              <w:rPr>
                <w:rFonts w:hint="eastAsia" w:ascii="宋体" w:hAnsi="宋体" w:eastAsia="宋体" w:cs="宋体"/>
                <w:color w:val="auto"/>
                <w:sz w:val="21"/>
                <w:szCs w:val="21"/>
                <w:highlight w:val="none"/>
              </w:rPr>
              <w:t>不清晰导致专家无法判断的不得分。</w:t>
            </w:r>
          </w:p>
        </w:tc>
        <w:tc>
          <w:tcPr>
            <w:tcW w:w="1187" w:type="dxa"/>
            <w:vAlign w:val="center"/>
          </w:tcPr>
          <w:p w14:paraId="76A8EDF4">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rPr>
              <w:t>评委打分</w:t>
            </w:r>
          </w:p>
        </w:tc>
      </w:tr>
      <w:tr w14:paraId="1D0A7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2F5C0B5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zh-CN"/>
              </w:rPr>
            </w:pPr>
            <w:r>
              <w:rPr>
                <w:rFonts w:hint="eastAsia" w:ascii="宋体" w:hAnsi="宋体" w:eastAsia="宋体" w:cs="宋体"/>
                <w:kern w:val="0"/>
                <w:sz w:val="21"/>
                <w:szCs w:val="21"/>
                <w:highlight w:val="none"/>
              </w:rPr>
              <w:t>2</w:t>
            </w:r>
          </w:p>
        </w:tc>
        <w:tc>
          <w:tcPr>
            <w:tcW w:w="1143" w:type="dxa"/>
            <w:vAlign w:val="center"/>
          </w:tcPr>
          <w:p w14:paraId="6B311DD0">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同类项目业绩</w:t>
            </w:r>
          </w:p>
        </w:tc>
        <w:tc>
          <w:tcPr>
            <w:tcW w:w="709" w:type="dxa"/>
            <w:vAlign w:val="center"/>
          </w:tcPr>
          <w:p w14:paraId="47176464">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953" w:type="dxa"/>
            <w:vAlign w:val="center"/>
          </w:tcPr>
          <w:p w14:paraId="25EE86D4">
            <w:pPr>
              <w:keepNext w:val="0"/>
              <w:keepLines w:val="0"/>
              <w:pageBreakBefore w:val="0"/>
              <w:numPr>
                <w:ilvl w:val="0"/>
                <w:numId w:val="0"/>
              </w:numPr>
              <w:suppressLineNumbers w:val="0"/>
              <w:shd w:val="clear" w:color="auto" w:fill="auto"/>
              <w:kinsoku/>
              <w:overflowPunct/>
              <w:topLinePunct w:val="0"/>
              <w:bidi w:val="0"/>
              <w:snapToGrid w:val="0"/>
              <w:spacing w:before="0" w:beforeAutospacing="0" w:afterAutospacing="0" w:line="360" w:lineRule="exact"/>
              <w:ind w:left="0" w:leftChars="0" w:right="0" w:rightChars="0"/>
              <w:jc w:val="left"/>
              <w:textAlignment w:val="auto"/>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rPr>
              <w:t>（一）评分内容：</w:t>
            </w:r>
          </w:p>
          <w:p w14:paraId="000E8E5A">
            <w:pPr>
              <w:keepNext w:val="0"/>
              <w:keepLines w:val="0"/>
              <w:pageBreakBefore w:val="0"/>
              <w:numPr>
                <w:ilvl w:val="0"/>
                <w:numId w:val="0"/>
              </w:numPr>
              <w:suppressLineNumbers w:val="0"/>
              <w:shd w:val="clear" w:color="auto" w:fill="auto"/>
              <w:kinsoku/>
              <w:overflowPunct/>
              <w:topLinePunct w:val="0"/>
              <w:bidi w:val="0"/>
              <w:snapToGrid w:val="0"/>
              <w:spacing w:before="0" w:beforeAutospacing="0" w:afterAutospacing="0" w:line="360" w:lineRule="exact"/>
              <w:ind w:left="0" w:leftChars="0" w:right="0"/>
              <w:jc w:val="left"/>
              <w:textAlignment w:val="auto"/>
              <w:rPr>
                <w:rFonts w:hint="eastAsia" w:ascii="宋体" w:hAnsi="宋体" w:eastAsia="宋体" w:cs="宋体"/>
                <w:b w:val="0"/>
                <w:bCs w:val="0"/>
                <w:color w:val="auto"/>
                <w:kern w:val="2"/>
                <w:sz w:val="21"/>
                <w:szCs w:val="21"/>
                <w:highlight w:val="none"/>
              </w:rPr>
            </w:pPr>
            <w:r>
              <w:rPr>
                <w:rFonts w:hint="eastAsia" w:ascii="宋体" w:hAnsi="宋体" w:eastAsia="宋体" w:cs="宋体"/>
                <w:color w:val="auto"/>
                <w:sz w:val="21"/>
                <w:szCs w:val="21"/>
                <w:highlight w:val="none"/>
              </w:rPr>
              <w:t>投标人具有自2023年1月1日至本项目投标截止时间止（以合同签定日期为准）的同类</w:t>
            </w:r>
            <w:r>
              <w:rPr>
                <w:rFonts w:hint="eastAsia" w:ascii="宋体" w:hAnsi="宋体" w:eastAsia="宋体" w:cs="宋体"/>
                <w:color w:val="auto"/>
                <w:sz w:val="21"/>
                <w:szCs w:val="21"/>
                <w:highlight w:val="none"/>
                <w:lang w:val="en-US" w:eastAsia="zh-CN"/>
              </w:rPr>
              <w:t>医疗责任保险</w:t>
            </w:r>
            <w:r>
              <w:rPr>
                <w:rFonts w:hint="eastAsia" w:ascii="宋体" w:hAnsi="宋体" w:eastAsia="宋体" w:cs="宋体"/>
                <w:color w:val="auto"/>
                <w:sz w:val="21"/>
                <w:szCs w:val="21"/>
                <w:highlight w:val="none"/>
              </w:rPr>
              <w:t>项目业绩：</w:t>
            </w:r>
          </w:p>
          <w:p w14:paraId="0F52A4EA">
            <w:pPr>
              <w:keepNext w:val="0"/>
              <w:keepLines w:val="0"/>
              <w:pageBreakBefore w:val="0"/>
              <w:numPr>
                <w:ilvl w:val="0"/>
                <w:numId w:val="0"/>
              </w:numPr>
              <w:suppressLineNumbers w:val="0"/>
              <w:shd w:val="clear" w:color="auto" w:fill="auto"/>
              <w:kinsoku/>
              <w:overflowPunct/>
              <w:topLinePunct w:val="0"/>
              <w:bidi w:val="0"/>
              <w:snapToGrid w:val="0"/>
              <w:spacing w:before="0" w:beforeAutospacing="0" w:afterAutospacing="0" w:line="360" w:lineRule="exact"/>
              <w:ind w:left="0" w:leftChars="0" w:right="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每提供一项</w:t>
            </w:r>
            <w:r>
              <w:rPr>
                <w:rFonts w:hint="eastAsia" w:ascii="宋体" w:hAnsi="宋体" w:eastAsia="宋体" w:cs="宋体"/>
                <w:b w:val="0"/>
                <w:bCs w:val="0"/>
                <w:color w:val="auto"/>
                <w:sz w:val="21"/>
                <w:szCs w:val="21"/>
                <w:highlight w:val="none"/>
                <w:lang w:eastAsia="zh-CN"/>
              </w:rPr>
              <w:t>业绩</w:t>
            </w:r>
            <w:r>
              <w:rPr>
                <w:rFonts w:hint="eastAsia" w:ascii="宋体" w:hAnsi="宋体" w:eastAsia="宋体" w:cs="宋体"/>
                <w:b w:val="0"/>
                <w:bCs w:val="0"/>
                <w:color w:val="auto"/>
                <w:sz w:val="21"/>
                <w:szCs w:val="21"/>
                <w:highlight w:val="none"/>
              </w:rPr>
              <w:t>合同得</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；最多得</w:t>
            </w:r>
            <w:r>
              <w:rPr>
                <w:rFonts w:hint="eastAsia" w:ascii="宋体" w:hAnsi="宋体" w:eastAsia="宋体" w:cs="宋体"/>
                <w:b w:val="0"/>
                <w:bCs w:val="0"/>
                <w:color w:val="auto"/>
                <w:sz w:val="21"/>
                <w:szCs w:val="21"/>
                <w:highlight w:val="none"/>
                <w:lang w:val="en-US" w:eastAsia="zh-CN"/>
              </w:rPr>
              <w:t>5分；</w:t>
            </w:r>
            <w:r>
              <w:rPr>
                <w:rFonts w:hint="eastAsia" w:ascii="宋体" w:hAnsi="宋体" w:eastAsia="宋体" w:cs="宋体"/>
                <w:b w:val="0"/>
                <w:bCs w:val="0"/>
                <w:color w:val="auto"/>
                <w:sz w:val="21"/>
                <w:szCs w:val="21"/>
                <w:highlight w:val="none"/>
                <w:lang w:eastAsia="zh-CN"/>
              </w:rPr>
              <w:t>同一项目的续签业绩不累计得分。</w:t>
            </w:r>
          </w:p>
          <w:p w14:paraId="4D840F0B">
            <w:pPr>
              <w:keepNext w:val="0"/>
              <w:keepLines w:val="0"/>
              <w:pageBreakBefore w:val="0"/>
              <w:widowControl w:val="0"/>
              <w:numPr>
                <w:ilvl w:val="0"/>
                <w:numId w:val="0"/>
              </w:numPr>
              <w:suppressLineNumbers w:val="0"/>
              <w:shd w:val="clear" w:color="auto" w:fill="auto"/>
              <w:kinsoku/>
              <w:overflowPunct/>
              <w:topLinePunct w:val="0"/>
              <w:bidi w:val="0"/>
              <w:snapToGrid w:val="0"/>
              <w:spacing w:before="0" w:beforeAutospacing="0" w:afterAutospacing="0" w:line="360" w:lineRule="exact"/>
              <w:ind w:left="0" w:leftChars="0" w:right="0" w:rightChars="0"/>
              <w:jc w:val="left"/>
              <w:textAlignment w:val="auto"/>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rPr>
              <w:t>（二）评分依据：</w:t>
            </w:r>
          </w:p>
          <w:p w14:paraId="22CDBC5F">
            <w:pPr>
              <w:keepNext w:val="0"/>
              <w:keepLines w:val="0"/>
              <w:pageBreakBefore w:val="0"/>
              <w:shd w:val="clear" w:color="auto" w:fill="auto"/>
              <w:kinsoku/>
              <w:wordWrap w:val="0"/>
              <w:overflowPunct/>
              <w:topLinePunct w:val="0"/>
              <w:bidi w:val="0"/>
              <w:spacing w:line="360" w:lineRule="exact"/>
              <w:ind w:left="0" w:leftChars="0"/>
              <w:jc w:val="both"/>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lang w:val="en-US" w:eastAsia="zh-CN"/>
              </w:rPr>
              <w:t>1、</w:t>
            </w:r>
            <w:r>
              <w:rPr>
                <w:rFonts w:hint="eastAsia" w:ascii="宋体" w:hAnsi="宋体" w:eastAsia="宋体" w:cs="宋体"/>
                <w:color w:val="auto"/>
                <w:sz w:val="21"/>
                <w:szCs w:val="21"/>
                <w:highlight w:val="none"/>
              </w:rPr>
              <w:t>同时提供：</w:t>
            </w:r>
          </w:p>
          <w:p w14:paraId="0A1775F2">
            <w:pPr>
              <w:keepNext w:val="0"/>
              <w:keepLines w:val="0"/>
              <w:pageBreakBefore w:val="0"/>
              <w:shd w:val="clear" w:color="auto" w:fill="auto"/>
              <w:kinsoku/>
              <w:wordWrap w:val="0"/>
              <w:overflowPunct/>
              <w:topLinePunct w:val="0"/>
              <w:bidi w:val="0"/>
              <w:spacing w:line="360" w:lineRule="exact"/>
              <w:ind w:left="0" w:left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kern w:val="0"/>
                <w:sz w:val="21"/>
                <w:szCs w:val="21"/>
                <w:highlight w:val="none"/>
              </w:rPr>
              <w:t>合同关键页（</w:t>
            </w:r>
            <w:r>
              <w:rPr>
                <w:rFonts w:hint="eastAsia" w:ascii="宋体" w:hAnsi="宋体" w:eastAsia="宋体" w:cs="宋体"/>
                <w:b w:val="0"/>
                <w:bCs w:val="0"/>
                <w:color w:val="auto"/>
                <w:sz w:val="21"/>
                <w:szCs w:val="21"/>
                <w:highlight w:val="none"/>
              </w:rPr>
              <w:t>含签订合同双方的单位名称、合同项目名称与含签订合同双方的落款盖章、签订日期的关键页</w:t>
            </w:r>
            <w:r>
              <w:rPr>
                <w:rFonts w:hint="eastAsia" w:ascii="宋体" w:hAnsi="宋体" w:eastAsia="宋体" w:cs="宋体"/>
                <w:bCs/>
                <w:color w:val="auto"/>
                <w:kern w:val="0"/>
                <w:sz w:val="21"/>
                <w:szCs w:val="21"/>
                <w:highlight w:val="none"/>
              </w:rPr>
              <w:t>）</w:t>
            </w:r>
            <w:r>
              <w:rPr>
                <w:rFonts w:hint="eastAsia" w:ascii="宋体" w:hAnsi="宋体" w:eastAsia="宋体" w:cs="宋体"/>
                <w:color w:val="auto"/>
                <w:sz w:val="21"/>
                <w:szCs w:val="21"/>
                <w:highlight w:val="none"/>
              </w:rPr>
              <w:t>；</w:t>
            </w:r>
          </w:p>
          <w:p w14:paraId="68ABF4CB">
            <w:pPr>
              <w:keepNext w:val="0"/>
              <w:keepLines w:val="0"/>
              <w:pageBreakBefore w:val="0"/>
              <w:shd w:val="clear" w:color="auto" w:fill="auto"/>
              <w:kinsoku/>
              <w:wordWrap w:val="0"/>
              <w:overflowPunct/>
              <w:topLinePunct w:val="0"/>
              <w:bidi w:val="0"/>
              <w:spacing w:line="360" w:lineRule="exact"/>
              <w:ind w:left="0" w:left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）发票；</w:t>
            </w:r>
          </w:p>
          <w:p w14:paraId="4F2D5080">
            <w:pPr>
              <w:keepNext w:val="0"/>
              <w:keepLines w:val="0"/>
              <w:pageBreakBefore w:val="0"/>
              <w:numPr>
                <w:ilvl w:val="0"/>
                <w:numId w:val="0"/>
              </w:numPr>
              <w:shd w:val="clear" w:color="auto" w:fill="auto"/>
              <w:kinsoku/>
              <w:overflowPunct/>
              <w:topLinePunct w:val="0"/>
              <w:bidi w:val="0"/>
              <w:spacing w:line="360" w:lineRule="exact"/>
              <w:ind w:left="0" w:leftChars="0"/>
              <w:jc w:val="both"/>
              <w:textAlignment w:val="auto"/>
              <w:rPr>
                <w:rFonts w:hint="eastAsia" w:ascii="宋体" w:hAnsi="宋体" w:eastAsia="宋体" w:cs="宋体"/>
                <w:bCs/>
                <w:color w:val="auto"/>
                <w:kern w:val="0"/>
                <w:sz w:val="21"/>
                <w:szCs w:val="21"/>
                <w:highlight w:val="none"/>
              </w:rPr>
            </w:pPr>
            <w:r>
              <w:rPr>
                <w:rFonts w:hint="eastAsia" w:ascii="宋体" w:hAnsi="宋体" w:eastAsia="宋体" w:cs="宋体"/>
                <w:b w:val="0"/>
                <w:bCs w:val="0"/>
                <w:color w:val="auto"/>
                <w:sz w:val="21"/>
                <w:szCs w:val="21"/>
                <w:highlight w:val="none"/>
                <w:lang w:eastAsia="zh-CN"/>
              </w:rPr>
              <w:t>合同关键页和发票缺一不可。</w:t>
            </w:r>
          </w:p>
          <w:p w14:paraId="14B995FE">
            <w:pPr>
              <w:keepNext w:val="0"/>
              <w:keepLines w:val="0"/>
              <w:pageBreakBefore w:val="0"/>
              <w:numPr>
                <w:ilvl w:val="0"/>
                <w:numId w:val="6"/>
              </w:numPr>
              <w:shd w:val="clear" w:color="auto" w:fill="auto"/>
              <w:kinsoku/>
              <w:overflowPunct/>
              <w:topLinePunct w:val="0"/>
              <w:bidi w:val="0"/>
              <w:spacing w:line="360" w:lineRule="exact"/>
              <w:ind w:left="0" w:leftChars="0"/>
              <w:jc w:val="both"/>
              <w:textAlignment w:val="auto"/>
              <w:rPr>
                <w:rFonts w:hint="eastAsia" w:ascii="宋体" w:hAnsi="宋体" w:eastAsia="宋体" w:cs="宋体"/>
                <w:kern w:val="0"/>
                <w:sz w:val="21"/>
                <w:szCs w:val="21"/>
                <w:highlight w:val="none"/>
              </w:rPr>
            </w:pPr>
            <w:r>
              <w:rPr>
                <w:rFonts w:hint="eastAsia" w:ascii="宋体" w:hAnsi="宋体" w:eastAsia="宋体" w:cs="宋体"/>
                <w:bCs/>
                <w:color w:val="auto"/>
                <w:kern w:val="0"/>
                <w:sz w:val="21"/>
                <w:szCs w:val="21"/>
                <w:highlight w:val="none"/>
              </w:rPr>
              <w:t>评分中若出现未提供证明资料或凭所提供资料无法判断是否得分</w:t>
            </w:r>
            <w:r>
              <w:rPr>
                <w:rFonts w:hint="eastAsia" w:ascii="宋体" w:hAnsi="宋体" w:eastAsia="宋体" w:cs="宋体"/>
                <w:bCs/>
                <w:color w:val="auto"/>
                <w:kern w:val="0"/>
                <w:sz w:val="21"/>
                <w:szCs w:val="21"/>
                <w:highlight w:val="none"/>
                <w:lang w:eastAsia="zh-CN"/>
              </w:rPr>
              <w:t>或不符合得分</w:t>
            </w:r>
            <w:r>
              <w:rPr>
                <w:rFonts w:hint="eastAsia" w:ascii="宋体" w:hAnsi="宋体" w:eastAsia="宋体" w:cs="宋体"/>
                <w:bCs/>
                <w:color w:val="auto"/>
                <w:kern w:val="0"/>
                <w:sz w:val="21"/>
                <w:szCs w:val="21"/>
                <w:highlight w:val="none"/>
              </w:rPr>
              <w:t>情形</w:t>
            </w:r>
            <w:r>
              <w:rPr>
                <w:rFonts w:hint="eastAsia" w:ascii="宋体" w:hAnsi="宋体" w:eastAsia="宋体" w:cs="宋体"/>
                <w:bCs/>
                <w:color w:val="auto"/>
                <w:kern w:val="0"/>
                <w:sz w:val="21"/>
                <w:szCs w:val="21"/>
                <w:highlight w:val="none"/>
                <w:lang w:eastAsia="zh-CN"/>
              </w:rPr>
              <w:t>的</w:t>
            </w:r>
            <w:r>
              <w:rPr>
                <w:rFonts w:hint="eastAsia" w:ascii="宋体" w:hAnsi="宋体" w:eastAsia="宋体" w:cs="宋体"/>
                <w:bCs/>
                <w:color w:val="auto"/>
                <w:kern w:val="0"/>
                <w:sz w:val="21"/>
                <w:szCs w:val="21"/>
                <w:highlight w:val="none"/>
              </w:rPr>
              <w:t>，一律按不得分处理。</w:t>
            </w:r>
          </w:p>
        </w:tc>
        <w:tc>
          <w:tcPr>
            <w:tcW w:w="1187" w:type="dxa"/>
            <w:vAlign w:val="center"/>
          </w:tcPr>
          <w:p w14:paraId="53D7C4DA">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rPr>
              <w:t>评委打分</w:t>
            </w:r>
          </w:p>
        </w:tc>
      </w:tr>
      <w:tr w14:paraId="2E2CD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15891855">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kern w:val="0"/>
                <w:sz w:val="21"/>
                <w:szCs w:val="21"/>
                <w:highlight w:val="none"/>
                <w:lang w:val="en-US" w:eastAsia="zh-CN"/>
              </w:rPr>
            </w:pPr>
            <w:bookmarkStart w:id="12" w:name="_Toc2292"/>
            <w:bookmarkStart w:id="13" w:name="_Toc44690430"/>
            <w:bookmarkStart w:id="14" w:name="_Toc44691394"/>
            <w:bookmarkStart w:id="15" w:name="_Toc44691162"/>
            <w:bookmarkStart w:id="16" w:name="_Toc44690703"/>
            <w:r>
              <w:rPr>
                <w:rFonts w:hint="eastAsia" w:ascii="宋体" w:hAnsi="宋体" w:eastAsia="宋体" w:cs="宋体"/>
                <w:kern w:val="0"/>
                <w:sz w:val="21"/>
                <w:szCs w:val="21"/>
                <w:highlight w:val="none"/>
                <w:lang w:val="en-US" w:eastAsia="zh-CN"/>
              </w:rPr>
              <w:t>3</w:t>
            </w:r>
          </w:p>
        </w:tc>
        <w:tc>
          <w:tcPr>
            <w:tcW w:w="1143" w:type="dxa"/>
            <w:vAlign w:val="center"/>
          </w:tcPr>
          <w:p w14:paraId="37F1858A">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履约评价</w:t>
            </w:r>
          </w:p>
        </w:tc>
        <w:tc>
          <w:tcPr>
            <w:tcW w:w="709" w:type="dxa"/>
            <w:vAlign w:val="center"/>
          </w:tcPr>
          <w:p w14:paraId="0BE79D76">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953" w:type="dxa"/>
            <w:vAlign w:val="center"/>
          </w:tcPr>
          <w:p w14:paraId="740FF7B2">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（一）评分内容：</w:t>
            </w:r>
          </w:p>
          <w:p w14:paraId="190EA176">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提供上述“同类项目业绩”中有效业绩的履约评价：</w:t>
            </w:r>
          </w:p>
          <w:p w14:paraId="4383D5B2">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1.每提供1份经采购单位（合同甲方）总体履约评价结果为“优”或履约评价表中同类最高等级的，得1分，最高得5分；</w:t>
            </w:r>
          </w:p>
          <w:p w14:paraId="10325ED4">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2.每提供1份经采购单位（合同甲方）总体履约评价结果为“良”或履约评价表中同类次高等级的，得0.5分，最高得分2.5分；</w:t>
            </w:r>
          </w:p>
          <w:p w14:paraId="4E700200">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3.其他情况不得分。</w:t>
            </w:r>
          </w:p>
          <w:p w14:paraId="7B9DCC6E">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以上合计最高得5分。</w:t>
            </w:r>
          </w:p>
          <w:p w14:paraId="6B82E2DA">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（二）评分依据：</w:t>
            </w:r>
          </w:p>
          <w:p w14:paraId="571AB202">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1.证明文件的内容需包括但不仅限于合同的项目名称、总体履约评价结果、出具证明的签署日期等相关内容，并加盖合同甲方公章；</w:t>
            </w:r>
          </w:p>
          <w:p w14:paraId="4114D768">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2.履约评价中的关键信息需和同类项目业绩中的关键信息保持一致，否则不得分；</w:t>
            </w:r>
          </w:p>
          <w:p w14:paraId="68E86CCA">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b w:val="0"/>
                <w:bCs w:val="0"/>
                <w:color w:val="auto"/>
                <w:sz w:val="21"/>
                <w:szCs w:val="21"/>
                <w:highlight w:val="none"/>
                <w:lang w:val="en-US" w:eastAsia="zh-CN"/>
              </w:rPr>
              <w:t>3.未按要求提供或提供不清晰导致专家无法判断的不得分。</w:t>
            </w:r>
          </w:p>
        </w:tc>
        <w:tc>
          <w:tcPr>
            <w:tcW w:w="1187" w:type="dxa"/>
            <w:vAlign w:val="center"/>
          </w:tcPr>
          <w:p w14:paraId="0078518F">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评委打分</w:t>
            </w:r>
          </w:p>
        </w:tc>
      </w:tr>
      <w:tr w14:paraId="544EA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1FD5193B">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rightChars="0" w:firstLine="0" w:firstLineChars="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sz w:val="21"/>
                <w:szCs w:val="21"/>
                <w:highlight w:val="none"/>
                <w:lang w:val="zh-CN"/>
              </w:rPr>
              <w:t>四、诚信部分</w:t>
            </w:r>
          </w:p>
        </w:tc>
        <w:tc>
          <w:tcPr>
            <w:tcW w:w="1187" w:type="dxa"/>
            <w:vAlign w:val="center"/>
          </w:tcPr>
          <w:p w14:paraId="4FAA7F55">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5</w:t>
            </w:r>
          </w:p>
        </w:tc>
      </w:tr>
      <w:tr w14:paraId="4F14D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3ABACE0C">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sz w:val="21"/>
                <w:szCs w:val="21"/>
                <w:highlight w:val="none"/>
                <w:lang w:val="zh-CN"/>
              </w:rPr>
              <w:t>序号</w:t>
            </w:r>
          </w:p>
        </w:tc>
        <w:tc>
          <w:tcPr>
            <w:tcW w:w="1143" w:type="dxa"/>
            <w:vAlign w:val="center"/>
          </w:tcPr>
          <w:p w14:paraId="242549F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zh-CN"/>
              </w:rPr>
              <w:t>内容</w:t>
            </w:r>
          </w:p>
        </w:tc>
        <w:tc>
          <w:tcPr>
            <w:tcW w:w="709" w:type="dxa"/>
            <w:vAlign w:val="center"/>
          </w:tcPr>
          <w:p w14:paraId="15116960">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zh-CN"/>
              </w:rPr>
              <w:t>权重</w:t>
            </w:r>
          </w:p>
        </w:tc>
        <w:tc>
          <w:tcPr>
            <w:tcW w:w="5953" w:type="dxa"/>
            <w:vAlign w:val="center"/>
          </w:tcPr>
          <w:p w14:paraId="5C97A88F">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z w:val="21"/>
                <w:szCs w:val="21"/>
                <w:highlight w:val="none"/>
                <w:lang w:val="zh-CN"/>
              </w:rPr>
              <w:t>评分规则</w:t>
            </w:r>
          </w:p>
        </w:tc>
        <w:tc>
          <w:tcPr>
            <w:tcW w:w="1187" w:type="dxa"/>
            <w:vAlign w:val="center"/>
          </w:tcPr>
          <w:p w14:paraId="672A1A32">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评分方式</w:t>
            </w:r>
          </w:p>
        </w:tc>
      </w:tr>
      <w:tr w14:paraId="21F27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shd w:val="clear" w:color="auto" w:fill="auto"/>
            <w:vAlign w:val="center"/>
          </w:tcPr>
          <w:p w14:paraId="3435CD1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rPr>
              <w:t>1</w:t>
            </w:r>
          </w:p>
        </w:tc>
        <w:tc>
          <w:tcPr>
            <w:tcW w:w="1143" w:type="dxa"/>
            <w:shd w:val="clear" w:color="auto" w:fill="auto"/>
            <w:vAlign w:val="center"/>
          </w:tcPr>
          <w:p w14:paraId="06498BC1">
            <w:pPr>
              <w:keepNext w:val="0"/>
              <w:keepLines w:val="0"/>
              <w:pageBreakBefore w:val="0"/>
              <w:widowControl/>
              <w:kinsoku/>
              <w:overflowPunct/>
              <w:topLinePunct w:val="0"/>
              <w:bidi w:val="0"/>
              <w:spacing w:line="360" w:lineRule="exact"/>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000000"/>
                <w:kern w:val="0"/>
                <w:sz w:val="21"/>
                <w:szCs w:val="21"/>
                <w:highlight w:val="none"/>
              </w:rPr>
              <w:t>诚信情况</w:t>
            </w:r>
          </w:p>
        </w:tc>
        <w:tc>
          <w:tcPr>
            <w:tcW w:w="709" w:type="dxa"/>
            <w:shd w:val="clear" w:color="auto" w:fill="auto"/>
            <w:vAlign w:val="center"/>
          </w:tcPr>
          <w:p w14:paraId="6A22ECDF">
            <w:pPr>
              <w:keepNext w:val="0"/>
              <w:keepLines w:val="0"/>
              <w:pageBreakBefore w:val="0"/>
              <w:widowControl/>
              <w:kinsoku/>
              <w:overflowPunct/>
              <w:topLinePunct w:val="0"/>
              <w:bidi w:val="0"/>
              <w:spacing w:line="360" w:lineRule="exact"/>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kern w:val="0"/>
                <w:sz w:val="21"/>
                <w:szCs w:val="21"/>
                <w:highlight w:val="none"/>
              </w:rPr>
              <w:t>5</w:t>
            </w:r>
          </w:p>
        </w:tc>
        <w:tc>
          <w:tcPr>
            <w:tcW w:w="5953" w:type="dxa"/>
            <w:shd w:val="clear" w:color="auto" w:fill="auto"/>
            <w:vAlign w:val="center"/>
          </w:tcPr>
          <w:p w14:paraId="67CC7320">
            <w:pPr>
              <w:keepNext w:val="0"/>
              <w:keepLines w:val="0"/>
              <w:pageBreakBefore w:val="0"/>
              <w:widowControl/>
              <w:shd w:val="clear" w:color="auto" w:fill="auto"/>
              <w:kinsoku/>
              <w:overflowPunct/>
              <w:topLinePunct w:val="0"/>
              <w:bidi w:val="0"/>
              <w:spacing w:line="360" w:lineRule="exact"/>
              <w:ind w:left="0"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（一）评分内容</w:t>
            </w:r>
          </w:p>
          <w:p w14:paraId="1E1BB04F">
            <w:pPr>
              <w:keepNext w:val="0"/>
              <w:keepLines w:val="0"/>
              <w:pageBreakBefore w:val="0"/>
              <w:widowControl/>
              <w:shd w:val="clear" w:color="auto" w:fill="auto"/>
              <w:kinsoku/>
              <w:overflowPunct/>
              <w:topLinePunct w:val="0"/>
              <w:bidi w:val="0"/>
              <w:spacing w:line="360" w:lineRule="exact"/>
              <w:ind w:left="0"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投标人存在《深圳市财政局政府采购供应商信用信息管理办法》（深财规〔2023〕3号）列明的一般行政处罚信息、一般违法失信记录信息的，本项不得分，不存在上述情形的本项得</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分。投标人无需提供任何证明材料，评标过程中由工作人员向评审委员会提供供应商诚信查询结果。</w:t>
            </w:r>
          </w:p>
          <w:p w14:paraId="11034A4A">
            <w:pPr>
              <w:keepNext w:val="0"/>
              <w:keepLines w:val="0"/>
              <w:pageBreakBefore w:val="0"/>
              <w:widowControl/>
              <w:shd w:val="clear" w:color="auto" w:fill="auto"/>
              <w:kinsoku/>
              <w:overflowPunct/>
              <w:topLinePunct w:val="0"/>
              <w:bidi w:val="0"/>
              <w:spacing w:line="360" w:lineRule="exact"/>
              <w:ind w:left="0"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（二）评分依据</w:t>
            </w:r>
          </w:p>
          <w:p w14:paraId="6F3CAEC1">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righ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查询渠道：通过“信用中国”（www.creditchina.gov.cn）、“中国政府采购网”（www.ccgp.gov.cn）、“深圳市政府采购监管网”（http://zfcg.sz.gov.cn）以及财政主管部门认定的其他渠道查询供应商信用信息，信用信息以开标当日的查询结果为准。</w:t>
            </w:r>
          </w:p>
        </w:tc>
        <w:tc>
          <w:tcPr>
            <w:tcW w:w="1187" w:type="dxa"/>
            <w:shd w:val="clear" w:color="auto" w:fill="auto"/>
            <w:vAlign w:val="center"/>
          </w:tcPr>
          <w:p w14:paraId="7931ACDB">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评委打分</w:t>
            </w:r>
          </w:p>
        </w:tc>
      </w:tr>
    </w:tbl>
    <w:p w14:paraId="66773709">
      <w:pPr>
        <w:pStyle w:val="4"/>
        <w:spacing w:before="0" w:after="0"/>
        <w:jc w:val="left"/>
        <w:rPr>
          <w:rFonts w:ascii="宋体" w:hAnsi="宋体"/>
          <w:bCs w:val="0"/>
          <w:sz w:val="21"/>
          <w:szCs w:val="21"/>
        </w:rPr>
      </w:pPr>
      <w:r>
        <w:rPr>
          <w:rFonts w:hint="eastAsia" w:ascii="宋体" w:hAnsi="宋体"/>
          <w:bCs w:val="0"/>
          <w:sz w:val="21"/>
          <w:szCs w:val="21"/>
        </w:rPr>
        <w:t>备注：</w:t>
      </w:r>
      <w:bookmarkEnd w:id="12"/>
      <w:bookmarkEnd w:id="13"/>
      <w:bookmarkEnd w:id="14"/>
      <w:bookmarkEnd w:id="15"/>
      <w:bookmarkEnd w:id="16"/>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=价格部分得分+技术部分得分+商务部分+诚信部分得分，最高100分。</w:t>
      </w:r>
    </w:p>
    <w:p w14:paraId="79A1F89A">
      <w:pPr>
        <w:pStyle w:val="3"/>
        <w:spacing w:before="0" w:after="0"/>
      </w:pPr>
      <w:bookmarkStart w:id="17" w:name="_Toc26711"/>
      <w:r>
        <w:rPr>
          <w:rFonts w:hint="eastAsia"/>
        </w:rPr>
        <w:t>1、资质证书有效期</w:t>
      </w:r>
      <w:bookmarkEnd w:id="17"/>
    </w:p>
    <w:p w14:paraId="2B07ED7E">
      <w:pPr>
        <w:spacing w:line="360" w:lineRule="auto"/>
        <w:ind w:firstLine="424" w:firstLineChars="202"/>
        <w:rPr>
          <w:rFonts w:ascii="宋体" w:hAnsi="宋体"/>
        </w:rPr>
      </w:pPr>
      <w:r>
        <w:rPr>
          <w:rFonts w:hint="eastAsia" w:ascii="宋体" w:hAnsi="宋体"/>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供应商提供年审证明的可按原资质响应；若供应商正在申报上一级别资质，在未获批准之前，仍按原级别资质响应。</w:t>
      </w:r>
    </w:p>
    <w:p w14:paraId="25261F4D">
      <w:pPr>
        <w:adjustRightInd w:val="0"/>
        <w:spacing w:line="360" w:lineRule="exact"/>
        <w:rPr>
          <w:rFonts w:ascii="宋体" w:hAnsi="宋体"/>
          <w:b/>
        </w:rPr>
      </w:pPr>
    </w:p>
    <w:p w14:paraId="7B2CE8EC">
      <w:pPr>
        <w:pStyle w:val="3"/>
        <w:spacing w:before="0" w:after="0"/>
        <w:rPr>
          <w:rFonts w:asciiTheme="minorEastAsia" w:hAnsiTheme="minorEastAsia" w:eastAsiaTheme="minorEastAsia"/>
        </w:rPr>
      </w:pPr>
      <w:bookmarkStart w:id="18" w:name="_Toc135293167"/>
      <w:r>
        <w:rPr>
          <w:rFonts w:hint="eastAsia" w:asciiTheme="minorEastAsia" w:hAnsiTheme="minorEastAsia" w:eastAsiaTheme="minorEastAsia"/>
        </w:rPr>
        <w:t>2、政府采购扶持政策</w:t>
      </w:r>
      <w:bookmarkEnd w:id="18"/>
    </w:p>
    <w:p w14:paraId="3369667D">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w:t>
      </w:r>
      <w:r>
        <w:rPr>
          <w:rFonts w:hint="eastAsia" w:ascii="宋体" w:hAnsi="宋体"/>
          <w:b/>
          <w:snapToGrid w:val="0"/>
          <w:szCs w:val="21"/>
          <w:highlight w:val="yellow"/>
          <w:u w:val="single"/>
          <w:lang w:eastAsia="zh-CN"/>
        </w:rPr>
        <w:t>租赁和商务服务业</w:t>
      </w:r>
      <w:r>
        <w:rPr>
          <w:rFonts w:hint="eastAsia" w:ascii="宋体" w:hAnsi="宋体"/>
          <w:b/>
          <w:snapToGrid w:val="0"/>
          <w:szCs w:val="21"/>
          <w:highlight w:val="yellow"/>
          <w:u w:val="single"/>
        </w:rPr>
        <w:t xml:space="preserve"> </w:t>
      </w:r>
      <w:r>
        <w:rPr>
          <w:rFonts w:hint="eastAsia" w:ascii="宋体" w:hAnsi="宋体"/>
          <w:b/>
          <w:snapToGrid w:val="0"/>
          <w:szCs w:val="21"/>
          <w:highlight w:val="yellow"/>
        </w:rPr>
        <w:t>，</w:t>
      </w:r>
      <w:r>
        <w:rPr>
          <w:rFonts w:hint="eastAsia" w:ascii="宋体" w:hAnsi="宋体"/>
          <w:b/>
          <w:snapToGrid w:val="0"/>
          <w:szCs w:val="21"/>
          <w:highlight w:val="yellow"/>
          <w:lang w:eastAsia="zh-CN"/>
        </w:rPr>
        <w:t>供应商</w:t>
      </w:r>
      <w:r>
        <w:rPr>
          <w:rFonts w:hint="eastAsia" w:ascii="宋体" w:hAnsi="宋体"/>
          <w:b/>
          <w:snapToGrid w:val="0"/>
          <w:szCs w:val="21"/>
          <w:highlight w:val="yellow"/>
        </w:rPr>
        <w:t>应根据《工业和信息化部、国家统计局、国家发展和改革委员会、财政部关于印发中小企业划型标准规定的通知》(工信部联企业〔2011〕300号)规定的中小企业划型标准填写《中小企业声明函》。</w:t>
      </w:r>
    </w:p>
    <w:p w14:paraId="13D11436">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257C6A1A">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380AB1E3">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328BD26D">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w:t>
      </w:r>
      <w:r>
        <w:rPr>
          <w:rFonts w:hint="eastAsia" w:asciiTheme="minorEastAsia" w:hAnsiTheme="minorEastAsia" w:eastAsiaTheme="minorEastAsia"/>
          <w:szCs w:val="22"/>
          <w:lang w:eastAsia="zh-CN"/>
        </w:rPr>
        <w:t>响应文件</w:t>
      </w:r>
      <w:r>
        <w:rPr>
          <w:rFonts w:hint="eastAsia" w:asciiTheme="minorEastAsia" w:hAnsiTheme="minorEastAsia" w:eastAsiaTheme="minorEastAsia"/>
          <w:szCs w:val="22"/>
        </w:rPr>
        <w:t>中提交了符合政府采购扶持政策的证明材料的</w:t>
      </w:r>
      <w:r>
        <w:rPr>
          <w:rFonts w:hint="eastAsia" w:asciiTheme="minorEastAsia" w:hAnsiTheme="minorEastAsia" w:eastAsiaTheme="minorEastAsia"/>
          <w:szCs w:val="22"/>
          <w:lang w:eastAsia="zh-CN"/>
        </w:rPr>
        <w:t>供应商</w:t>
      </w:r>
      <w:r>
        <w:rPr>
          <w:rFonts w:hint="eastAsia" w:asciiTheme="minorEastAsia" w:hAnsiTheme="minorEastAsia" w:eastAsiaTheme="minorEastAsia"/>
          <w:szCs w:val="22"/>
        </w:rPr>
        <w:t>，</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74C80344">
      <w:pPr>
        <w:spacing w:after="60" w:line="360" w:lineRule="auto"/>
        <w:ind w:firstLine="424" w:firstLineChars="202"/>
        <w:rPr>
          <w:rFonts w:ascii="宋体" w:hAnsi="宋体"/>
          <w:szCs w:val="22"/>
        </w:rPr>
      </w:pPr>
      <w:r>
        <w:rPr>
          <w:rFonts w:hint="eastAsia" w:ascii="宋体" w:hAnsi="宋体"/>
          <w:szCs w:val="22"/>
        </w:rPr>
        <w:t>（3）分包意向协议约定，小型、微型企业的协议合同金额占到合同总金额30%以上的，可给予</w:t>
      </w:r>
      <w:r>
        <w:rPr>
          <w:rFonts w:hint="eastAsia" w:ascii="宋体" w:hAnsi="宋体"/>
          <w:szCs w:val="22"/>
          <w:lang w:eastAsia="zh-CN"/>
        </w:rPr>
        <w:t>供应商</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7F8F46C2">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0C0CE946">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val="en-US" w:eastAsia="zh-CN"/>
        </w:rPr>
        <w:t>三</w:t>
      </w:r>
      <w:r>
        <w:rPr>
          <w:rFonts w:hint="eastAsia" w:ascii="宋体" w:hAnsi="宋体" w:eastAsia="宋体" w:cs="宋体"/>
          <w:b/>
          <w:sz w:val="21"/>
          <w:szCs w:val="21"/>
        </w:rPr>
        <w:t>）</w:t>
      </w:r>
      <w:r>
        <w:rPr>
          <w:rFonts w:hint="eastAsia" w:ascii="Times New Roman" w:hAnsi="Times New Roman"/>
          <w:b/>
          <w:szCs w:val="24"/>
        </w:rPr>
        <w:t>其他说明</w:t>
      </w:r>
    </w:p>
    <w:p w14:paraId="3F79819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7CDA981F">
      <w:pPr>
        <w:widowControl/>
        <w:jc w:val="left"/>
      </w:pPr>
      <w:r>
        <w:br w:type="page"/>
      </w:r>
    </w:p>
    <w:p w14:paraId="7F116BB0">
      <w:pPr>
        <w:pStyle w:val="22"/>
      </w:pPr>
    </w:p>
    <w:p w14:paraId="5BCD737B">
      <w:pPr>
        <w:pStyle w:val="2"/>
        <w:spacing w:beforeLines="50"/>
      </w:pPr>
      <w:bookmarkStart w:id="19" w:name="_Toc22938"/>
      <w:r>
        <w:rPr>
          <w:rFonts w:hint="eastAsia"/>
        </w:rPr>
        <w:t>第五章  供应商须知前附表</w:t>
      </w:r>
      <w:bookmarkEnd w:id="19"/>
    </w:p>
    <w:p w14:paraId="6D41DF3F">
      <w:pPr>
        <w:autoSpaceDE w:val="0"/>
        <w:autoSpaceDN w:val="0"/>
        <w:adjustRightInd w:val="0"/>
        <w:spacing w:line="360" w:lineRule="auto"/>
        <w:ind w:firstLine="480" w:firstLineChars="200"/>
        <w:jc w:val="left"/>
      </w:pPr>
      <w:r>
        <w:rPr>
          <w:rFonts w:hint="eastAsia" w:ascii="仿宋_GB2312" w:eastAsia="仿宋_GB2312"/>
          <w:sz w:val="24"/>
        </w:rPr>
        <w:t>供应商须知前附表（以下简称“前附表”）是对采购文件第六章“供应商须知”的具体补充和说明，供应商须知和前附表有不一致之处，应以前附表为准。前附表的条款号与供应商须知条款号是一一对应的关系。</w:t>
      </w:r>
    </w:p>
    <w:tbl>
      <w:tblPr>
        <w:tblStyle w:val="52"/>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60746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38BD5C2">
            <w:pPr>
              <w:pStyle w:val="28"/>
              <w:spacing w:line="360" w:lineRule="auto"/>
              <w:jc w:val="center"/>
              <w:rPr>
                <w:rFonts w:hAnsi="宋体"/>
              </w:rPr>
            </w:pPr>
            <w:r>
              <w:rPr>
                <w:rFonts w:hint="eastAsia" w:hAnsi="宋体"/>
              </w:rPr>
              <w:t>项号</w:t>
            </w:r>
          </w:p>
        </w:tc>
        <w:tc>
          <w:tcPr>
            <w:tcW w:w="1038" w:type="dxa"/>
            <w:vAlign w:val="center"/>
          </w:tcPr>
          <w:p w14:paraId="0B6CC1EE">
            <w:pPr>
              <w:pStyle w:val="28"/>
              <w:spacing w:line="360" w:lineRule="auto"/>
              <w:jc w:val="center"/>
              <w:rPr>
                <w:rFonts w:hAnsi="宋体"/>
              </w:rPr>
            </w:pPr>
            <w:r>
              <w:rPr>
                <w:rFonts w:hint="eastAsia" w:hAnsi="宋体"/>
              </w:rPr>
              <w:t>条款号</w:t>
            </w:r>
          </w:p>
        </w:tc>
        <w:tc>
          <w:tcPr>
            <w:tcW w:w="1843" w:type="dxa"/>
            <w:vAlign w:val="center"/>
          </w:tcPr>
          <w:p w14:paraId="00389FB9">
            <w:pPr>
              <w:pStyle w:val="28"/>
              <w:spacing w:line="360" w:lineRule="auto"/>
              <w:jc w:val="center"/>
              <w:rPr>
                <w:rFonts w:hAnsi="宋体"/>
              </w:rPr>
            </w:pPr>
            <w:r>
              <w:rPr>
                <w:rFonts w:hint="eastAsia" w:hAnsi="宋体"/>
              </w:rPr>
              <w:t>内容</w:t>
            </w:r>
          </w:p>
        </w:tc>
        <w:tc>
          <w:tcPr>
            <w:tcW w:w="6520" w:type="dxa"/>
          </w:tcPr>
          <w:p w14:paraId="169D4038">
            <w:pPr>
              <w:pStyle w:val="28"/>
              <w:spacing w:line="360" w:lineRule="auto"/>
              <w:jc w:val="center"/>
              <w:rPr>
                <w:rFonts w:hAnsi="宋体"/>
              </w:rPr>
            </w:pPr>
            <w:r>
              <w:rPr>
                <w:rFonts w:hint="eastAsia" w:hAnsi="宋体"/>
              </w:rPr>
              <w:t>内容规定</w:t>
            </w:r>
          </w:p>
        </w:tc>
      </w:tr>
      <w:tr w14:paraId="28FE92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834705B">
            <w:pPr>
              <w:pStyle w:val="28"/>
              <w:spacing w:line="360" w:lineRule="auto"/>
              <w:jc w:val="center"/>
              <w:rPr>
                <w:rFonts w:hAnsi="宋体"/>
              </w:rPr>
            </w:pPr>
            <w:r>
              <w:rPr>
                <w:rFonts w:hAnsi="宋体"/>
              </w:rPr>
              <w:t>1</w:t>
            </w:r>
          </w:p>
        </w:tc>
        <w:tc>
          <w:tcPr>
            <w:tcW w:w="1038" w:type="dxa"/>
            <w:vAlign w:val="center"/>
          </w:tcPr>
          <w:p w14:paraId="5CDEAEF2">
            <w:pPr>
              <w:pStyle w:val="28"/>
              <w:spacing w:line="360" w:lineRule="auto"/>
              <w:jc w:val="center"/>
              <w:rPr>
                <w:rFonts w:hAnsi="宋体"/>
              </w:rPr>
            </w:pPr>
            <w:r>
              <w:rPr>
                <w:rFonts w:hAnsi="宋体"/>
              </w:rPr>
              <w:t>1.1</w:t>
            </w:r>
          </w:p>
        </w:tc>
        <w:tc>
          <w:tcPr>
            <w:tcW w:w="1843" w:type="dxa"/>
            <w:vAlign w:val="center"/>
          </w:tcPr>
          <w:p w14:paraId="77B2EEEF">
            <w:pPr>
              <w:pStyle w:val="28"/>
              <w:spacing w:line="360" w:lineRule="exact"/>
              <w:jc w:val="center"/>
              <w:rPr>
                <w:rFonts w:hAnsi="宋体"/>
              </w:rPr>
            </w:pPr>
            <w:r>
              <w:rPr>
                <w:rFonts w:hint="eastAsia" w:hAnsi="宋体"/>
              </w:rPr>
              <w:t>项目名称</w:t>
            </w:r>
          </w:p>
        </w:tc>
        <w:tc>
          <w:tcPr>
            <w:tcW w:w="6520" w:type="dxa"/>
            <w:vAlign w:val="center"/>
          </w:tcPr>
          <w:p w14:paraId="51B9821A">
            <w:pPr>
              <w:pStyle w:val="28"/>
              <w:spacing w:line="360" w:lineRule="exact"/>
              <w:rPr>
                <w:rFonts w:hint="eastAsia" w:eastAsia="宋体"/>
                <w:lang w:eastAsia="zh-CN"/>
              </w:rPr>
            </w:pPr>
            <w:r>
              <w:rPr>
                <w:rFonts w:hint="eastAsia" w:hAnsi="宋体"/>
                <w:lang w:eastAsia="zh-CN"/>
              </w:rPr>
              <w:t>2026年度医疗责任保险（重新采购第1次）</w:t>
            </w:r>
          </w:p>
        </w:tc>
      </w:tr>
      <w:tr w14:paraId="108E81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2A46625">
            <w:pPr>
              <w:pStyle w:val="28"/>
              <w:spacing w:line="360" w:lineRule="auto"/>
              <w:jc w:val="center"/>
              <w:rPr>
                <w:rFonts w:hAnsi="宋体"/>
              </w:rPr>
            </w:pPr>
            <w:r>
              <w:rPr>
                <w:rFonts w:hint="eastAsia" w:hAnsi="宋体"/>
              </w:rPr>
              <w:t>2</w:t>
            </w:r>
          </w:p>
        </w:tc>
        <w:tc>
          <w:tcPr>
            <w:tcW w:w="1038" w:type="dxa"/>
            <w:vAlign w:val="center"/>
          </w:tcPr>
          <w:p w14:paraId="6A5EC961">
            <w:pPr>
              <w:pStyle w:val="28"/>
              <w:spacing w:line="360" w:lineRule="auto"/>
              <w:jc w:val="center"/>
              <w:rPr>
                <w:rFonts w:hAnsi="宋体"/>
              </w:rPr>
            </w:pPr>
            <w:r>
              <w:rPr>
                <w:rFonts w:hAnsi="宋体"/>
              </w:rPr>
              <w:t>2.1</w:t>
            </w:r>
          </w:p>
        </w:tc>
        <w:tc>
          <w:tcPr>
            <w:tcW w:w="1843" w:type="dxa"/>
            <w:vAlign w:val="center"/>
          </w:tcPr>
          <w:p w14:paraId="7AB82F88">
            <w:pPr>
              <w:pStyle w:val="28"/>
              <w:spacing w:line="360" w:lineRule="exact"/>
              <w:jc w:val="center"/>
              <w:rPr>
                <w:rFonts w:hAnsi="宋体"/>
              </w:rPr>
            </w:pPr>
            <w:r>
              <w:rPr>
                <w:rFonts w:hint="eastAsia" w:hAnsi="宋体"/>
              </w:rPr>
              <w:t>采购人</w:t>
            </w:r>
          </w:p>
        </w:tc>
        <w:tc>
          <w:tcPr>
            <w:tcW w:w="6520" w:type="dxa"/>
            <w:vAlign w:val="center"/>
          </w:tcPr>
          <w:p w14:paraId="3D725609">
            <w:pPr>
              <w:pStyle w:val="28"/>
              <w:spacing w:line="360" w:lineRule="exact"/>
              <w:rPr>
                <w:rFonts w:hint="eastAsia" w:hAnsi="宋体" w:eastAsia="宋体"/>
                <w:szCs w:val="24"/>
                <w:lang w:eastAsia="zh-CN"/>
              </w:rPr>
            </w:pPr>
            <w:r>
              <w:rPr>
                <w:rFonts w:hint="eastAsia" w:hAnsi="宋体"/>
                <w:snapToGrid w:val="0"/>
                <w:szCs w:val="21"/>
                <w:lang w:eastAsia="zh-CN"/>
              </w:rPr>
              <w:t xml:space="preserve">深圳市龙岗区人民医院 </w:t>
            </w:r>
          </w:p>
        </w:tc>
      </w:tr>
      <w:tr w14:paraId="53B77B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EDE02A0">
            <w:pPr>
              <w:pStyle w:val="28"/>
              <w:spacing w:line="360" w:lineRule="auto"/>
              <w:jc w:val="center"/>
              <w:rPr>
                <w:rFonts w:hAnsi="宋体"/>
              </w:rPr>
            </w:pPr>
            <w:r>
              <w:rPr>
                <w:rFonts w:hint="eastAsia" w:hAnsi="宋体"/>
              </w:rPr>
              <w:t>3</w:t>
            </w:r>
          </w:p>
        </w:tc>
        <w:tc>
          <w:tcPr>
            <w:tcW w:w="1038" w:type="dxa"/>
            <w:vAlign w:val="center"/>
          </w:tcPr>
          <w:p w14:paraId="4C31CA3C">
            <w:pPr>
              <w:pStyle w:val="28"/>
              <w:spacing w:line="360" w:lineRule="auto"/>
              <w:jc w:val="center"/>
              <w:rPr>
                <w:rFonts w:hAnsi="宋体"/>
              </w:rPr>
            </w:pPr>
            <w:r>
              <w:rPr>
                <w:rFonts w:hAnsi="宋体"/>
              </w:rPr>
              <w:t>2.2</w:t>
            </w:r>
          </w:p>
        </w:tc>
        <w:tc>
          <w:tcPr>
            <w:tcW w:w="1843" w:type="dxa"/>
            <w:vAlign w:val="center"/>
          </w:tcPr>
          <w:p w14:paraId="29A93FD4">
            <w:pPr>
              <w:pStyle w:val="28"/>
              <w:spacing w:line="360" w:lineRule="exact"/>
              <w:jc w:val="center"/>
              <w:rPr>
                <w:rFonts w:hAnsi="宋体"/>
              </w:rPr>
            </w:pPr>
            <w:r>
              <w:rPr>
                <w:rFonts w:hint="eastAsia" w:hAnsi="宋体"/>
              </w:rPr>
              <w:t>采购代理机构</w:t>
            </w:r>
          </w:p>
        </w:tc>
        <w:tc>
          <w:tcPr>
            <w:tcW w:w="6520" w:type="dxa"/>
            <w:vAlign w:val="center"/>
          </w:tcPr>
          <w:p w14:paraId="03E4DC2E">
            <w:pPr>
              <w:pStyle w:val="28"/>
              <w:spacing w:line="360" w:lineRule="exact"/>
              <w:rPr>
                <w:rFonts w:hAnsi="宋体"/>
              </w:rPr>
            </w:pPr>
            <w:r>
              <w:rPr>
                <w:rFonts w:hAnsi="宋体"/>
              </w:rPr>
              <w:t>深圳市中正招标有限公司</w:t>
            </w:r>
          </w:p>
        </w:tc>
      </w:tr>
      <w:tr w14:paraId="713862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3747F0FE">
            <w:pPr>
              <w:pStyle w:val="28"/>
              <w:spacing w:line="360" w:lineRule="auto"/>
              <w:jc w:val="center"/>
              <w:rPr>
                <w:rFonts w:hAnsi="宋体"/>
              </w:rPr>
            </w:pPr>
            <w:r>
              <w:rPr>
                <w:rFonts w:hint="eastAsia" w:hAnsi="宋体"/>
              </w:rPr>
              <w:t>4</w:t>
            </w:r>
          </w:p>
        </w:tc>
        <w:tc>
          <w:tcPr>
            <w:tcW w:w="1038" w:type="dxa"/>
            <w:vAlign w:val="center"/>
          </w:tcPr>
          <w:p w14:paraId="081D8F59">
            <w:pPr>
              <w:pStyle w:val="28"/>
              <w:spacing w:line="360" w:lineRule="auto"/>
              <w:jc w:val="center"/>
              <w:rPr>
                <w:rFonts w:hAnsi="宋体"/>
              </w:rPr>
            </w:pPr>
            <w:r>
              <w:rPr>
                <w:rFonts w:hint="eastAsia" w:hAnsi="宋体"/>
              </w:rPr>
              <w:t>3.1</w:t>
            </w:r>
          </w:p>
        </w:tc>
        <w:tc>
          <w:tcPr>
            <w:tcW w:w="1843" w:type="dxa"/>
            <w:vAlign w:val="center"/>
          </w:tcPr>
          <w:p w14:paraId="0055C9B1">
            <w:pPr>
              <w:pStyle w:val="28"/>
              <w:spacing w:line="360" w:lineRule="exact"/>
              <w:jc w:val="center"/>
              <w:rPr>
                <w:rFonts w:hAnsi="宋体"/>
              </w:rPr>
            </w:pPr>
            <w:r>
              <w:rPr>
                <w:rFonts w:hint="eastAsia" w:hAnsi="宋体"/>
              </w:rPr>
              <w:t>资金来源</w:t>
            </w:r>
          </w:p>
        </w:tc>
        <w:tc>
          <w:tcPr>
            <w:tcW w:w="6520" w:type="dxa"/>
            <w:vAlign w:val="center"/>
          </w:tcPr>
          <w:p w14:paraId="14A6CD64">
            <w:pPr>
              <w:pStyle w:val="28"/>
              <w:spacing w:line="360" w:lineRule="exact"/>
              <w:rPr>
                <w:rFonts w:hAnsi="宋体"/>
              </w:rPr>
            </w:pPr>
            <w:r>
              <w:rPr>
                <w:rFonts w:hint="eastAsia" w:hAnsi="宋体"/>
                <w:lang w:val="en-US" w:eastAsia="zh-CN"/>
              </w:rPr>
              <w:t>自筹</w:t>
            </w:r>
            <w:r>
              <w:rPr>
                <w:rFonts w:hint="eastAsia" w:hAnsi="宋体"/>
              </w:rPr>
              <w:t>资金</w:t>
            </w:r>
          </w:p>
        </w:tc>
      </w:tr>
      <w:tr w14:paraId="13FCDA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7B4D9EDF">
            <w:pPr>
              <w:pStyle w:val="28"/>
              <w:spacing w:line="360" w:lineRule="auto"/>
              <w:jc w:val="center"/>
              <w:rPr>
                <w:rFonts w:hAnsi="宋体"/>
              </w:rPr>
            </w:pPr>
            <w:r>
              <w:rPr>
                <w:rFonts w:hint="eastAsia" w:hAnsi="宋体"/>
              </w:rPr>
              <w:t>5</w:t>
            </w:r>
          </w:p>
        </w:tc>
        <w:tc>
          <w:tcPr>
            <w:tcW w:w="1038" w:type="dxa"/>
            <w:vAlign w:val="center"/>
          </w:tcPr>
          <w:p w14:paraId="637BA3D0">
            <w:pPr>
              <w:pStyle w:val="28"/>
              <w:spacing w:line="360" w:lineRule="auto"/>
              <w:jc w:val="center"/>
              <w:rPr>
                <w:rFonts w:hAnsi="宋体"/>
              </w:rPr>
            </w:pPr>
            <w:r>
              <w:rPr>
                <w:rFonts w:hint="eastAsia" w:hAnsi="宋体"/>
              </w:rPr>
              <w:t>4.7</w:t>
            </w:r>
          </w:p>
        </w:tc>
        <w:tc>
          <w:tcPr>
            <w:tcW w:w="1843" w:type="dxa"/>
            <w:vAlign w:val="center"/>
          </w:tcPr>
          <w:p w14:paraId="05D24846">
            <w:pPr>
              <w:pStyle w:val="28"/>
              <w:spacing w:line="360" w:lineRule="auto"/>
              <w:jc w:val="center"/>
              <w:rPr>
                <w:rFonts w:hAnsi="宋体"/>
              </w:rPr>
            </w:pPr>
            <w:r>
              <w:rPr>
                <w:rFonts w:hint="eastAsia" w:hAnsi="宋体"/>
              </w:rPr>
              <w:t>供应商资格要求</w:t>
            </w:r>
          </w:p>
        </w:tc>
        <w:tc>
          <w:tcPr>
            <w:tcW w:w="6520" w:type="dxa"/>
            <w:vAlign w:val="center"/>
          </w:tcPr>
          <w:p w14:paraId="5A7C30D3">
            <w:pPr>
              <w:pStyle w:val="28"/>
              <w:spacing w:line="360" w:lineRule="auto"/>
              <w:rPr>
                <w:rFonts w:hAnsi="宋体"/>
                <w:szCs w:val="21"/>
              </w:rPr>
            </w:pPr>
            <w:r>
              <w:rPr>
                <w:rFonts w:hint="eastAsia" w:hAnsi="宋体"/>
                <w:szCs w:val="21"/>
              </w:rPr>
              <w:t>详见《第一章 采购邀请》“申请人的资格要求”</w:t>
            </w:r>
          </w:p>
          <w:p w14:paraId="0E4B4A7F">
            <w:pPr>
              <w:pStyle w:val="28"/>
              <w:spacing w:line="360" w:lineRule="auto"/>
              <w:rPr>
                <w:rFonts w:hAnsi="宋体"/>
                <w:b/>
                <w:bCs/>
                <w:szCs w:val="21"/>
              </w:rPr>
            </w:pPr>
            <w:r>
              <w:rPr>
                <w:rFonts w:hint="eastAsia" w:hAnsi="宋体"/>
                <w:b/>
                <w:bCs/>
                <w:szCs w:val="21"/>
              </w:rPr>
              <w:t>（供应商资格证明文件详见第七章 响应文件格式）</w:t>
            </w:r>
          </w:p>
        </w:tc>
      </w:tr>
      <w:tr w14:paraId="54B5AB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472FE69">
            <w:pPr>
              <w:pStyle w:val="28"/>
              <w:spacing w:line="360" w:lineRule="auto"/>
              <w:jc w:val="center"/>
              <w:rPr>
                <w:rFonts w:hAnsi="宋体"/>
              </w:rPr>
            </w:pPr>
            <w:r>
              <w:rPr>
                <w:rFonts w:hint="eastAsia" w:hAnsi="宋体"/>
              </w:rPr>
              <w:t>6</w:t>
            </w:r>
          </w:p>
        </w:tc>
        <w:tc>
          <w:tcPr>
            <w:tcW w:w="1038" w:type="dxa"/>
            <w:vAlign w:val="center"/>
          </w:tcPr>
          <w:p w14:paraId="7C891AFF">
            <w:pPr>
              <w:pStyle w:val="28"/>
              <w:spacing w:line="360" w:lineRule="auto"/>
              <w:jc w:val="center"/>
              <w:rPr>
                <w:rFonts w:hAnsi="宋体"/>
              </w:rPr>
            </w:pPr>
            <w:r>
              <w:rPr>
                <w:rFonts w:hint="eastAsia" w:hAnsi="宋体"/>
              </w:rPr>
              <w:t>4.8</w:t>
            </w:r>
          </w:p>
        </w:tc>
        <w:tc>
          <w:tcPr>
            <w:tcW w:w="1843" w:type="dxa"/>
            <w:vAlign w:val="center"/>
          </w:tcPr>
          <w:p w14:paraId="4E56B8D7">
            <w:pPr>
              <w:pStyle w:val="28"/>
              <w:spacing w:line="360" w:lineRule="auto"/>
              <w:jc w:val="center"/>
              <w:rPr>
                <w:rFonts w:hAnsi="宋体"/>
              </w:rPr>
            </w:pPr>
            <w:r>
              <w:rPr>
                <w:rFonts w:hint="eastAsia" w:hAnsi="宋体"/>
              </w:rPr>
              <w:t>联合体响应</w:t>
            </w:r>
          </w:p>
        </w:tc>
        <w:tc>
          <w:tcPr>
            <w:tcW w:w="6520" w:type="dxa"/>
          </w:tcPr>
          <w:p w14:paraId="2D46E7A7">
            <w:pPr>
              <w:pStyle w:val="28"/>
              <w:spacing w:line="360" w:lineRule="auto"/>
              <w:rPr>
                <w:rFonts w:hAnsi="宋体"/>
              </w:rPr>
            </w:pPr>
            <w:r>
              <w:rPr>
                <w:rFonts w:hint="eastAsia" w:hAnsi="宋体"/>
              </w:rPr>
              <w:t>不接受</w:t>
            </w:r>
          </w:p>
        </w:tc>
      </w:tr>
      <w:tr w14:paraId="61B361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A87F14">
            <w:pPr>
              <w:pStyle w:val="28"/>
              <w:spacing w:line="360" w:lineRule="auto"/>
              <w:jc w:val="center"/>
              <w:rPr>
                <w:rFonts w:hAnsi="宋体"/>
              </w:rPr>
            </w:pPr>
            <w:r>
              <w:rPr>
                <w:rFonts w:hint="eastAsia" w:hAnsi="宋体"/>
              </w:rPr>
              <w:t>7</w:t>
            </w:r>
          </w:p>
        </w:tc>
        <w:tc>
          <w:tcPr>
            <w:tcW w:w="1038" w:type="dxa"/>
            <w:vAlign w:val="center"/>
          </w:tcPr>
          <w:p w14:paraId="449E09D2">
            <w:pPr>
              <w:pStyle w:val="28"/>
              <w:spacing w:line="360" w:lineRule="auto"/>
              <w:jc w:val="center"/>
              <w:rPr>
                <w:rFonts w:hAnsi="宋体"/>
              </w:rPr>
            </w:pPr>
            <w:r>
              <w:rPr>
                <w:rFonts w:hint="eastAsia" w:hAnsi="宋体"/>
              </w:rPr>
              <w:t>6.1</w:t>
            </w:r>
          </w:p>
        </w:tc>
        <w:tc>
          <w:tcPr>
            <w:tcW w:w="1843" w:type="dxa"/>
            <w:vAlign w:val="center"/>
          </w:tcPr>
          <w:p w14:paraId="659CD7DB">
            <w:pPr>
              <w:pStyle w:val="28"/>
              <w:spacing w:line="360" w:lineRule="auto"/>
              <w:jc w:val="center"/>
              <w:rPr>
                <w:rFonts w:hAnsi="宋体"/>
              </w:rPr>
            </w:pPr>
            <w:r>
              <w:rPr>
                <w:rFonts w:hint="eastAsia" w:hAnsi="宋体"/>
              </w:rPr>
              <w:t>踏勘现场</w:t>
            </w:r>
          </w:p>
        </w:tc>
        <w:tc>
          <w:tcPr>
            <w:tcW w:w="6520" w:type="dxa"/>
          </w:tcPr>
          <w:p w14:paraId="6EAA8ED8">
            <w:pPr>
              <w:pStyle w:val="28"/>
              <w:spacing w:line="360" w:lineRule="auto"/>
              <w:rPr>
                <w:rFonts w:hAnsi="宋体"/>
              </w:rPr>
            </w:pPr>
            <w:r>
              <w:rPr>
                <w:rFonts w:hint="eastAsia" w:hAnsi="宋体"/>
              </w:rPr>
              <w:t>不组织</w:t>
            </w:r>
          </w:p>
        </w:tc>
      </w:tr>
      <w:tr w14:paraId="5DA52B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65F21294">
            <w:pPr>
              <w:pStyle w:val="28"/>
              <w:spacing w:line="360" w:lineRule="auto"/>
              <w:jc w:val="center"/>
              <w:rPr>
                <w:rFonts w:hAnsi="宋体"/>
              </w:rPr>
            </w:pPr>
            <w:r>
              <w:rPr>
                <w:rFonts w:hint="eastAsia" w:hAnsi="宋体"/>
              </w:rPr>
              <w:t>8</w:t>
            </w:r>
          </w:p>
        </w:tc>
        <w:tc>
          <w:tcPr>
            <w:tcW w:w="1038" w:type="dxa"/>
            <w:vAlign w:val="center"/>
          </w:tcPr>
          <w:p w14:paraId="6F05BA7F">
            <w:pPr>
              <w:pStyle w:val="28"/>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4B2A58DF">
            <w:pPr>
              <w:pStyle w:val="28"/>
              <w:spacing w:line="360" w:lineRule="auto"/>
              <w:jc w:val="center"/>
              <w:rPr>
                <w:rFonts w:hAnsi="宋体"/>
              </w:rPr>
            </w:pPr>
            <w:r>
              <w:rPr>
                <w:rFonts w:hint="eastAsia" w:hAnsi="宋体"/>
              </w:rPr>
              <w:t>响应有效期</w:t>
            </w:r>
          </w:p>
        </w:tc>
        <w:tc>
          <w:tcPr>
            <w:tcW w:w="6520" w:type="dxa"/>
          </w:tcPr>
          <w:p w14:paraId="02AB17AB">
            <w:pPr>
              <w:pStyle w:val="28"/>
              <w:spacing w:line="360" w:lineRule="auto"/>
              <w:rPr>
                <w:rFonts w:hAnsi="宋体"/>
              </w:rPr>
            </w:pPr>
            <w:r>
              <w:rPr>
                <w:rFonts w:hint="eastAsia" w:hAnsi="宋体"/>
              </w:rPr>
              <w:t>90</w:t>
            </w:r>
            <w:r>
              <w:rPr>
                <w:rFonts w:hAnsi="宋体"/>
              </w:rPr>
              <w:t>日历天（从响应截止之日算起）</w:t>
            </w:r>
          </w:p>
        </w:tc>
      </w:tr>
      <w:tr w14:paraId="0A55A1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12680482">
            <w:pPr>
              <w:pStyle w:val="28"/>
              <w:spacing w:line="360" w:lineRule="auto"/>
              <w:jc w:val="center"/>
              <w:rPr>
                <w:rFonts w:hint="eastAsia" w:hAnsi="宋体" w:eastAsia="宋体"/>
                <w:lang w:val="en-US" w:eastAsia="zh-CN"/>
              </w:rPr>
            </w:pPr>
            <w:r>
              <w:rPr>
                <w:rFonts w:hint="eastAsia" w:hAnsi="宋体"/>
                <w:lang w:val="en-US" w:eastAsia="zh-CN"/>
              </w:rPr>
              <w:t>9</w:t>
            </w:r>
          </w:p>
        </w:tc>
        <w:tc>
          <w:tcPr>
            <w:tcW w:w="1038" w:type="dxa"/>
            <w:vAlign w:val="center"/>
          </w:tcPr>
          <w:p w14:paraId="0DFEE023">
            <w:pPr>
              <w:pStyle w:val="28"/>
              <w:spacing w:line="360" w:lineRule="auto"/>
              <w:jc w:val="center"/>
              <w:rPr>
                <w:rFonts w:hAnsi="宋体"/>
              </w:rPr>
            </w:pPr>
            <w:r>
              <w:rPr>
                <w:rFonts w:hint="eastAsia" w:hAnsi="宋体"/>
              </w:rPr>
              <w:t>16.1</w:t>
            </w:r>
          </w:p>
        </w:tc>
        <w:tc>
          <w:tcPr>
            <w:tcW w:w="1843" w:type="dxa"/>
            <w:vAlign w:val="center"/>
          </w:tcPr>
          <w:p w14:paraId="052FAA4F">
            <w:pPr>
              <w:pStyle w:val="28"/>
              <w:spacing w:line="360" w:lineRule="auto"/>
              <w:jc w:val="center"/>
              <w:rPr>
                <w:rFonts w:hAnsi="宋体"/>
              </w:rPr>
            </w:pPr>
            <w:r>
              <w:rPr>
                <w:rFonts w:hint="eastAsia" w:hAnsi="宋体"/>
              </w:rPr>
              <w:t>响应预备会</w:t>
            </w:r>
          </w:p>
          <w:p w14:paraId="3186EEDD">
            <w:pPr>
              <w:pStyle w:val="28"/>
              <w:spacing w:line="360" w:lineRule="auto"/>
              <w:jc w:val="center"/>
              <w:rPr>
                <w:rFonts w:hAnsi="宋体"/>
              </w:rPr>
            </w:pPr>
            <w:r>
              <w:rPr>
                <w:rFonts w:hint="eastAsia" w:hAnsi="宋体"/>
              </w:rPr>
              <w:t>（答疑会）</w:t>
            </w:r>
          </w:p>
        </w:tc>
        <w:tc>
          <w:tcPr>
            <w:tcW w:w="6520" w:type="dxa"/>
            <w:vAlign w:val="center"/>
          </w:tcPr>
          <w:p w14:paraId="1370EADE">
            <w:pPr>
              <w:pStyle w:val="28"/>
              <w:spacing w:line="360" w:lineRule="auto"/>
              <w:rPr>
                <w:rFonts w:hAnsi="宋体"/>
              </w:rPr>
            </w:pPr>
            <w:r>
              <w:rPr>
                <w:rFonts w:hint="eastAsia" w:hAnsi="宋体"/>
              </w:rPr>
              <w:t>不召开</w:t>
            </w:r>
          </w:p>
        </w:tc>
      </w:tr>
      <w:tr w14:paraId="2978A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F6B4037">
            <w:pPr>
              <w:pStyle w:val="28"/>
              <w:spacing w:line="360" w:lineRule="auto"/>
              <w:jc w:val="center"/>
              <w:rPr>
                <w:rFonts w:hAnsi="宋体"/>
              </w:rPr>
            </w:pPr>
            <w:r>
              <w:rPr>
                <w:rFonts w:hint="eastAsia" w:hAnsi="宋体"/>
              </w:rPr>
              <w:t>10</w:t>
            </w:r>
          </w:p>
        </w:tc>
        <w:tc>
          <w:tcPr>
            <w:tcW w:w="1038" w:type="dxa"/>
            <w:vAlign w:val="center"/>
          </w:tcPr>
          <w:p w14:paraId="4DF49AD2">
            <w:pPr>
              <w:pStyle w:val="28"/>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3E1AA43B">
            <w:pPr>
              <w:pStyle w:val="28"/>
              <w:spacing w:line="360" w:lineRule="auto"/>
              <w:jc w:val="center"/>
              <w:rPr>
                <w:rFonts w:hAnsi="宋体"/>
              </w:rPr>
            </w:pPr>
            <w:r>
              <w:rPr>
                <w:rFonts w:hint="eastAsia" w:hAnsi="宋体"/>
              </w:rPr>
              <w:t>响应文件份数</w:t>
            </w:r>
          </w:p>
        </w:tc>
        <w:tc>
          <w:tcPr>
            <w:tcW w:w="6520" w:type="dxa"/>
          </w:tcPr>
          <w:p w14:paraId="21225349">
            <w:pPr>
              <w:pStyle w:val="28"/>
              <w:spacing w:line="360" w:lineRule="auto"/>
              <w:rPr>
                <w:rFonts w:hAnsi="宋体"/>
              </w:rPr>
            </w:pPr>
            <w:r>
              <w:rPr>
                <w:rFonts w:hAnsi="宋体"/>
              </w:rPr>
              <w:t>正本1份，副本</w:t>
            </w:r>
            <w:r>
              <w:rPr>
                <w:rFonts w:hint="eastAsia" w:hAnsi="宋体"/>
              </w:rPr>
              <w:t>5</w:t>
            </w:r>
            <w:r>
              <w:rPr>
                <w:rFonts w:hAnsi="宋体"/>
              </w:rPr>
              <w:t>份，</w:t>
            </w:r>
            <w:r>
              <w:rPr>
                <w:rFonts w:hint="eastAsia" w:hAnsi="宋体"/>
              </w:rPr>
              <w:t>电子</w:t>
            </w:r>
            <w:r>
              <w:rPr>
                <w:rFonts w:hAnsi="宋体"/>
              </w:rPr>
              <w:t>备份光盘（或U盘）1份</w:t>
            </w:r>
            <w:r>
              <w:rPr>
                <w:rFonts w:hint="eastAsia" w:hAnsi="宋体"/>
              </w:rPr>
              <w:t>（含响应文件正本盖章扫描件），响应</w:t>
            </w:r>
            <w:r>
              <w:rPr>
                <w:rFonts w:hint="eastAsia" w:asciiTheme="minorEastAsia" w:hAnsiTheme="minorEastAsia" w:eastAsiaTheme="minorEastAsia"/>
                <w:snapToGrid w:val="0"/>
                <w:kern w:val="0"/>
              </w:rPr>
              <w:t>文件正本和副本必须标注页码并装订成册。</w:t>
            </w:r>
          </w:p>
        </w:tc>
      </w:tr>
      <w:tr w14:paraId="6424AA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A580B62">
            <w:pPr>
              <w:pStyle w:val="28"/>
              <w:spacing w:line="360" w:lineRule="auto"/>
              <w:jc w:val="center"/>
              <w:rPr>
                <w:rFonts w:hAnsi="宋体"/>
              </w:rPr>
            </w:pPr>
            <w:r>
              <w:rPr>
                <w:rFonts w:hint="eastAsia" w:hAnsi="宋体"/>
              </w:rPr>
              <w:t>11</w:t>
            </w:r>
          </w:p>
        </w:tc>
        <w:tc>
          <w:tcPr>
            <w:tcW w:w="1038" w:type="dxa"/>
            <w:vAlign w:val="center"/>
          </w:tcPr>
          <w:p w14:paraId="32F66EED">
            <w:pPr>
              <w:pStyle w:val="28"/>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0CAA5AA1">
            <w:pPr>
              <w:pStyle w:val="28"/>
              <w:spacing w:line="360" w:lineRule="auto"/>
              <w:jc w:val="center"/>
              <w:rPr>
                <w:rFonts w:hAnsi="宋体"/>
              </w:rPr>
            </w:pPr>
            <w:r>
              <w:rPr>
                <w:rFonts w:hint="eastAsia" w:hAnsi="宋体"/>
              </w:rPr>
              <w:t>开标</w:t>
            </w:r>
          </w:p>
        </w:tc>
        <w:tc>
          <w:tcPr>
            <w:tcW w:w="6520" w:type="dxa"/>
          </w:tcPr>
          <w:p w14:paraId="066F62D5">
            <w:pPr>
              <w:pStyle w:val="28"/>
              <w:spacing w:line="360" w:lineRule="auto"/>
              <w:rPr>
                <w:rFonts w:hAnsi="宋体"/>
              </w:rPr>
            </w:pPr>
            <w:r>
              <w:rPr>
                <w:rFonts w:hint="eastAsia" w:hAnsi="宋体"/>
                <w:szCs w:val="21"/>
              </w:rPr>
              <w:t>详见《第一章 采购邀请》</w:t>
            </w:r>
          </w:p>
        </w:tc>
      </w:tr>
      <w:tr w14:paraId="50501C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17A63A1">
            <w:pPr>
              <w:pStyle w:val="28"/>
              <w:spacing w:line="360" w:lineRule="auto"/>
              <w:jc w:val="center"/>
              <w:rPr>
                <w:rFonts w:hAnsi="宋体"/>
              </w:rPr>
            </w:pPr>
            <w:r>
              <w:rPr>
                <w:rFonts w:hint="eastAsia" w:hAnsi="宋体"/>
              </w:rPr>
              <w:t>12</w:t>
            </w:r>
          </w:p>
        </w:tc>
        <w:tc>
          <w:tcPr>
            <w:tcW w:w="1038" w:type="dxa"/>
            <w:vAlign w:val="center"/>
          </w:tcPr>
          <w:p w14:paraId="74861571">
            <w:pPr>
              <w:pStyle w:val="28"/>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030403C6">
            <w:pPr>
              <w:pStyle w:val="28"/>
              <w:spacing w:line="360" w:lineRule="auto"/>
              <w:jc w:val="center"/>
              <w:rPr>
                <w:rFonts w:hAnsi="宋体"/>
              </w:rPr>
            </w:pPr>
            <w:r>
              <w:rPr>
                <w:rFonts w:hint="eastAsia" w:hAnsi="宋体"/>
              </w:rPr>
              <w:t>响应截止时间</w:t>
            </w:r>
          </w:p>
        </w:tc>
        <w:tc>
          <w:tcPr>
            <w:tcW w:w="6520" w:type="dxa"/>
          </w:tcPr>
          <w:p w14:paraId="4CE13B8E">
            <w:pPr>
              <w:pStyle w:val="28"/>
              <w:spacing w:line="360" w:lineRule="auto"/>
              <w:rPr>
                <w:rFonts w:hAnsi="宋体"/>
                <w:b/>
              </w:rPr>
            </w:pPr>
            <w:r>
              <w:rPr>
                <w:rFonts w:hint="eastAsia" w:hAnsi="宋体"/>
                <w:szCs w:val="21"/>
              </w:rPr>
              <w:t>详见《第一章 采购邀请》</w:t>
            </w:r>
          </w:p>
        </w:tc>
      </w:tr>
      <w:tr w14:paraId="2432C6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E892893">
            <w:pPr>
              <w:pStyle w:val="28"/>
              <w:spacing w:line="360" w:lineRule="auto"/>
              <w:jc w:val="center"/>
              <w:rPr>
                <w:rFonts w:hAnsi="宋体"/>
              </w:rPr>
            </w:pPr>
            <w:r>
              <w:rPr>
                <w:rFonts w:hint="eastAsia" w:hAnsi="宋体"/>
              </w:rPr>
              <w:t>13</w:t>
            </w:r>
          </w:p>
        </w:tc>
        <w:tc>
          <w:tcPr>
            <w:tcW w:w="1038" w:type="dxa"/>
            <w:vAlign w:val="center"/>
          </w:tcPr>
          <w:p w14:paraId="0A2C4EB7">
            <w:pPr>
              <w:pStyle w:val="28"/>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16CE4B5D">
            <w:pPr>
              <w:pStyle w:val="28"/>
              <w:spacing w:line="360" w:lineRule="auto"/>
              <w:jc w:val="center"/>
              <w:rPr>
                <w:rFonts w:hAnsi="宋体"/>
              </w:rPr>
            </w:pPr>
            <w:r>
              <w:rPr>
                <w:rFonts w:hint="eastAsia" w:hAnsi="宋体"/>
              </w:rPr>
              <w:t>评审办法</w:t>
            </w:r>
          </w:p>
        </w:tc>
        <w:tc>
          <w:tcPr>
            <w:tcW w:w="6520" w:type="dxa"/>
          </w:tcPr>
          <w:p w14:paraId="65C7FF06">
            <w:pPr>
              <w:pStyle w:val="28"/>
              <w:spacing w:line="360" w:lineRule="auto"/>
              <w:rPr>
                <w:rFonts w:hAnsi="宋体"/>
              </w:rPr>
            </w:pPr>
            <w:r>
              <w:rPr>
                <w:rFonts w:hint="eastAsia" w:hAnsi="宋体"/>
              </w:rPr>
              <w:t>综合评分法</w:t>
            </w:r>
            <w:r>
              <w:rPr>
                <w:rFonts w:hint="eastAsia" w:hAnsi="宋体"/>
                <w:lang w:eastAsia="zh-CN"/>
              </w:rPr>
              <w:t>（采购方式为公开征集或院内竞争性谈判时）</w:t>
            </w:r>
          </w:p>
        </w:tc>
      </w:tr>
      <w:tr w14:paraId="4626D3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3F3D763">
            <w:pPr>
              <w:pStyle w:val="28"/>
              <w:spacing w:line="360" w:lineRule="auto"/>
              <w:jc w:val="center"/>
              <w:rPr>
                <w:rFonts w:hAnsi="宋体"/>
              </w:rPr>
            </w:pPr>
            <w:r>
              <w:rPr>
                <w:rFonts w:hint="eastAsia" w:hAnsi="宋体"/>
              </w:rPr>
              <w:t>14</w:t>
            </w:r>
          </w:p>
        </w:tc>
        <w:tc>
          <w:tcPr>
            <w:tcW w:w="1038" w:type="dxa"/>
            <w:vAlign w:val="center"/>
          </w:tcPr>
          <w:p w14:paraId="111451BA">
            <w:pPr>
              <w:pStyle w:val="28"/>
              <w:spacing w:line="360" w:lineRule="auto"/>
              <w:jc w:val="center"/>
              <w:rPr>
                <w:rFonts w:hAnsi="宋体"/>
              </w:rPr>
            </w:pPr>
            <w:r>
              <w:rPr>
                <w:rFonts w:hint="eastAsia" w:hAnsi="宋体"/>
              </w:rPr>
              <w:t>33</w:t>
            </w:r>
            <w:r>
              <w:rPr>
                <w:rFonts w:hAnsi="宋体"/>
              </w:rPr>
              <w:t>.1</w:t>
            </w:r>
          </w:p>
        </w:tc>
        <w:tc>
          <w:tcPr>
            <w:tcW w:w="1843" w:type="dxa"/>
            <w:vAlign w:val="center"/>
          </w:tcPr>
          <w:p w14:paraId="12295957">
            <w:pPr>
              <w:pStyle w:val="28"/>
              <w:spacing w:line="360" w:lineRule="auto"/>
              <w:jc w:val="center"/>
              <w:rPr>
                <w:snapToGrid w:val="0"/>
                <w:kern w:val="0"/>
              </w:rPr>
            </w:pPr>
            <w:r>
              <w:rPr>
                <w:rFonts w:hint="eastAsia"/>
                <w:snapToGrid w:val="0"/>
                <w:kern w:val="0"/>
              </w:rPr>
              <w:t>履约保证金</w:t>
            </w:r>
          </w:p>
        </w:tc>
        <w:tc>
          <w:tcPr>
            <w:tcW w:w="6520" w:type="dxa"/>
          </w:tcPr>
          <w:p w14:paraId="53DEC7ED">
            <w:pPr>
              <w:pStyle w:val="28"/>
              <w:spacing w:line="360" w:lineRule="auto"/>
              <w:rPr>
                <w:rFonts w:hAnsi="宋体"/>
              </w:rPr>
            </w:pPr>
            <w:r>
              <w:rPr>
                <w:rFonts w:hint="eastAsia"/>
                <w:snapToGrid w:val="0"/>
                <w:kern w:val="0"/>
              </w:rPr>
              <w:t>按签订的合同条款执行</w:t>
            </w:r>
          </w:p>
        </w:tc>
      </w:tr>
      <w:tr w14:paraId="4D0B66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36A3C89">
            <w:pPr>
              <w:pStyle w:val="28"/>
              <w:spacing w:line="360" w:lineRule="auto"/>
              <w:jc w:val="center"/>
              <w:rPr>
                <w:rFonts w:hAnsi="宋体"/>
              </w:rPr>
            </w:pPr>
            <w:r>
              <w:rPr>
                <w:rFonts w:hint="eastAsia" w:hAnsi="宋体"/>
              </w:rPr>
              <w:t>15</w:t>
            </w:r>
          </w:p>
        </w:tc>
        <w:tc>
          <w:tcPr>
            <w:tcW w:w="1038" w:type="dxa"/>
            <w:vAlign w:val="center"/>
          </w:tcPr>
          <w:p w14:paraId="7351C36C">
            <w:pPr>
              <w:pStyle w:val="28"/>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05323D32">
            <w:pPr>
              <w:pStyle w:val="28"/>
              <w:spacing w:line="360" w:lineRule="auto"/>
              <w:jc w:val="center"/>
              <w:rPr>
                <w:rFonts w:hAnsi="宋体"/>
              </w:rPr>
            </w:pPr>
            <w:r>
              <w:rPr>
                <w:rFonts w:hint="eastAsia" w:hAnsi="宋体"/>
              </w:rPr>
              <w:t>代理服务费</w:t>
            </w:r>
          </w:p>
        </w:tc>
        <w:tc>
          <w:tcPr>
            <w:tcW w:w="6520" w:type="dxa"/>
          </w:tcPr>
          <w:p w14:paraId="0A52B2CB">
            <w:pPr>
              <w:pStyle w:val="28"/>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w:t>
            </w:r>
            <w:r>
              <w:rPr>
                <w:rFonts w:hint="eastAsia" w:asciiTheme="minorEastAsia" w:hAnsiTheme="minorEastAsia" w:eastAsiaTheme="minorEastAsia"/>
                <w:szCs w:val="21"/>
                <w:lang w:eastAsia="zh-CN"/>
              </w:rPr>
              <w:t>成交</w:t>
            </w:r>
            <w:r>
              <w:rPr>
                <w:rFonts w:hint="eastAsia" w:asciiTheme="minorEastAsia" w:hAnsiTheme="minorEastAsia" w:eastAsiaTheme="minorEastAsia"/>
                <w:szCs w:val="21"/>
              </w:rPr>
              <w:t>供应商收取</w:t>
            </w:r>
            <w:r>
              <w:rPr>
                <w:rFonts w:hint="eastAsia" w:asciiTheme="minorEastAsia" w:hAnsiTheme="minorEastAsia" w:eastAsiaTheme="minorEastAsia"/>
                <w:szCs w:val="21"/>
                <w:lang w:eastAsia="zh-CN"/>
              </w:rPr>
              <w:t>代理</w:t>
            </w:r>
            <w:r>
              <w:rPr>
                <w:rFonts w:hint="eastAsia" w:asciiTheme="minorEastAsia" w:hAnsiTheme="minorEastAsia" w:eastAsiaTheme="minorEastAsia"/>
                <w:szCs w:val="21"/>
              </w:rPr>
              <w:t>服务费，具体如下：</w:t>
            </w:r>
          </w:p>
          <w:p w14:paraId="6B5B44A0">
            <w:pPr>
              <w:pStyle w:val="28"/>
              <w:spacing w:line="360" w:lineRule="auto"/>
              <w:rPr>
                <w:rFonts w:asciiTheme="minorEastAsia" w:hAnsiTheme="minorEastAsia" w:eastAsiaTheme="minorEastAsia"/>
              </w:rPr>
            </w:pPr>
            <w:r>
              <w:rPr>
                <w:rFonts w:hint="eastAsia" w:hAnsi="宋体" w:cs="MS Mincho"/>
                <w:sz w:val="24"/>
                <w:szCs w:val="24"/>
                <w:lang w:eastAsia="zh-CN"/>
              </w:rPr>
              <w:t>☑</w:t>
            </w:r>
            <w:r>
              <w:rPr>
                <w:rFonts w:hint="eastAsia" w:asciiTheme="minorEastAsia" w:hAnsiTheme="minorEastAsia" w:eastAsiaTheme="minorEastAsia"/>
                <w:szCs w:val="21"/>
              </w:rPr>
              <w:t>以</w:t>
            </w:r>
            <w:r>
              <w:rPr>
                <w:rFonts w:hint="eastAsia" w:asciiTheme="minorEastAsia" w:hAnsiTheme="minorEastAsia" w:eastAsiaTheme="minorEastAsia"/>
                <w:szCs w:val="21"/>
                <w:lang w:eastAsia="zh-CN"/>
              </w:rPr>
              <w:t>成交</w:t>
            </w:r>
            <w:r>
              <w:rPr>
                <w:rFonts w:hint="eastAsia" w:asciiTheme="minorEastAsia" w:hAnsiTheme="minorEastAsia" w:eastAsiaTheme="minorEastAsia"/>
                <w:szCs w:val="21"/>
              </w:rPr>
              <w:t>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40</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3</w:t>
            </w:r>
            <w:r>
              <w:rPr>
                <w:rFonts w:hint="eastAsia" w:asciiTheme="minorEastAsia" w:hAnsiTheme="minorEastAsia" w:eastAsiaTheme="minorEastAsia"/>
              </w:rPr>
              <w:t>000元。</w:t>
            </w:r>
          </w:p>
          <w:p w14:paraId="6201756C">
            <w:pPr>
              <w:pStyle w:val="28"/>
              <w:spacing w:line="360" w:lineRule="auto"/>
              <w:rPr>
                <w:rFonts w:hAnsi="宋体"/>
              </w:rPr>
            </w:pPr>
            <w:r>
              <w:rPr>
                <w:rFonts w:hint="eastAsia" w:hAnsi="宋体"/>
                <w:lang w:eastAsia="zh-CN"/>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w:t>
            </w:r>
            <w:r>
              <w:rPr>
                <w:rFonts w:hint="eastAsia" w:asciiTheme="minorEastAsia" w:hAnsiTheme="minorEastAsia" w:eastAsiaTheme="minorEastAsia"/>
                <w:u w:val="single"/>
              </w:rPr>
              <w:t xml:space="preserve">0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3</w:t>
            </w:r>
            <w:r>
              <w:rPr>
                <w:rFonts w:hint="eastAsia" w:asciiTheme="minorEastAsia" w:hAnsiTheme="minorEastAsia" w:eastAsiaTheme="minorEastAsia"/>
              </w:rPr>
              <w:t>000元。</w:t>
            </w:r>
          </w:p>
        </w:tc>
      </w:tr>
    </w:tbl>
    <w:p w14:paraId="15F4346B">
      <w:pPr>
        <w:widowControl/>
        <w:jc w:val="left"/>
      </w:pPr>
      <w:r>
        <w:br w:type="page"/>
      </w:r>
    </w:p>
    <w:p w14:paraId="407698DE"/>
    <w:p w14:paraId="2F1EC380">
      <w:pPr>
        <w:pStyle w:val="2"/>
      </w:pPr>
      <w:bookmarkStart w:id="20" w:name="_Toc12620"/>
      <w:r>
        <w:rPr>
          <w:rFonts w:hint="eastAsia"/>
        </w:rPr>
        <w:t>第六章  供应商须知</w:t>
      </w:r>
      <w:bookmarkEnd w:id="20"/>
    </w:p>
    <w:p w14:paraId="24491BEB">
      <w:pPr>
        <w:pStyle w:val="4"/>
        <w:spacing w:before="0" w:after="0"/>
      </w:pPr>
      <w:bookmarkStart w:id="21" w:name="_Toc27131"/>
      <w:r>
        <w:rPr>
          <w:rFonts w:hint="eastAsia"/>
        </w:rPr>
        <w:t>一、说</w:t>
      </w:r>
      <w:r>
        <w:t xml:space="preserve">  </w:t>
      </w:r>
      <w:r>
        <w:rPr>
          <w:rFonts w:hint="eastAsia"/>
        </w:rPr>
        <w:t>明</w:t>
      </w:r>
      <w:bookmarkEnd w:id="21"/>
    </w:p>
    <w:p w14:paraId="2CDC17D5">
      <w:pPr>
        <w:adjustRightInd w:val="0"/>
        <w:spacing w:line="360" w:lineRule="auto"/>
        <w:rPr>
          <w:rFonts w:ascii="宋体" w:hAnsi="宋体"/>
          <w:b/>
          <w:snapToGrid w:val="0"/>
          <w:kern w:val="0"/>
        </w:rPr>
      </w:pPr>
      <w:r>
        <w:rPr>
          <w:rFonts w:hint="eastAsia" w:ascii="宋体" w:hAnsi="宋体"/>
          <w:b/>
          <w:snapToGrid w:val="0"/>
          <w:kern w:val="0"/>
        </w:rPr>
        <w:t>1.</w:t>
      </w:r>
      <w:r>
        <w:rPr>
          <w:rFonts w:ascii="宋体" w:hAnsi="宋体"/>
          <w:b/>
          <w:snapToGrid w:val="0"/>
          <w:kern w:val="0"/>
        </w:rPr>
        <w:t xml:space="preserve"> </w:t>
      </w:r>
      <w:r>
        <w:rPr>
          <w:rFonts w:hint="eastAsia" w:ascii="宋体" w:hAnsi="宋体"/>
          <w:b/>
          <w:snapToGrid w:val="0"/>
          <w:kern w:val="0"/>
        </w:rPr>
        <w:t>适用范围</w:t>
      </w:r>
    </w:p>
    <w:p w14:paraId="4FC05428">
      <w:pPr>
        <w:adjustRightInd w:val="0"/>
        <w:spacing w:line="360" w:lineRule="auto"/>
        <w:rPr>
          <w:rFonts w:ascii="宋体" w:hAnsi="宋体"/>
          <w:snapToGrid w:val="0"/>
          <w:kern w:val="0"/>
        </w:rPr>
      </w:pPr>
      <w:r>
        <w:rPr>
          <w:rFonts w:hint="eastAsia" w:ascii="宋体" w:hAnsi="宋体"/>
          <w:snapToGrid w:val="0"/>
          <w:kern w:val="0"/>
        </w:rPr>
        <w:t>1</w:t>
      </w:r>
      <w:r>
        <w:rPr>
          <w:rFonts w:ascii="宋体" w:hAnsi="宋体"/>
          <w:snapToGrid w:val="0"/>
          <w:kern w:val="0"/>
        </w:rPr>
        <w:t>.1</w:t>
      </w:r>
      <w:r>
        <w:rPr>
          <w:rFonts w:hint="eastAsia" w:ascii="宋体" w:hAnsi="宋体"/>
          <w:snapToGrid w:val="0"/>
          <w:kern w:val="0"/>
        </w:rPr>
        <w:t xml:space="preserve">  本采购文件仅适用于供应商须知前附表（以下简称“前附表”）第1项所叙述项目的货物、工程及服务采购。 </w:t>
      </w:r>
    </w:p>
    <w:p w14:paraId="78B71E4D">
      <w:pPr>
        <w:adjustRightInd w:val="0"/>
        <w:spacing w:line="360" w:lineRule="auto"/>
        <w:rPr>
          <w:rFonts w:ascii="宋体" w:hAnsi="宋体"/>
          <w:snapToGrid w:val="0"/>
          <w:kern w:val="0"/>
        </w:rPr>
      </w:pPr>
      <w:r>
        <w:rPr>
          <w:rFonts w:hint="eastAsia" w:ascii="宋体" w:hAnsi="宋体"/>
          <w:snapToGrid w:val="0"/>
          <w:kern w:val="0"/>
        </w:rPr>
        <w:t xml:space="preserve">1.2  </w:t>
      </w:r>
      <w:r>
        <w:rPr>
          <w:rFonts w:hint="eastAsia" w:asciiTheme="minorEastAsia" w:hAnsiTheme="minorEastAsia" w:eastAsiaTheme="minorEastAsia"/>
          <w:snapToGrid w:val="0"/>
          <w:kern w:val="0"/>
        </w:rPr>
        <w:t>上述采购根据采购单位内部规定及有关法规、规章、规定，择优选定供应商</w:t>
      </w:r>
      <w:r>
        <w:rPr>
          <w:rFonts w:hint="eastAsia" w:ascii="宋体" w:hAnsi="宋体"/>
          <w:snapToGrid w:val="0"/>
          <w:kern w:val="0"/>
        </w:rPr>
        <w:t>。</w:t>
      </w:r>
    </w:p>
    <w:p w14:paraId="5A84FB86">
      <w:pPr>
        <w:adjustRightInd w:val="0"/>
        <w:spacing w:line="360" w:lineRule="auto"/>
        <w:rPr>
          <w:rFonts w:ascii="宋体" w:hAnsi="宋体"/>
          <w:b/>
          <w:snapToGrid w:val="0"/>
          <w:kern w:val="0"/>
        </w:rPr>
      </w:pPr>
      <w:r>
        <w:rPr>
          <w:rFonts w:ascii="宋体" w:hAnsi="宋体"/>
          <w:b/>
          <w:snapToGrid w:val="0"/>
          <w:kern w:val="0"/>
        </w:rPr>
        <w:t xml:space="preserve">2. </w:t>
      </w:r>
      <w:r>
        <w:rPr>
          <w:rFonts w:hint="eastAsia" w:ascii="宋体" w:hAnsi="宋体"/>
          <w:b/>
          <w:snapToGrid w:val="0"/>
          <w:kern w:val="0"/>
        </w:rPr>
        <w:t>定义</w:t>
      </w:r>
    </w:p>
    <w:p w14:paraId="70CB33AB">
      <w:pPr>
        <w:adjustRightInd w:val="0"/>
        <w:spacing w:line="360" w:lineRule="auto"/>
        <w:rPr>
          <w:rFonts w:ascii="宋体" w:hAnsi="宋体"/>
          <w:snapToGrid w:val="0"/>
          <w:kern w:val="0"/>
        </w:rPr>
      </w:pPr>
      <w:r>
        <w:rPr>
          <w:rFonts w:hint="eastAsia" w:ascii="宋体" w:hAnsi="宋体"/>
          <w:snapToGrid w:val="0"/>
          <w:kern w:val="0"/>
        </w:rPr>
        <w:t>2</w:t>
      </w:r>
      <w:r>
        <w:rPr>
          <w:rFonts w:ascii="宋体" w:hAnsi="宋体"/>
          <w:snapToGrid w:val="0"/>
          <w:kern w:val="0"/>
        </w:rPr>
        <w:t>.</w:t>
      </w:r>
      <w:r>
        <w:rPr>
          <w:rFonts w:hint="eastAsia" w:ascii="宋体" w:hAnsi="宋体"/>
          <w:snapToGrid w:val="0"/>
          <w:kern w:val="0"/>
        </w:rPr>
        <w:t>1  “</w:t>
      </w:r>
      <w:r>
        <w:rPr>
          <w:rFonts w:hint="eastAsia" w:ascii="宋体" w:hAnsi="宋体"/>
          <w:bCs/>
          <w:snapToGrid w:val="0"/>
          <w:kern w:val="0"/>
        </w:rPr>
        <w:t>采购人</w:t>
      </w:r>
      <w:r>
        <w:rPr>
          <w:rFonts w:hint="eastAsia" w:ascii="宋体" w:hAnsi="宋体"/>
          <w:snapToGrid w:val="0"/>
          <w:kern w:val="0"/>
        </w:rPr>
        <w:t>”系指前附表第2项所述。</w:t>
      </w:r>
    </w:p>
    <w:p w14:paraId="575D203E">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2</w:t>
      </w:r>
      <w:r>
        <w:rPr>
          <w:rFonts w:ascii="宋体" w:hAnsi="宋体"/>
          <w:snapToGrid w:val="0"/>
          <w:kern w:val="0"/>
        </w:rPr>
        <w:t xml:space="preserve">  </w:t>
      </w:r>
      <w:r>
        <w:rPr>
          <w:rFonts w:hint="eastAsia" w:ascii="宋体" w:hAnsi="宋体"/>
          <w:snapToGrid w:val="0"/>
          <w:kern w:val="0"/>
        </w:rPr>
        <w:t>“</w:t>
      </w:r>
      <w:r>
        <w:rPr>
          <w:rFonts w:hint="eastAsia" w:ascii="宋体" w:hAnsi="宋体" w:cs="宋体"/>
          <w:bCs/>
          <w:snapToGrid w:val="0"/>
          <w:kern w:val="0"/>
        </w:rPr>
        <w:t>采购代理机构</w:t>
      </w:r>
      <w:r>
        <w:rPr>
          <w:rFonts w:hint="eastAsia" w:ascii="宋体" w:hAnsi="宋体"/>
          <w:snapToGrid w:val="0"/>
          <w:kern w:val="0"/>
        </w:rPr>
        <w:t>”系前附表第3项所述。</w:t>
      </w:r>
    </w:p>
    <w:p w14:paraId="1462F44C">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3</w:t>
      </w:r>
      <w:r>
        <w:rPr>
          <w:rFonts w:ascii="宋体" w:hAnsi="宋体"/>
          <w:snapToGrid w:val="0"/>
          <w:kern w:val="0"/>
        </w:rPr>
        <w:t xml:space="preserve"> </w:t>
      </w:r>
      <w:r>
        <w:rPr>
          <w:rFonts w:hint="eastAsia" w:ascii="宋体" w:hAnsi="宋体"/>
          <w:snapToGrid w:val="0"/>
          <w:kern w:val="0"/>
        </w:rPr>
        <w:t xml:space="preserve"> “供应商”系指向</w:t>
      </w:r>
      <w:r>
        <w:rPr>
          <w:rFonts w:hint="eastAsia" w:ascii="宋体" w:hAnsi="宋体" w:cs="宋体"/>
          <w:bCs/>
          <w:snapToGrid w:val="0"/>
          <w:kern w:val="0"/>
        </w:rPr>
        <w:t>采购代理机构</w:t>
      </w:r>
      <w:r>
        <w:rPr>
          <w:rFonts w:hint="eastAsia" w:ascii="宋体" w:hAnsi="宋体"/>
          <w:snapToGrid w:val="0"/>
          <w:kern w:val="0"/>
        </w:rPr>
        <w:t>提交响应文件的供应商。</w:t>
      </w:r>
    </w:p>
    <w:p w14:paraId="705EECB5">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“货物”系指供应商按采购文件规定，向</w:t>
      </w:r>
      <w:r>
        <w:rPr>
          <w:rFonts w:hint="eastAsia" w:ascii="宋体" w:hAnsi="宋体"/>
          <w:bCs/>
          <w:snapToGrid w:val="0"/>
          <w:kern w:val="0"/>
        </w:rPr>
        <w:t>采购人</w:t>
      </w:r>
      <w:r>
        <w:rPr>
          <w:rFonts w:hint="eastAsia" w:ascii="宋体" w:hAnsi="宋体"/>
          <w:snapToGrid w:val="0"/>
          <w:kern w:val="0"/>
        </w:rPr>
        <w:t>提供的设备及材料。</w:t>
      </w:r>
    </w:p>
    <w:p w14:paraId="315F4F6A">
      <w:pPr>
        <w:adjustRightInd w:val="0"/>
        <w:spacing w:line="360" w:lineRule="auto"/>
        <w:rPr>
          <w:rFonts w:ascii="宋体" w:hAnsi="宋体"/>
          <w:snapToGrid w:val="0"/>
          <w:kern w:val="0"/>
        </w:rPr>
      </w:pPr>
      <w:r>
        <w:rPr>
          <w:rFonts w:hint="eastAsia" w:ascii="宋体" w:hAnsi="宋体"/>
          <w:snapToGrid w:val="0"/>
          <w:kern w:val="0"/>
        </w:rPr>
        <w:t>2.5  “工程”系指供应商按采购文件规定，向</w:t>
      </w:r>
      <w:r>
        <w:rPr>
          <w:rFonts w:hint="eastAsia" w:ascii="宋体" w:hAnsi="宋体"/>
          <w:bCs/>
          <w:snapToGrid w:val="0"/>
          <w:kern w:val="0"/>
        </w:rPr>
        <w:t>采购人</w:t>
      </w:r>
      <w:r>
        <w:rPr>
          <w:rFonts w:hint="eastAsia" w:ascii="宋体" w:hAnsi="宋体"/>
          <w:snapToGrid w:val="0"/>
          <w:kern w:val="0"/>
        </w:rPr>
        <w:t>提供的设备及材料的安装。</w:t>
      </w:r>
    </w:p>
    <w:p w14:paraId="1AAA51C0">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6  “服务”系指供应商按采购文件规定，向</w:t>
      </w:r>
      <w:r>
        <w:rPr>
          <w:rFonts w:hint="eastAsia" w:ascii="宋体" w:hAnsi="宋体"/>
          <w:bCs/>
          <w:snapToGrid w:val="0"/>
          <w:kern w:val="0"/>
        </w:rPr>
        <w:t>采购人</w:t>
      </w:r>
      <w:r>
        <w:rPr>
          <w:rFonts w:hint="eastAsia" w:ascii="宋体" w:hAnsi="宋体"/>
          <w:snapToGrid w:val="0"/>
          <w:kern w:val="0"/>
        </w:rPr>
        <w:t>提供符合方案的服务。</w:t>
      </w:r>
    </w:p>
    <w:p w14:paraId="25F20E27">
      <w:pPr>
        <w:adjustRightInd w:val="0"/>
        <w:spacing w:line="360" w:lineRule="auto"/>
        <w:rPr>
          <w:rFonts w:ascii="宋体" w:hAnsi="宋体"/>
          <w:b/>
          <w:snapToGrid w:val="0"/>
          <w:kern w:val="0"/>
        </w:rPr>
      </w:pPr>
      <w:r>
        <w:rPr>
          <w:rFonts w:hint="eastAsia" w:ascii="宋体" w:hAnsi="宋体"/>
          <w:b/>
          <w:snapToGrid w:val="0"/>
          <w:kern w:val="0"/>
        </w:rPr>
        <w:t>3. 资金来源</w:t>
      </w:r>
    </w:p>
    <w:p w14:paraId="2389463E">
      <w:pPr>
        <w:adjustRightInd w:val="0"/>
        <w:spacing w:line="360" w:lineRule="auto"/>
        <w:rPr>
          <w:rFonts w:ascii="宋体" w:hAnsi="宋体"/>
          <w:snapToGrid w:val="0"/>
          <w:kern w:val="0"/>
        </w:rPr>
      </w:pPr>
      <w:r>
        <w:rPr>
          <w:rFonts w:hint="eastAsia" w:ascii="宋体" w:hAnsi="宋体"/>
          <w:snapToGrid w:val="0"/>
          <w:kern w:val="0"/>
        </w:rPr>
        <w:t>3.1  采购资金通过前附表第4 项的方式获得，并用于采购合同下的合格支付。</w:t>
      </w:r>
    </w:p>
    <w:p w14:paraId="7E866BA6">
      <w:pPr>
        <w:adjustRightInd w:val="0"/>
        <w:spacing w:line="360" w:lineRule="auto"/>
        <w:rPr>
          <w:rFonts w:ascii="宋体" w:hAnsi="宋体"/>
          <w:b/>
          <w:snapToGrid w:val="0"/>
          <w:kern w:val="0"/>
        </w:rPr>
      </w:pP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合格的供应商</w:t>
      </w:r>
    </w:p>
    <w:p w14:paraId="1EAD96F1">
      <w:pPr>
        <w:adjustRightInd w:val="0"/>
        <w:spacing w:line="360" w:lineRule="auto"/>
        <w:rPr>
          <w:rFonts w:ascii="宋体" w:hAnsi="宋体"/>
          <w:snapToGrid w:val="0"/>
          <w:kern w:val="0"/>
        </w:rPr>
      </w:pPr>
      <w:r>
        <w:rPr>
          <w:rFonts w:ascii="宋体" w:hAnsi="宋体"/>
          <w:snapToGrid w:val="0"/>
          <w:kern w:val="0"/>
        </w:rPr>
        <w:t xml:space="preserve">4.1  </w:t>
      </w:r>
      <w:r>
        <w:rPr>
          <w:rFonts w:hint="eastAsia" w:ascii="宋体" w:hAnsi="宋体"/>
          <w:snapToGrid w:val="0"/>
          <w:kern w:val="0"/>
        </w:rPr>
        <w:t>具有独立承担民事责任的能力。</w:t>
      </w:r>
    </w:p>
    <w:p w14:paraId="06B43AA3">
      <w:pPr>
        <w:adjustRightInd w:val="0"/>
        <w:spacing w:line="360" w:lineRule="auto"/>
        <w:rPr>
          <w:rFonts w:ascii="宋体" w:hAnsi="宋体"/>
          <w:snapToGrid w:val="0"/>
          <w:kern w:val="0"/>
        </w:rPr>
      </w:pPr>
      <w:r>
        <w:rPr>
          <w:rFonts w:ascii="宋体" w:hAnsi="宋体"/>
          <w:snapToGrid w:val="0"/>
          <w:kern w:val="0"/>
        </w:rPr>
        <w:t xml:space="preserve">4.2  </w:t>
      </w:r>
      <w:r>
        <w:rPr>
          <w:rFonts w:hint="eastAsia" w:ascii="宋体" w:hAnsi="宋体"/>
          <w:snapToGrid w:val="0"/>
          <w:kern w:val="0"/>
        </w:rPr>
        <w:t>具有良好的商业信誉和健全的财务会计制度。</w:t>
      </w:r>
    </w:p>
    <w:p w14:paraId="33C55747">
      <w:pPr>
        <w:adjustRightInd w:val="0"/>
        <w:spacing w:line="360" w:lineRule="auto"/>
        <w:rPr>
          <w:rFonts w:ascii="宋体" w:hAnsi="宋体"/>
          <w:snapToGrid w:val="0"/>
          <w:kern w:val="0"/>
        </w:rPr>
      </w:pPr>
      <w:r>
        <w:rPr>
          <w:rFonts w:hint="eastAsia" w:ascii="宋体" w:hAnsi="宋体"/>
          <w:snapToGrid w:val="0"/>
          <w:kern w:val="0"/>
        </w:rPr>
        <w:t>4.3  具有履行合同所必需的设备和专业技术能力。</w:t>
      </w:r>
    </w:p>
    <w:p w14:paraId="7021CB31">
      <w:pPr>
        <w:adjustRightInd w:val="0"/>
        <w:spacing w:line="360" w:lineRule="auto"/>
        <w:rPr>
          <w:rFonts w:ascii="宋体" w:hAnsi="宋体"/>
          <w:snapToGrid w:val="0"/>
          <w:kern w:val="0"/>
        </w:rPr>
      </w:pPr>
      <w:r>
        <w:rPr>
          <w:rFonts w:hint="eastAsia" w:ascii="宋体" w:hAnsi="宋体"/>
          <w:snapToGrid w:val="0"/>
          <w:kern w:val="0"/>
        </w:rPr>
        <w:t>4.4  有依法缴纳税收和社会保障资金的良好记录。</w:t>
      </w:r>
    </w:p>
    <w:p w14:paraId="4913B475">
      <w:pPr>
        <w:adjustRightInd w:val="0"/>
        <w:spacing w:line="360" w:lineRule="auto"/>
        <w:rPr>
          <w:rFonts w:ascii="宋体" w:hAnsi="宋体"/>
          <w:snapToGrid w:val="0"/>
          <w:kern w:val="0"/>
        </w:rPr>
      </w:pPr>
      <w:r>
        <w:rPr>
          <w:rFonts w:hint="eastAsia" w:ascii="宋体" w:hAnsi="宋体"/>
          <w:snapToGrid w:val="0"/>
          <w:kern w:val="0"/>
        </w:rPr>
        <w:t>4.5  参加采购活动近三年内，在经营活动中没有重大违法记录。</w:t>
      </w:r>
    </w:p>
    <w:p w14:paraId="5B0D0793">
      <w:pPr>
        <w:adjustRightInd w:val="0"/>
        <w:spacing w:line="360" w:lineRule="auto"/>
        <w:rPr>
          <w:rFonts w:ascii="宋体" w:hAnsi="宋体"/>
          <w:snapToGrid w:val="0"/>
          <w:kern w:val="0"/>
        </w:rPr>
      </w:pPr>
      <w:r>
        <w:rPr>
          <w:rFonts w:hint="eastAsia" w:ascii="宋体" w:hAnsi="宋体"/>
          <w:snapToGrid w:val="0"/>
          <w:kern w:val="0"/>
        </w:rPr>
        <w:t>4.6  法律、行政法规规定的其他条件。</w:t>
      </w:r>
    </w:p>
    <w:p w14:paraId="5848A896">
      <w:pPr>
        <w:adjustRightInd w:val="0"/>
        <w:spacing w:line="360" w:lineRule="auto"/>
        <w:rPr>
          <w:rFonts w:ascii="宋体" w:hAnsi="宋体"/>
          <w:snapToGrid w:val="0"/>
          <w:kern w:val="0"/>
        </w:rPr>
      </w:pPr>
      <w:r>
        <w:rPr>
          <w:rFonts w:hint="eastAsia" w:ascii="宋体" w:hAnsi="宋体"/>
          <w:snapToGrid w:val="0"/>
          <w:kern w:val="0"/>
        </w:rPr>
        <w:t>4.7  符合前附表第5项规定的条件。</w:t>
      </w:r>
    </w:p>
    <w:p w14:paraId="1A2F8468">
      <w:pPr>
        <w:adjustRightInd w:val="0"/>
        <w:spacing w:line="360" w:lineRule="auto"/>
        <w:rPr>
          <w:rFonts w:ascii="宋体" w:hAnsi="宋体"/>
          <w:snapToGrid w:val="0"/>
          <w:kern w:val="0"/>
        </w:rPr>
      </w:pPr>
      <w:r>
        <w:rPr>
          <w:rFonts w:hint="eastAsia" w:ascii="宋体" w:hAnsi="宋体"/>
          <w:snapToGrid w:val="0"/>
          <w:kern w:val="0"/>
        </w:rPr>
        <w:t>4.8  联合体响应</w:t>
      </w:r>
    </w:p>
    <w:p w14:paraId="49DDE0CF">
      <w:pPr>
        <w:adjustRightInd w:val="0"/>
        <w:spacing w:line="360" w:lineRule="auto"/>
        <w:rPr>
          <w:rFonts w:ascii="宋体" w:hAnsi="宋体"/>
          <w:snapToGrid w:val="0"/>
          <w:kern w:val="0"/>
        </w:rPr>
      </w:pPr>
      <w:r>
        <w:rPr>
          <w:rFonts w:hint="eastAsia" w:ascii="宋体" w:hAnsi="宋体"/>
          <w:snapToGrid w:val="0"/>
          <w:kern w:val="0"/>
        </w:rPr>
        <w:t>4.8.1　以下有关联合体响应的条款仅适用于允许供应商组成联合体响应的项目。是否允许联合体响应以《供应商须知前附表》中第6项的规定或说明为准。</w:t>
      </w:r>
    </w:p>
    <w:p w14:paraId="4F8FE754">
      <w:pPr>
        <w:adjustRightInd w:val="0"/>
        <w:spacing w:line="360" w:lineRule="auto"/>
        <w:rPr>
          <w:rFonts w:ascii="宋体" w:hAnsi="宋体"/>
          <w:snapToGrid w:val="0"/>
          <w:kern w:val="0"/>
        </w:rPr>
      </w:pPr>
      <w:r>
        <w:rPr>
          <w:rFonts w:hint="eastAsia" w:ascii="宋体" w:hAnsi="宋体"/>
          <w:snapToGrid w:val="0"/>
          <w:kern w:val="0"/>
        </w:rPr>
        <w:t>4.8.2  由两个或两个以上的自然人、法人或者其他组织可以组成一个联合体，以一个供应商的身份共同响应时，应符合以下原则：</w:t>
      </w:r>
    </w:p>
    <w:p w14:paraId="477C1C75">
      <w:pPr>
        <w:adjustRightInd w:val="0"/>
        <w:spacing w:line="360" w:lineRule="auto"/>
        <w:rPr>
          <w:rFonts w:ascii="宋体" w:hAnsi="宋体"/>
          <w:snapToGrid w:val="0"/>
          <w:kern w:val="0"/>
        </w:rPr>
      </w:pPr>
      <w:r>
        <w:rPr>
          <w:rFonts w:hint="eastAsia" w:ascii="宋体" w:hAnsi="宋体"/>
          <w:snapToGrid w:val="0"/>
          <w:kern w:val="0"/>
        </w:rPr>
        <w:t>（1）响应联合体各方参加采购活动应当具备下列条件：</w:t>
      </w:r>
      <w:r>
        <w:rPr>
          <w:rFonts w:ascii="宋体" w:hAnsi="宋体"/>
          <w:snapToGrid w:val="0"/>
          <w:kern w:val="0"/>
        </w:rPr>
        <w:t xml:space="preserve"> </w:t>
      </w:r>
    </w:p>
    <w:p w14:paraId="78297706">
      <w:pPr>
        <w:adjustRightInd w:val="0"/>
        <w:spacing w:line="360" w:lineRule="auto"/>
        <w:ind w:firstLine="567" w:firstLineChars="270"/>
        <w:rPr>
          <w:rFonts w:ascii="宋体" w:hAnsi="宋体"/>
          <w:snapToGrid w:val="0"/>
          <w:kern w:val="0"/>
        </w:rPr>
      </w:pPr>
      <w:r>
        <w:rPr>
          <w:rFonts w:hint="eastAsia" w:ascii="宋体" w:hAnsi="宋体"/>
          <w:snapToGrid w:val="0"/>
          <w:kern w:val="0"/>
        </w:rPr>
        <w:t>1、具有独立承担民事责任的能力；</w:t>
      </w:r>
      <w:r>
        <w:rPr>
          <w:rFonts w:ascii="宋体" w:hAnsi="宋体"/>
          <w:snapToGrid w:val="0"/>
          <w:kern w:val="0"/>
        </w:rPr>
        <w:t xml:space="preserve"> </w:t>
      </w:r>
    </w:p>
    <w:p w14:paraId="0DB80DE2">
      <w:pPr>
        <w:adjustRightInd w:val="0"/>
        <w:spacing w:line="360" w:lineRule="auto"/>
        <w:ind w:firstLine="567" w:firstLineChars="270"/>
        <w:rPr>
          <w:rFonts w:ascii="宋体" w:hAnsi="宋体"/>
          <w:snapToGrid w:val="0"/>
          <w:kern w:val="0"/>
        </w:rPr>
      </w:pPr>
      <w:r>
        <w:rPr>
          <w:rFonts w:hint="eastAsia" w:ascii="宋体" w:hAnsi="宋体"/>
          <w:snapToGrid w:val="0"/>
          <w:kern w:val="0"/>
        </w:rPr>
        <w:t>2、具有良好的商业信誉和健全的财务会计制度；</w:t>
      </w:r>
      <w:r>
        <w:rPr>
          <w:rFonts w:ascii="宋体" w:hAnsi="宋体"/>
          <w:snapToGrid w:val="0"/>
          <w:kern w:val="0"/>
        </w:rPr>
        <w:t xml:space="preserve"> </w:t>
      </w:r>
    </w:p>
    <w:p w14:paraId="55692B9F">
      <w:pPr>
        <w:adjustRightInd w:val="0"/>
        <w:spacing w:line="360" w:lineRule="auto"/>
        <w:ind w:firstLine="567" w:firstLineChars="270"/>
        <w:rPr>
          <w:rFonts w:ascii="宋体" w:hAnsi="宋体"/>
          <w:snapToGrid w:val="0"/>
          <w:kern w:val="0"/>
        </w:rPr>
      </w:pPr>
      <w:r>
        <w:rPr>
          <w:rFonts w:hint="eastAsia" w:ascii="宋体" w:hAnsi="宋体"/>
          <w:snapToGrid w:val="0"/>
          <w:kern w:val="0"/>
        </w:rPr>
        <w:t>3、具有履行合同所必需的设备和专业技术能力；</w:t>
      </w:r>
      <w:r>
        <w:rPr>
          <w:rFonts w:ascii="宋体" w:hAnsi="宋体"/>
          <w:snapToGrid w:val="0"/>
          <w:kern w:val="0"/>
        </w:rPr>
        <w:t xml:space="preserve"> </w:t>
      </w:r>
    </w:p>
    <w:p w14:paraId="7C6C8E8F">
      <w:pPr>
        <w:adjustRightInd w:val="0"/>
        <w:spacing w:line="360" w:lineRule="auto"/>
        <w:ind w:firstLine="567" w:firstLineChars="270"/>
        <w:rPr>
          <w:rFonts w:ascii="宋体" w:hAnsi="宋体"/>
          <w:snapToGrid w:val="0"/>
          <w:kern w:val="0"/>
        </w:rPr>
      </w:pPr>
      <w:r>
        <w:rPr>
          <w:rFonts w:hint="eastAsia" w:ascii="宋体" w:hAnsi="宋体"/>
          <w:snapToGrid w:val="0"/>
          <w:kern w:val="0"/>
        </w:rPr>
        <w:t>4、有依法缴纳税收和社会保障资金的良好记录；</w:t>
      </w:r>
      <w:r>
        <w:rPr>
          <w:rFonts w:ascii="宋体" w:hAnsi="宋体"/>
          <w:snapToGrid w:val="0"/>
          <w:kern w:val="0"/>
        </w:rPr>
        <w:t xml:space="preserve"> </w:t>
      </w:r>
    </w:p>
    <w:p w14:paraId="577086AC">
      <w:pPr>
        <w:adjustRightInd w:val="0"/>
        <w:spacing w:line="360" w:lineRule="auto"/>
        <w:ind w:firstLine="567" w:firstLineChars="270"/>
        <w:rPr>
          <w:rFonts w:ascii="宋体" w:hAnsi="宋体"/>
          <w:snapToGrid w:val="0"/>
          <w:kern w:val="0"/>
        </w:rPr>
      </w:pPr>
      <w:r>
        <w:rPr>
          <w:rFonts w:hint="eastAsia" w:ascii="宋体" w:hAnsi="宋体"/>
          <w:snapToGrid w:val="0"/>
          <w:kern w:val="0"/>
        </w:rPr>
        <w:t>5、参加采购活动前三年内，在经营活动中没有重大违法记录；</w:t>
      </w:r>
      <w:r>
        <w:rPr>
          <w:rFonts w:ascii="宋体" w:hAnsi="宋体"/>
          <w:snapToGrid w:val="0"/>
          <w:kern w:val="0"/>
        </w:rPr>
        <w:t xml:space="preserve"> </w:t>
      </w:r>
    </w:p>
    <w:p w14:paraId="3BD2FA52">
      <w:pPr>
        <w:adjustRightInd w:val="0"/>
        <w:spacing w:line="360" w:lineRule="auto"/>
        <w:ind w:firstLine="567" w:firstLineChars="270"/>
        <w:rPr>
          <w:rFonts w:ascii="宋体" w:hAnsi="宋体"/>
          <w:snapToGrid w:val="0"/>
          <w:kern w:val="0"/>
        </w:rPr>
      </w:pPr>
      <w:r>
        <w:rPr>
          <w:rFonts w:hint="eastAsia" w:ascii="宋体" w:hAnsi="宋体"/>
          <w:snapToGrid w:val="0"/>
          <w:kern w:val="0"/>
        </w:rPr>
        <w:t>6、法律、行政法规规定的其他条件。</w:t>
      </w:r>
      <w:r>
        <w:rPr>
          <w:rFonts w:ascii="宋体" w:hAnsi="宋体"/>
          <w:snapToGrid w:val="0"/>
          <w:kern w:val="0"/>
        </w:rPr>
        <w:t xml:space="preserve"> </w:t>
      </w:r>
    </w:p>
    <w:p w14:paraId="2F91031D">
      <w:pPr>
        <w:adjustRightInd w:val="0"/>
        <w:spacing w:line="360" w:lineRule="auto"/>
        <w:rPr>
          <w:rFonts w:ascii="宋体" w:hAnsi="宋体"/>
          <w:snapToGrid w:val="0"/>
          <w:kern w:val="0"/>
        </w:rPr>
      </w:pPr>
      <w:r>
        <w:rPr>
          <w:rFonts w:hint="eastAsia" w:ascii="宋体" w:hAnsi="宋体"/>
          <w:snapToGrid w:val="0"/>
          <w:kern w:val="0"/>
        </w:rPr>
        <w:t>（2）联合体中有同类资质的供应商按照联合体分工承担相同工作的，应当按照资质等级较低的供应商确定资质等级。</w:t>
      </w:r>
    </w:p>
    <w:p w14:paraId="6883D53E">
      <w:pPr>
        <w:adjustRightInd w:val="0"/>
        <w:spacing w:line="360" w:lineRule="auto"/>
        <w:rPr>
          <w:rFonts w:ascii="宋体" w:hAnsi="宋体"/>
          <w:snapToGrid w:val="0"/>
          <w:kern w:val="0"/>
        </w:rPr>
      </w:pPr>
      <w:r>
        <w:rPr>
          <w:rFonts w:hint="eastAsia" w:ascii="宋体" w:hAnsi="宋体"/>
          <w:snapToGrid w:val="0"/>
          <w:kern w:val="0"/>
        </w:rPr>
        <w:t>（3）是否允许联合体参加响应，应当由采购人和采购代理机构根据项目的实际情况和潜在供应商的数量自主决定，如果决定接受联合体响应则应当在采购公告中明示。</w:t>
      </w:r>
    </w:p>
    <w:p w14:paraId="16440891">
      <w:pPr>
        <w:adjustRightInd w:val="0"/>
        <w:spacing w:line="360" w:lineRule="auto"/>
        <w:rPr>
          <w:rFonts w:ascii="宋体" w:hAnsi="宋体"/>
          <w:snapToGrid w:val="0"/>
          <w:kern w:val="0"/>
        </w:rPr>
      </w:pPr>
      <w:r>
        <w:rPr>
          <w:rFonts w:hint="eastAsia" w:ascii="宋体" w:hAnsi="宋体"/>
          <w:snapToGrid w:val="0"/>
          <w:kern w:val="0"/>
        </w:rPr>
        <w:t>（4）采购人根据采购项目的特殊要求规定供应商特定条件的，联合体各方中至少应当有一方符合采购人规定的特定条件。对于采购公告</w:t>
      </w:r>
      <w:r>
        <w:rPr>
          <w:rFonts w:ascii="宋体" w:hAnsi="宋体"/>
          <w:snapToGrid w:val="0"/>
          <w:kern w:val="0"/>
        </w:rPr>
        <w:t>对供应商</w:t>
      </w:r>
      <w:r>
        <w:rPr>
          <w:rFonts w:hint="eastAsia" w:ascii="宋体" w:hAnsi="宋体"/>
          <w:snapToGrid w:val="0"/>
          <w:kern w:val="0"/>
        </w:rPr>
        <w:t>某一资格</w:t>
      </w:r>
      <w:r>
        <w:rPr>
          <w:rFonts w:ascii="宋体" w:hAnsi="宋体"/>
          <w:snapToGrid w:val="0"/>
          <w:kern w:val="0"/>
        </w:rPr>
        <w:t>有</w:t>
      </w:r>
      <w:r>
        <w:rPr>
          <w:rFonts w:hint="eastAsia" w:ascii="宋体" w:hAnsi="宋体"/>
          <w:snapToGrid w:val="0"/>
          <w:kern w:val="0"/>
        </w:rPr>
        <w:t>要求</w:t>
      </w:r>
      <w:r>
        <w:rPr>
          <w:rFonts w:ascii="宋体" w:hAnsi="宋体"/>
          <w:snapToGrid w:val="0"/>
          <w:kern w:val="0"/>
        </w:rPr>
        <w:t>的，</w:t>
      </w:r>
      <w:r>
        <w:rPr>
          <w:rFonts w:hint="eastAsia" w:ascii="宋体" w:hAnsi="宋体"/>
          <w:snapToGrid w:val="0"/>
          <w:kern w:val="0"/>
        </w:rPr>
        <w:t>按照联合体各方中最低资质等级确定联合体的资质等级；联合体各方的不同资质可优势互补。</w:t>
      </w:r>
    </w:p>
    <w:p w14:paraId="073555AD">
      <w:pPr>
        <w:adjustRightInd w:val="0"/>
        <w:spacing w:line="360" w:lineRule="auto"/>
        <w:rPr>
          <w:rFonts w:ascii="宋体" w:hAnsi="宋体"/>
          <w:snapToGrid w:val="0"/>
          <w:kern w:val="0"/>
        </w:rPr>
      </w:pPr>
      <w:r>
        <w:rPr>
          <w:rFonts w:hint="eastAsia" w:ascii="宋体" w:hAnsi="宋体"/>
          <w:snapToGrid w:val="0"/>
          <w:kern w:val="0"/>
        </w:rPr>
        <w:t>（5）供应商的响应文件及成交后签署的合同协议对联合体各方均具法律约束力。</w:t>
      </w:r>
    </w:p>
    <w:p w14:paraId="470D60EC">
      <w:pPr>
        <w:adjustRightInd w:val="0"/>
        <w:spacing w:line="360" w:lineRule="auto"/>
        <w:rPr>
          <w:rFonts w:ascii="宋体" w:hAnsi="宋体"/>
          <w:snapToGrid w:val="0"/>
          <w:kern w:val="0"/>
        </w:rPr>
      </w:pPr>
      <w:r>
        <w:rPr>
          <w:rFonts w:hint="eastAsia" w:ascii="宋体" w:hAnsi="宋体"/>
          <w:snapToGrid w:val="0"/>
          <w:kern w:val="0"/>
        </w:rPr>
        <w:t>（6）联合体各方应当签订共同响应协议，明确约定各方拟承担的工作和责任，该共同响应协议应作为响应文件不可缺的组成部分。</w:t>
      </w:r>
    </w:p>
    <w:p w14:paraId="4D7F2603">
      <w:pPr>
        <w:adjustRightInd w:val="0"/>
        <w:spacing w:line="360" w:lineRule="auto"/>
        <w:rPr>
          <w:rFonts w:ascii="宋体" w:hAnsi="宋体"/>
          <w:snapToGrid w:val="0"/>
          <w:kern w:val="0"/>
        </w:rPr>
      </w:pPr>
      <w:r>
        <w:rPr>
          <w:rFonts w:hint="eastAsia" w:ascii="宋体" w:hAnsi="宋体"/>
          <w:snapToGrid w:val="0"/>
          <w:kern w:val="0"/>
        </w:rPr>
        <w:t>（7）联合体成交后，联合体各方应当共同与采购人签订合同，就成交项目向采购人承担连带责任。</w:t>
      </w:r>
    </w:p>
    <w:p w14:paraId="422FA126">
      <w:pPr>
        <w:adjustRightInd w:val="0"/>
        <w:spacing w:line="360" w:lineRule="auto"/>
        <w:rPr>
          <w:rFonts w:ascii="宋体" w:hAnsi="宋体"/>
          <w:snapToGrid w:val="0"/>
          <w:kern w:val="0"/>
        </w:rPr>
      </w:pPr>
      <w:r>
        <w:rPr>
          <w:rFonts w:hint="eastAsia" w:ascii="宋体" w:hAnsi="宋体"/>
          <w:snapToGrid w:val="0"/>
          <w:kern w:val="0"/>
        </w:rPr>
        <w:t>（8）以联合体形式参加采购活动的，联合体各方不得再单独参加或者与其他供应商另外组成联合体参加同一合同项下的采购活动，出现上述情况者，其响应和与此有关的联合体、总包单位的响应将被拒绝。</w:t>
      </w:r>
    </w:p>
    <w:p w14:paraId="17E26879">
      <w:pPr>
        <w:adjustRightInd w:val="0"/>
        <w:spacing w:line="360" w:lineRule="auto"/>
        <w:rPr>
          <w:rFonts w:ascii="宋体" w:hAnsi="宋体"/>
          <w:snapToGrid w:val="0"/>
          <w:kern w:val="0"/>
        </w:rPr>
      </w:pPr>
      <w:r>
        <w:rPr>
          <w:rFonts w:hint="eastAsia" w:ascii="宋体" w:hAnsi="宋体"/>
          <w:snapToGrid w:val="0"/>
          <w:kern w:val="0"/>
        </w:rPr>
        <w:t>（9）本次采购中“供应商”一词亦指联合体各方，《供应商须知前附表》另有规定或说明的除外。</w:t>
      </w:r>
    </w:p>
    <w:p w14:paraId="7DE0C028">
      <w:pPr>
        <w:adjustRightInd w:val="0"/>
        <w:spacing w:line="360" w:lineRule="auto"/>
        <w:rPr>
          <w:rFonts w:ascii="宋体" w:hAnsi="宋体"/>
          <w:b/>
          <w:snapToGrid w:val="0"/>
          <w:kern w:val="0"/>
        </w:rPr>
      </w:pPr>
      <w:r>
        <w:rPr>
          <w:rFonts w:hint="eastAsia" w:ascii="宋体" w:hAnsi="宋体"/>
          <w:b/>
          <w:snapToGrid w:val="0"/>
          <w:kern w:val="0"/>
        </w:rPr>
        <w:t>5</w:t>
      </w:r>
      <w:r>
        <w:rPr>
          <w:rFonts w:ascii="宋体" w:hAnsi="宋体"/>
          <w:b/>
          <w:snapToGrid w:val="0"/>
          <w:kern w:val="0"/>
        </w:rPr>
        <w:t xml:space="preserve">. </w:t>
      </w:r>
      <w:r>
        <w:rPr>
          <w:rFonts w:hint="eastAsia" w:ascii="宋体" w:hAnsi="宋体"/>
          <w:b/>
          <w:snapToGrid w:val="0"/>
          <w:kern w:val="0"/>
        </w:rPr>
        <w:t>响应费用的承担</w:t>
      </w:r>
    </w:p>
    <w:p w14:paraId="45910E53">
      <w:pPr>
        <w:adjustRightInd w:val="0"/>
        <w:spacing w:line="360" w:lineRule="auto"/>
        <w:rPr>
          <w:rFonts w:ascii="宋体" w:hAnsi="宋体"/>
          <w:snapToGrid w:val="0"/>
          <w:kern w:val="0"/>
        </w:rPr>
      </w:pPr>
      <w:r>
        <w:rPr>
          <w:rFonts w:hint="eastAsia" w:ascii="宋体" w:hAnsi="宋体"/>
          <w:snapToGrid w:val="0"/>
          <w:kern w:val="0"/>
        </w:rPr>
        <w:t>5</w:t>
      </w:r>
      <w:r>
        <w:rPr>
          <w:rFonts w:ascii="宋体" w:hAnsi="宋体"/>
          <w:snapToGrid w:val="0"/>
          <w:kern w:val="0"/>
        </w:rPr>
        <w:t xml:space="preserve">.1  </w:t>
      </w:r>
      <w:r>
        <w:rPr>
          <w:rFonts w:hint="eastAsia" w:ascii="宋体" w:hAnsi="宋体"/>
          <w:snapToGrid w:val="0"/>
          <w:kern w:val="0"/>
        </w:rPr>
        <w:t>无论</w:t>
      </w:r>
      <w:r>
        <w:rPr>
          <w:rFonts w:hint="eastAsia" w:ascii="宋体" w:hAnsi="宋体"/>
          <w:b/>
          <w:snapToGrid w:val="0"/>
          <w:kern w:val="0"/>
        </w:rPr>
        <w:t>采购过程</w:t>
      </w:r>
      <w:r>
        <w:rPr>
          <w:rFonts w:hint="eastAsia" w:ascii="宋体" w:hAnsi="宋体"/>
          <w:snapToGrid w:val="0"/>
          <w:kern w:val="0"/>
        </w:rPr>
        <w:t>中的做法和结果如何，供应商自行承担所有与参加响应有关的全部费用。</w:t>
      </w:r>
    </w:p>
    <w:p w14:paraId="4F1AE066">
      <w:pPr>
        <w:spacing w:line="360" w:lineRule="auto"/>
        <w:rPr>
          <w:rFonts w:ascii="宋体" w:hAnsi="宋体"/>
          <w:b/>
          <w:snapToGrid w:val="0"/>
          <w:kern w:val="0"/>
        </w:rPr>
      </w:pPr>
      <w:r>
        <w:rPr>
          <w:rFonts w:hint="eastAsia" w:ascii="宋体" w:hAnsi="宋体"/>
          <w:b/>
          <w:snapToGrid w:val="0"/>
          <w:kern w:val="0"/>
        </w:rPr>
        <w:t>6.  踏勘现场</w:t>
      </w:r>
    </w:p>
    <w:p w14:paraId="11A70E2D">
      <w:pPr>
        <w:spacing w:line="360" w:lineRule="auto"/>
        <w:rPr>
          <w:rFonts w:ascii="宋体" w:hAnsi="宋体"/>
        </w:rPr>
      </w:pPr>
      <w:r>
        <w:rPr>
          <w:rFonts w:hint="eastAsia" w:ascii="宋体" w:hAnsi="宋体"/>
        </w:rPr>
        <w:t xml:space="preserve">6.1  </w:t>
      </w:r>
      <w:r>
        <w:rPr>
          <w:rFonts w:hint="eastAsia" w:asciiTheme="minorEastAsia" w:hAnsiTheme="minorEastAsia" w:eastAsiaTheme="minorEastAsia"/>
        </w:rPr>
        <w:t>本项目按前附表第7项的规定安排现场踏勘，以便</w:t>
      </w:r>
      <w:r>
        <w:rPr>
          <w:rFonts w:hint="eastAsia" w:asciiTheme="minorEastAsia" w:hAnsiTheme="minorEastAsia" w:eastAsiaTheme="minorEastAsia"/>
          <w:lang w:eastAsia="zh-CN"/>
        </w:rPr>
        <w:t>供应商</w:t>
      </w:r>
      <w:r>
        <w:rPr>
          <w:rFonts w:hint="eastAsia" w:asciiTheme="minorEastAsia" w:hAnsiTheme="minorEastAsia" w:eastAsiaTheme="minorEastAsia"/>
        </w:rPr>
        <w:t>获取须自己负责的有关编制投标文件和签署合同所需的所有资料。踏勘现场所发生的费用由</w:t>
      </w:r>
      <w:r>
        <w:rPr>
          <w:rFonts w:hint="eastAsia" w:asciiTheme="minorEastAsia" w:hAnsiTheme="minorEastAsia" w:eastAsiaTheme="minorEastAsia"/>
          <w:lang w:eastAsia="zh-CN"/>
        </w:rPr>
        <w:t>供应商</w:t>
      </w:r>
      <w:r>
        <w:rPr>
          <w:rFonts w:hint="eastAsia" w:asciiTheme="minorEastAsia" w:hAnsiTheme="minorEastAsia" w:eastAsiaTheme="minorEastAsia"/>
        </w:rPr>
        <w:t>自己承担</w:t>
      </w:r>
      <w:r>
        <w:rPr>
          <w:rFonts w:hint="eastAsia" w:ascii="宋体" w:hAnsi="宋体"/>
        </w:rPr>
        <w:t>。</w:t>
      </w:r>
    </w:p>
    <w:p w14:paraId="76CFCC83">
      <w:pPr>
        <w:spacing w:line="360" w:lineRule="auto"/>
        <w:rPr>
          <w:rFonts w:ascii="宋体" w:hAnsi="宋体"/>
        </w:rPr>
      </w:pPr>
      <w:r>
        <w:rPr>
          <w:rFonts w:hint="eastAsia" w:ascii="宋体" w:hAnsi="宋体"/>
        </w:rPr>
        <w:t xml:space="preserve">6.2 </w:t>
      </w:r>
      <w:r>
        <w:rPr>
          <w:rFonts w:hint="eastAsia" w:ascii="宋体" w:hAnsi="宋体"/>
          <w:bCs/>
        </w:rPr>
        <w:t xml:space="preserve"> 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向供应商提供的有关现场的资料和数据，是</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现有的能使供应商利用的资料。</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对供应商由此而做出的推论、理解和结论概不负责。</w:t>
      </w:r>
    </w:p>
    <w:p w14:paraId="5A6B37F5">
      <w:pPr>
        <w:spacing w:line="360" w:lineRule="auto"/>
        <w:rPr>
          <w:rFonts w:ascii="宋体" w:hAnsi="宋体"/>
        </w:rPr>
      </w:pPr>
      <w:r>
        <w:rPr>
          <w:rFonts w:hint="eastAsia" w:ascii="宋体" w:hAnsi="宋体"/>
        </w:rPr>
        <w:t>6.3  供应商及其人员经过</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的允许，可为踏勘目的进入</w:t>
      </w:r>
      <w:r>
        <w:rPr>
          <w:rFonts w:hint="eastAsia" w:ascii="宋体" w:hAnsi="宋体"/>
          <w:bCs/>
          <w:snapToGrid w:val="0"/>
          <w:kern w:val="0"/>
        </w:rPr>
        <w:t>采购人</w:t>
      </w:r>
      <w:r>
        <w:rPr>
          <w:rFonts w:hint="eastAsia" w:ascii="宋体" w:hAnsi="宋体"/>
        </w:rPr>
        <w:t>的现场，但供应商及其人员不得因此使</w:t>
      </w:r>
      <w:r>
        <w:rPr>
          <w:rFonts w:hint="eastAsia" w:ascii="宋体" w:hAnsi="宋体"/>
          <w:bCs/>
        </w:rPr>
        <w:t>采购人</w:t>
      </w:r>
      <w:r>
        <w:rPr>
          <w:rFonts w:hint="eastAsia" w:ascii="宋体" w:hAnsi="宋体"/>
        </w:rPr>
        <w:t>及其人员承担有关的责任和蒙受损失。供应商并应对由此次踏勘现场面造成的死亡、人身伤害、财产损失、损害以及任何其它损失、损害和引起的费用和开支承担责任。</w:t>
      </w:r>
    </w:p>
    <w:p w14:paraId="2552ABEF">
      <w:pPr>
        <w:adjustRightInd w:val="0"/>
        <w:spacing w:line="360" w:lineRule="auto"/>
        <w:jc w:val="center"/>
        <w:rPr>
          <w:rFonts w:ascii="宋体" w:hAnsi="宋体"/>
          <w:b/>
          <w:snapToGrid w:val="0"/>
          <w:kern w:val="0"/>
        </w:rPr>
      </w:pPr>
      <w:bookmarkStart w:id="22" w:name="q5"/>
      <w:bookmarkEnd w:id="22"/>
    </w:p>
    <w:p w14:paraId="4368EAC3">
      <w:pPr>
        <w:pStyle w:val="4"/>
        <w:spacing w:before="0" w:after="0"/>
      </w:pPr>
      <w:bookmarkStart w:id="23" w:name="_Toc1611"/>
      <w:r>
        <w:rPr>
          <w:rFonts w:hint="eastAsia"/>
        </w:rPr>
        <w:t>二、采购文件说明</w:t>
      </w:r>
      <w:bookmarkEnd w:id="23"/>
    </w:p>
    <w:p w14:paraId="647EDB71">
      <w:pPr>
        <w:adjustRightInd w:val="0"/>
        <w:spacing w:line="360" w:lineRule="auto"/>
        <w:rPr>
          <w:rFonts w:ascii="宋体" w:hAnsi="宋体"/>
          <w:b/>
          <w:snapToGrid w:val="0"/>
          <w:kern w:val="0"/>
        </w:rPr>
      </w:pPr>
      <w:r>
        <w:rPr>
          <w:rFonts w:hint="eastAsia" w:ascii="宋体" w:hAnsi="宋体"/>
          <w:b/>
          <w:snapToGrid w:val="0"/>
          <w:kern w:val="0"/>
        </w:rPr>
        <w:t>7</w:t>
      </w:r>
      <w:r>
        <w:rPr>
          <w:rFonts w:ascii="宋体" w:hAnsi="宋体"/>
          <w:b/>
          <w:snapToGrid w:val="0"/>
          <w:kern w:val="0"/>
        </w:rPr>
        <w:t xml:space="preserve">. </w:t>
      </w:r>
      <w:r>
        <w:rPr>
          <w:rFonts w:hint="eastAsia" w:ascii="宋体" w:hAnsi="宋体"/>
          <w:b/>
          <w:snapToGrid w:val="0"/>
          <w:kern w:val="0"/>
        </w:rPr>
        <w:t>采购文件的构成</w:t>
      </w:r>
    </w:p>
    <w:p w14:paraId="60C9D309">
      <w:pPr>
        <w:adjustRightInd w:val="0"/>
        <w:spacing w:line="360" w:lineRule="auto"/>
        <w:rPr>
          <w:rFonts w:ascii="宋体" w:hAnsi="宋体"/>
          <w:snapToGrid w:val="0"/>
          <w:kern w:val="0"/>
        </w:rPr>
      </w:pPr>
      <w:r>
        <w:rPr>
          <w:rFonts w:hint="eastAsia" w:ascii="宋体" w:hAnsi="宋体"/>
          <w:snapToGrid w:val="0"/>
          <w:kern w:val="0"/>
        </w:rPr>
        <w:t>7</w:t>
      </w:r>
      <w:r>
        <w:rPr>
          <w:rFonts w:ascii="宋体" w:hAnsi="宋体"/>
          <w:snapToGrid w:val="0"/>
          <w:kern w:val="0"/>
        </w:rPr>
        <w:t xml:space="preserve">.1  </w:t>
      </w:r>
      <w:r>
        <w:rPr>
          <w:rFonts w:hint="eastAsia" w:ascii="宋体" w:hAnsi="宋体"/>
          <w:snapToGrid w:val="0"/>
          <w:kern w:val="0"/>
        </w:rPr>
        <w:t>采购文件是用以阐明所需设备及服务的情况，以及</w:t>
      </w:r>
      <w:r>
        <w:rPr>
          <w:rFonts w:hint="eastAsia" w:ascii="宋体" w:hAnsi="宋体"/>
          <w:b/>
          <w:snapToGrid w:val="0"/>
          <w:kern w:val="0"/>
        </w:rPr>
        <w:t>采购程序</w:t>
      </w:r>
      <w:r>
        <w:rPr>
          <w:rFonts w:hint="eastAsia" w:ascii="宋体" w:hAnsi="宋体"/>
          <w:snapToGrid w:val="0"/>
          <w:kern w:val="0"/>
        </w:rPr>
        <w:t>和相应的合同条款。采购文件由下述部份组成：</w:t>
      </w:r>
    </w:p>
    <w:p w14:paraId="6054442B">
      <w:pPr>
        <w:adjustRightInd w:val="0"/>
        <w:spacing w:line="360" w:lineRule="auto"/>
        <w:ind w:firstLine="424" w:firstLineChars="202"/>
        <w:rPr>
          <w:rFonts w:ascii="宋体" w:hAnsi="宋体"/>
          <w:snapToGrid w:val="0"/>
          <w:kern w:val="0"/>
        </w:rPr>
      </w:pPr>
      <w:r>
        <w:rPr>
          <w:rFonts w:hint="eastAsia" w:ascii="宋体" w:hAnsi="宋体"/>
          <w:snapToGrid w:val="0"/>
          <w:kern w:val="0"/>
        </w:rPr>
        <w:t>第一章 采购邀请；</w:t>
      </w:r>
    </w:p>
    <w:p w14:paraId="0F1EB6A3">
      <w:pPr>
        <w:adjustRightInd w:val="0"/>
        <w:spacing w:line="360" w:lineRule="auto"/>
        <w:ind w:firstLine="424" w:firstLineChars="202"/>
        <w:rPr>
          <w:rFonts w:ascii="宋体" w:hAnsi="宋体"/>
          <w:snapToGrid w:val="0"/>
          <w:kern w:val="0"/>
        </w:rPr>
      </w:pPr>
      <w:r>
        <w:rPr>
          <w:rFonts w:hint="eastAsia" w:ascii="宋体" w:hAnsi="宋体"/>
          <w:snapToGrid w:val="0"/>
          <w:kern w:val="0"/>
        </w:rPr>
        <w:t>第二章 项目需求；</w:t>
      </w:r>
    </w:p>
    <w:p w14:paraId="52AF563F">
      <w:pPr>
        <w:adjustRightInd w:val="0"/>
        <w:spacing w:line="360" w:lineRule="auto"/>
        <w:ind w:firstLine="424" w:firstLineChars="202"/>
        <w:rPr>
          <w:rFonts w:ascii="宋体" w:hAnsi="宋体"/>
          <w:snapToGrid w:val="0"/>
          <w:kern w:val="0"/>
        </w:rPr>
      </w:pPr>
      <w:r>
        <w:rPr>
          <w:rFonts w:hint="eastAsia" w:ascii="宋体" w:hAnsi="宋体"/>
          <w:snapToGrid w:val="0"/>
          <w:kern w:val="0"/>
        </w:rPr>
        <w:t>第三章 响应文件初审；</w:t>
      </w:r>
      <w:r>
        <w:rPr>
          <w:rFonts w:ascii="宋体" w:hAnsi="宋体"/>
          <w:snapToGrid w:val="0"/>
          <w:kern w:val="0"/>
        </w:rPr>
        <w:t xml:space="preserve"> </w:t>
      </w:r>
    </w:p>
    <w:p w14:paraId="0E4F9AD1">
      <w:pPr>
        <w:adjustRightInd w:val="0"/>
        <w:spacing w:line="360" w:lineRule="auto"/>
        <w:ind w:firstLine="424" w:firstLineChars="202"/>
        <w:rPr>
          <w:rFonts w:ascii="宋体" w:hAnsi="宋体"/>
          <w:snapToGrid w:val="0"/>
          <w:kern w:val="0"/>
        </w:rPr>
      </w:pPr>
      <w:r>
        <w:rPr>
          <w:rFonts w:hint="eastAsia" w:ascii="宋体" w:hAnsi="宋体"/>
          <w:snapToGrid w:val="0"/>
          <w:kern w:val="0"/>
        </w:rPr>
        <w:t>第四章 评审方法和标准；</w:t>
      </w:r>
    </w:p>
    <w:p w14:paraId="339ACBC0">
      <w:pPr>
        <w:adjustRightInd w:val="0"/>
        <w:spacing w:line="360" w:lineRule="auto"/>
        <w:ind w:firstLine="424" w:firstLineChars="202"/>
        <w:rPr>
          <w:rFonts w:ascii="宋体" w:hAnsi="宋体"/>
          <w:snapToGrid w:val="0"/>
          <w:kern w:val="0"/>
        </w:rPr>
      </w:pPr>
      <w:r>
        <w:rPr>
          <w:rFonts w:hint="eastAsia" w:ascii="宋体" w:hAnsi="宋体"/>
          <w:snapToGrid w:val="0"/>
          <w:kern w:val="0"/>
        </w:rPr>
        <w:t>第五章 供应商须知前附表；</w:t>
      </w:r>
    </w:p>
    <w:p w14:paraId="7ECF46D8">
      <w:pPr>
        <w:adjustRightInd w:val="0"/>
        <w:spacing w:line="360" w:lineRule="auto"/>
        <w:ind w:firstLine="424" w:firstLineChars="202"/>
        <w:rPr>
          <w:rFonts w:ascii="宋体" w:hAnsi="宋体"/>
          <w:snapToGrid w:val="0"/>
          <w:kern w:val="0"/>
        </w:rPr>
      </w:pPr>
      <w:r>
        <w:rPr>
          <w:rFonts w:hint="eastAsia" w:ascii="宋体" w:hAnsi="宋体"/>
          <w:snapToGrid w:val="0"/>
          <w:kern w:val="0"/>
        </w:rPr>
        <w:t>第六章 供应商须知；</w:t>
      </w:r>
    </w:p>
    <w:p w14:paraId="48AA0DD4">
      <w:pPr>
        <w:adjustRightInd w:val="0"/>
        <w:spacing w:line="360" w:lineRule="auto"/>
        <w:ind w:firstLine="424" w:firstLineChars="202"/>
        <w:rPr>
          <w:rFonts w:ascii="宋体" w:hAnsi="宋体"/>
          <w:snapToGrid w:val="0"/>
          <w:kern w:val="0"/>
        </w:rPr>
      </w:pPr>
      <w:r>
        <w:rPr>
          <w:rFonts w:hint="eastAsia" w:ascii="宋体" w:hAnsi="宋体"/>
          <w:snapToGrid w:val="0"/>
          <w:kern w:val="0"/>
        </w:rPr>
        <w:t>第七章 响应文件格式；</w:t>
      </w:r>
    </w:p>
    <w:p w14:paraId="42D5B4D7">
      <w:pPr>
        <w:adjustRightInd w:val="0"/>
        <w:spacing w:line="360" w:lineRule="auto"/>
        <w:ind w:firstLine="424" w:firstLineChars="202"/>
        <w:rPr>
          <w:rFonts w:ascii="宋体" w:hAnsi="宋体"/>
          <w:snapToGrid w:val="0"/>
          <w:kern w:val="0"/>
        </w:rPr>
      </w:pPr>
      <w:r>
        <w:rPr>
          <w:rFonts w:hint="eastAsia" w:ascii="宋体" w:hAnsi="宋体"/>
          <w:snapToGrid w:val="0"/>
          <w:kern w:val="0"/>
        </w:rPr>
        <w:t>第八章 合同条款；</w:t>
      </w:r>
    </w:p>
    <w:p w14:paraId="135D4515">
      <w:pPr>
        <w:adjustRightInd w:val="0"/>
        <w:spacing w:line="360" w:lineRule="auto"/>
        <w:ind w:firstLine="424" w:firstLineChars="202"/>
        <w:rPr>
          <w:rFonts w:ascii="宋体" w:hAnsi="宋体"/>
          <w:snapToGrid w:val="0"/>
          <w:kern w:val="0"/>
        </w:rPr>
      </w:pPr>
      <w:r>
        <w:rPr>
          <w:rFonts w:hint="eastAsia" w:ascii="宋体" w:hAnsi="宋体"/>
          <w:snapToGrid w:val="0"/>
          <w:kern w:val="0"/>
        </w:rPr>
        <w:t>第九章 附件。</w:t>
      </w:r>
    </w:p>
    <w:p w14:paraId="430CDDA5">
      <w:pPr>
        <w:adjustRightInd w:val="0"/>
        <w:spacing w:line="360" w:lineRule="auto"/>
        <w:rPr>
          <w:rFonts w:ascii="宋体" w:hAnsi="宋体"/>
          <w:b/>
          <w:snapToGrid w:val="0"/>
          <w:kern w:val="0"/>
        </w:rPr>
      </w:pPr>
      <w:r>
        <w:rPr>
          <w:rFonts w:hint="eastAsia" w:ascii="宋体" w:hAnsi="宋体"/>
          <w:b/>
          <w:snapToGrid w:val="0"/>
          <w:kern w:val="0"/>
        </w:rPr>
        <w:t>8</w:t>
      </w:r>
      <w:r>
        <w:rPr>
          <w:rFonts w:ascii="宋体" w:hAnsi="宋体"/>
          <w:b/>
          <w:snapToGrid w:val="0"/>
          <w:kern w:val="0"/>
        </w:rPr>
        <w:t xml:space="preserve">.  </w:t>
      </w:r>
      <w:r>
        <w:rPr>
          <w:rFonts w:hint="eastAsia" w:ascii="宋体" w:hAnsi="宋体"/>
          <w:b/>
          <w:snapToGrid w:val="0"/>
          <w:kern w:val="0"/>
        </w:rPr>
        <w:t>采购文件的澄清及修改</w:t>
      </w:r>
    </w:p>
    <w:p w14:paraId="0D956968">
      <w:pPr>
        <w:adjustRightInd w:val="0"/>
        <w:spacing w:line="360" w:lineRule="auto"/>
        <w:rPr>
          <w:rFonts w:ascii="宋体" w:hAnsi="宋体"/>
          <w:snapToGrid w:val="0"/>
          <w:kern w:val="0"/>
        </w:rPr>
      </w:pPr>
      <w:r>
        <w:rPr>
          <w:rFonts w:hint="eastAsia" w:ascii="宋体" w:hAnsi="宋体"/>
          <w:snapToGrid w:val="0"/>
          <w:kern w:val="0"/>
        </w:rPr>
        <w:t>8.1  供应商对采购文件如有疑点，可要求澄清，应在响应截止日5日前按采购邀请中载明的地址以书面形式（包括信函、传真，下同）通知到采购代理机构。采购代理机构将视情况确定采用适当方式予以澄清或以书面形式予以答复，并在其认为必要时，将不标明查询来源的书面答复发给已购买采购文件的每一供应商。</w:t>
      </w:r>
    </w:p>
    <w:p w14:paraId="70CABFA0">
      <w:pPr>
        <w:adjustRightInd w:val="0"/>
        <w:spacing w:line="360" w:lineRule="auto"/>
        <w:rPr>
          <w:rFonts w:ascii="宋体" w:hAnsi="宋体"/>
          <w:snapToGrid w:val="0"/>
          <w:kern w:val="0"/>
        </w:rPr>
      </w:pPr>
      <w:r>
        <w:rPr>
          <w:rFonts w:hint="eastAsia" w:ascii="宋体" w:hAnsi="宋体"/>
          <w:snapToGrid w:val="0"/>
          <w:kern w:val="0"/>
        </w:rPr>
        <w:t>8.2  在响应截止日3日前，采购代理机构可主动或依据供应商要求澄清的问题修改采购文件，并以书面形式通知所有购买采购文件的每一供应商，对方在收到该通知后应立即以书面的形式予以确认。</w:t>
      </w:r>
    </w:p>
    <w:p w14:paraId="21667BF6">
      <w:pPr>
        <w:adjustRightInd w:val="0"/>
        <w:spacing w:line="360" w:lineRule="auto"/>
        <w:rPr>
          <w:rFonts w:ascii="宋体" w:hAnsi="宋体"/>
          <w:snapToGrid w:val="0"/>
          <w:kern w:val="0"/>
        </w:rPr>
      </w:pPr>
      <w:r>
        <w:rPr>
          <w:rFonts w:hint="eastAsia" w:ascii="宋体" w:hAnsi="宋体"/>
          <w:snapToGrid w:val="0"/>
          <w:kern w:val="0"/>
        </w:rPr>
        <w:t>8</w:t>
      </w:r>
      <w:r>
        <w:rPr>
          <w:rFonts w:ascii="宋体" w:hAnsi="宋体"/>
          <w:snapToGrid w:val="0"/>
          <w:kern w:val="0"/>
        </w:rPr>
        <w:t xml:space="preserve">.3  </w:t>
      </w:r>
      <w:r>
        <w:rPr>
          <w:rFonts w:hint="eastAsia" w:ascii="宋体" w:hAnsi="宋体"/>
          <w:snapToGrid w:val="0"/>
          <w:kern w:val="0"/>
        </w:rPr>
        <w:t>为了使供应商在准备响应文件时有合理的时间考虑采购文件的修改，</w:t>
      </w:r>
      <w:r>
        <w:rPr>
          <w:rFonts w:hint="eastAsia" w:ascii="宋体" w:hAnsi="宋体" w:cs="宋体"/>
          <w:bCs/>
          <w:snapToGrid w:val="0"/>
          <w:kern w:val="0"/>
        </w:rPr>
        <w:t>采购代理机构</w:t>
      </w:r>
      <w:r>
        <w:rPr>
          <w:rFonts w:hint="eastAsia" w:ascii="宋体" w:hAnsi="宋体"/>
          <w:snapToGrid w:val="0"/>
          <w:kern w:val="0"/>
        </w:rPr>
        <w:t>可酌情推迟响应截止时间和开标时间，并以书面形式通知已购买采购文件的每一供应商。</w:t>
      </w:r>
    </w:p>
    <w:p w14:paraId="3D33F12B">
      <w:pPr>
        <w:adjustRightInd w:val="0"/>
        <w:spacing w:line="360" w:lineRule="auto"/>
        <w:rPr>
          <w:rFonts w:ascii="宋体" w:hAnsi="宋体"/>
          <w:snapToGrid w:val="0"/>
          <w:kern w:val="0"/>
        </w:rPr>
      </w:pPr>
      <w:r>
        <w:rPr>
          <w:rFonts w:hint="eastAsia" w:ascii="宋体" w:hAnsi="宋体"/>
          <w:snapToGrid w:val="0"/>
          <w:kern w:val="0"/>
        </w:rPr>
        <w:t>8</w:t>
      </w:r>
      <w:r>
        <w:rPr>
          <w:rFonts w:ascii="宋体" w:hAnsi="宋体"/>
          <w:snapToGrid w:val="0"/>
          <w:kern w:val="0"/>
        </w:rPr>
        <w:t xml:space="preserve">.4  </w:t>
      </w:r>
      <w:r>
        <w:rPr>
          <w:rFonts w:hint="eastAsia" w:ascii="宋体" w:hAnsi="宋体"/>
          <w:snapToGrid w:val="0"/>
          <w:kern w:val="0"/>
        </w:rPr>
        <w:t>采购文件的修改将构成采购文件的一部分，对供应商有约束力。</w:t>
      </w:r>
    </w:p>
    <w:p w14:paraId="40FE20E0">
      <w:pPr>
        <w:adjustRightInd w:val="0"/>
        <w:spacing w:line="360" w:lineRule="auto"/>
        <w:ind w:firstLine="600"/>
        <w:jc w:val="center"/>
        <w:rPr>
          <w:rFonts w:ascii="宋体" w:hAnsi="宋体"/>
          <w:b/>
          <w:snapToGrid w:val="0"/>
          <w:kern w:val="0"/>
        </w:rPr>
      </w:pPr>
    </w:p>
    <w:p w14:paraId="286BEF0D">
      <w:pPr>
        <w:pStyle w:val="4"/>
        <w:spacing w:before="0" w:after="0"/>
      </w:pPr>
      <w:bookmarkStart w:id="24" w:name="q6"/>
      <w:bookmarkEnd w:id="24"/>
      <w:bookmarkStart w:id="25" w:name="_Toc3375"/>
      <w:r>
        <w:rPr>
          <w:rFonts w:hint="eastAsia"/>
        </w:rPr>
        <w:t>三、响应文件的编写</w:t>
      </w:r>
      <w:bookmarkEnd w:id="25"/>
    </w:p>
    <w:p w14:paraId="276F8CD8">
      <w:pPr>
        <w:adjustRightInd w:val="0"/>
        <w:spacing w:line="360" w:lineRule="auto"/>
        <w:rPr>
          <w:rFonts w:ascii="宋体" w:hAnsi="宋体"/>
          <w:b/>
          <w:snapToGrid w:val="0"/>
          <w:kern w:val="0"/>
        </w:rPr>
      </w:pPr>
      <w:r>
        <w:rPr>
          <w:rFonts w:hint="eastAsia" w:ascii="宋体" w:hAnsi="宋体"/>
          <w:b/>
          <w:snapToGrid w:val="0"/>
          <w:kern w:val="0"/>
        </w:rPr>
        <w:t>9</w:t>
      </w:r>
      <w:r>
        <w:rPr>
          <w:rFonts w:ascii="宋体" w:hAnsi="宋体"/>
          <w:b/>
          <w:snapToGrid w:val="0"/>
          <w:kern w:val="0"/>
        </w:rPr>
        <w:t xml:space="preserve">. </w:t>
      </w:r>
      <w:r>
        <w:rPr>
          <w:rFonts w:hint="eastAsia" w:ascii="宋体" w:hAnsi="宋体"/>
          <w:b/>
          <w:snapToGrid w:val="0"/>
          <w:kern w:val="0"/>
        </w:rPr>
        <w:t>响应语言及计量单位</w:t>
      </w:r>
    </w:p>
    <w:p w14:paraId="7C8A5E2E">
      <w:pPr>
        <w:adjustRightInd w:val="0"/>
        <w:spacing w:line="360" w:lineRule="auto"/>
        <w:rPr>
          <w:rFonts w:ascii="宋体" w:hAnsi="宋体"/>
          <w:snapToGrid w:val="0"/>
          <w:kern w:val="0"/>
        </w:rPr>
      </w:pPr>
      <w:r>
        <w:rPr>
          <w:rFonts w:hint="eastAsia" w:ascii="宋体" w:hAnsi="宋体"/>
          <w:snapToGrid w:val="0"/>
          <w:kern w:val="0"/>
        </w:rPr>
        <w:t>9</w:t>
      </w:r>
      <w:r>
        <w:rPr>
          <w:rFonts w:ascii="宋体" w:hAnsi="宋体"/>
          <w:snapToGrid w:val="0"/>
          <w:kern w:val="0"/>
        </w:rPr>
        <w:t>.1</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响应文件及供应商和</w:t>
      </w:r>
      <w:r>
        <w:rPr>
          <w:rFonts w:hint="eastAsia" w:ascii="宋体" w:hAnsi="宋体" w:cs="宋体"/>
          <w:bCs/>
          <w:snapToGrid w:val="0"/>
          <w:kern w:val="0"/>
        </w:rPr>
        <w:t>采购代理机构</w:t>
      </w:r>
      <w:r>
        <w:rPr>
          <w:rFonts w:hint="eastAsia" w:ascii="宋体" w:hAnsi="宋体"/>
          <w:snapToGrid w:val="0"/>
          <w:kern w:val="0"/>
        </w:rPr>
        <w:t>就响应交换的文件和往来的信件，应以中文书写。</w:t>
      </w:r>
    </w:p>
    <w:p w14:paraId="536E8176">
      <w:pPr>
        <w:adjustRightInd w:val="0"/>
        <w:spacing w:line="360" w:lineRule="auto"/>
        <w:rPr>
          <w:rFonts w:ascii="宋体" w:hAnsi="宋体"/>
          <w:snapToGrid w:val="0"/>
          <w:kern w:val="0"/>
        </w:rPr>
      </w:pPr>
      <w:r>
        <w:rPr>
          <w:rFonts w:hint="eastAsia" w:ascii="宋体" w:hAnsi="宋体"/>
          <w:snapToGrid w:val="0"/>
          <w:kern w:val="0"/>
        </w:rPr>
        <w:t>9</w:t>
      </w:r>
      <w:r>
        <w:rPr>
          <w:rFonts w:ascii="宋体" w:hAnsi="宋体"/>
          <w:snapToGrid w:val="0"/>
          <w:kern w:val="0"/>
        </w:rPr>
        <w:t>.2</w:t>
      </w:r>
      <w:r>
        <w:rPr>
          <w:rFonts w:hint="eastAsia" w:ascii="宋体" w:hAnsi="宋体"/>
          <w:snapToGrid w:val="0"/>
          <w:kern w:val="0"/>
        </w:rPr>
        <w:t xml:space="preserve">  除在采购文件的设计思路和方案中另有规定外，计量单位应使用中华人民共和国法定计量单位（国际单位制和国家选定的其他计量单位）。</w:t>
      </w:r>
    </w:p>
    <w:p w14:paraId="5BA996CC">
      <w:pPr>
        <w:adjustRightInd w:val="0"/>
        <w:spacing w:line="360" w:lineRule="auto"/>
        <w:rPr>
          <w:rFonts w:ascii="宋体" w:hAnsi="宋体"/>
          <w:b/>
          <w:snapToGrid w:val="0"/>
          <w:kern w:val="0"/>
        </w:rPr>
      </w:pPr>
      <w:r>
        <w:rPr>
          <w:rFonts w:hint="eastAsia" w:ascii="宋体" w:hAnsi="宋体"/>
          <w:b/>
          <w:snapToGrid w:val="0"/>
          <w:kern w:val="0"/>
        </w:rPr>
        <w:t>10</w:t>
      </w:r>
      <w:r>
        <w:rPr>
          <w:rFonts w:ascii="宋体" w:hAnsi="宋体"/>
          <w:b/>
          <w:snapToGrid w:val="0"/>
          <w:kern w:val="0"/>
        </w:rPr>
        <w:t xml:space="preserve">. </w:t>
      </w:r>
      <w:r>
        <w:rPr>
          <w:rFonts w:hint="eastAsia" w:ascii="宋体" w:hAnsi="宋体"/>
          <w:b/>
          <w:snapToGrid w:val="0"/>
          <w:kern w:val="0"/>
        </w:rPr>
        <w:t>响应文件的组成</w:t>
      </w:r>
    </w:p>
    <w:p w14:paraId="426AF6D6">
      <w:pPr>
        <w:adjustRightInd w:val="0"/>
        <w:spacing w:line="360" w:lineRule="auto"/>
        <w:rPr>
          <w:rFonts w:ascii="宋体" w:hAnsi="宋体"/>
          <w:snapToGrid w:val="0"/>
          <w:kern w:val="0"/>
        </w:rPr>
      </w:pPr>
      <w:r>
        <w:rPr>
          <w:rFonts w:hint="eastAsia" w:ascii="宋体" w:hAnsi="宋体"/>
          <w:snapToGrid w:val="0"/>
          <w:kern w:val="0"/>
        </w:rPr>
        <w:t>10</w:t>
      </w:r>
      <w:r>
        <w:rPr>
          <w:rFonts w:ascii="宋体" w:hAnsi="宋体"/>
          <w:snapToGrid w:val="0"/>
          <w:kern w:val="0"/>
        </w:rPr>
        <w:t>.1</w:t>
      </w:r>
      <w:r>
        <w:rPr>
          <w:rFonts w:hint="eastAsia" w:ascii="宋体" w:hAnsi="宋体"/>
          <w:snapToGrid w:val="0"/>
          <w:kern w:val="0"/>
        </w:rPr>
        <w:t xml:space="preserve">  响应文件应包括下列部分：</w:t>
      </w:r>
    </w:p>
    <w:p w14:paraId="06E99A9E">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（1）目录</w:t>
      </w:r>
    </w:p>
    <w:p w14:paraId="53D48BC0">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（2）政府采购违法行为风险知悉确认书</w:t>
      </w:r>
    </w:p>
    <w:p w14:paraId="796DD345">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（3）评标指引表</w:t>
      </w:r>
      <w:r>
        <w:rPr>
          <w:rFonts w:hint="eastAsia" w:ascii="宋体" w:hAnsi="宋体"/>
          <w:snapToGrid w:val="0"/>
          <w:kern w:val="0"/>
          <w:lang w:eastAsia="zh-CN"/>
        </w:rPr>
        <w:t>、</w:t>
      </w:r>
      <w:r>
        <w:rPr>
          <w:rFonts w:hint="eastAsia" w:ascii="宋体" w:hAnsi="宋体"/>
          <w:snapToGrid w:val="0"/>
          <w:kern w:val="0"/>
        </w:rPr>
        <w:t>供应商自查表</w:t>
      </w:r>
      <w:r>
        <w:rPr>
          <w:rFonts w:hint="eastAsia" w:ascii="宋体" w:hAnsi="宋体"/>
          <w:snapToGrid w:val="0"/>
          <w:kern w:val="0"/>
          <w:lang w:eastAsia="zh-CN"/>
        </w:rPr>
        <w:t>、</w:t>
      </w:r>
      <w:r>
        <w:rPr>
          <w:rFonts w:hint="eastAsia" w:ascii="宋体" w:hAnsi="宋体"/>
          <w:snapToGrid w:val="0"/>
          <w:kern w:val="0"/>
        </w:rPr>
        <w:t>供应商基本情况表</w:t>
      </w:r>
    </w:p>
    <w:p w14:paraId="604D4DE0">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（4）</w:t>
      </w:r>
      <w:r>
        <w:rPr>
          <w:rFonts w:hint="eastAsia" w:ascii="宋体" w:hAnsi="宋体"/>
          <w:snapToGrid w:val="0"/>
          <w:kern w:val="0"/>
          <w:lang w:eastAsia="zh-CN"/>
        </w:rPr>
        <w:t>供应商</w:t>
      </w:r>
      <w:r>
        <w:rPr>
          <w:rFonts w:hint="eastAsia" w:ascii="宋体" w:hAnsi="宋体"/>
          <w:snapToGrid w:val="0"/>
          <w:kern w:val="0"/>
        </w:rPr>
        <w:t>资格证明文件（</w:t>
      </w:r>
      <w:r>
        <w:rPr>
          <w:rFonts w:hint="eastAsia" w:ascii="宋体" w:hAnsi="宋体"/>
          <w:snapToGrid w:val="0"/>
          <w:kern w:val="0"/>
          <w:lang w:eastAsia="zh-CN"/>
        </w:rPr>
        <w:t>响应文件</w:t>
      </w:r>
      <w:r>
        <w:rPr>
          <w:rFonts w:hint="eastAsia" w:ascii="宋体" w:hAnsi="宋体"/>
          <w:snapToGrid w:val="0"/>
          <w:kern w:val="0"/>
        </w:rPr>
        <w:t>格式1）</w:t>
      </w:r>
    </w:p>
    <w:p w14:paraId="1DAB6326">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（5）法定代表人（负责人）证明书及授权委托书（</w:t>
      </w:r>
      <w:r>
        <w:rPr>
          <w:rFonts w:hint="eastAsia" w:ascii="宋体" w:hAnsi="宋体"/>
          <w:snapToGrid w:val="0"/>
          <w:kern w:val="0"/>
          <w:lang w:eastAsia="zh-CN"/>
        </w:rPr>
        <w:t>响应文件</w:t>
      </w:r>
      <w:r>
        <w:rPr>
          <w:rFonts w:hint="eastAsia" w:ascii="宋体" w:hAnsi="宋体"/>
          <w:snapToGrid w:val="0"/>
          <w:kern w:val="0"/>
        </w:rPr>
        <w:t>格式2）</w:t>
      </w:r>
    </w:p>
    <w:p w14:paraId="7F476BE1">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（6）投标函（</w:t>
      </w:r>
      <w:r>
        <w:rPr>
          <w:rFonts w:hint="eastAsia" w:ascii="宋体" w:hAnsi="宋体"/>
          <w:snapToGrid w:val="0"/>
          <w:kern w:val="0"/>
          <w:lang w:eastAsia="zh-CN"/>
        </w:rPr>
        <w:t>响应文件</w:t>
      </w:r>
      <w:r>
        <w:rPr>
          <w:rFonts w:hint="eastAsia" w:ascii="宋体" w:hAnsi="宋体"/>
          <w:snapToGrid w:val="0"/>
          <w:kern w:val="0"/>
        </w:rPr>
        <w:t>格式3）</w:t>
      </w:r>
    </w:p>
    <w:p w14:paraId="45503155">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（7）</w:t>
      </w:r>
      <w:r>
        <w:rPr>
          <w:rFonts w:hint="eastAsia" w:ascii="宋体" w:hAnsi="宋体"/>
          <w:snapToGrid w:val="0"/>
          <w:kern w:val="0"/>
          <w:lang w:eastAsia="zh-CN"/>
        </w:rPr>
        <w:t>符合政府采购扶持政策的证明材料</w:t>
      </w:r>
      <w:r>
        <w:rPr>
          <w:rFonts w:hint="eastAsia" w:ascii="宋体" w:hAnsi="宋体"/>
          <w:snapToGrid w:val="0"/>
          <w:kern w:val="0"/>
        </w:rPr>
        <w:t>（</w:t>
      </w:r>
      <w:r>
        <w:rPr>
          <w:rFonts w:hint="eastAsia" w:ascii="宋体" w:hAnsi="宋体"/>
          <w:snapToGrid w:val="0"/>
          <w:kern w:val="0"/>
          <w:lang w:eastAsia="zh-CN"/>
        </w:rPr>
        <w:t>响应文件</w:t>
      </w:r>
      <w:r>
        <w:rPr>
          <w:rFonts w:hint="eastAsia" w:ascii="宋体" w:hAnsi="宋体"/>
          <w:snapToGrid w:val="0"/>
          <w:kern w:val="0"/>
        </w:rPr>
        <w:t>格式4）</w:t>
      </w:r>
    </w:p>
    <w:p w14:paraId="544334CA">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（8）报价表（</w:t>
      </w:r>
      <w:r>
        <w:rPr>
          <w:rFonts w:hint="eastAsia" w:ascii="宋体" w:hAnsi="宋体"/>
          <w:snapToGrid w:val="0"/>
          <w:kern w:val="0"/>
          <w:lang w:eastAsia="zh-CN"/>
        </w:rPr>
        <w:t>响应文件</w:t>
      </w:r>
      <w:r>
        <w:rPr>
          <w:rFonts w:hint="eastAsia" w:ascii="宋体" w:hAnsi="宋体"/>
          <w:snapToGrid w:val="0"/>
          <w:kern w:val="0"/>
        </w:rPr>
        <w:t>格式6）</w:t>
      </w:r>
    </w:p>
    <w:p w14:paraId="0CD16597">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（9）服务方案（</w:t>
      </w:r>
      <w:r>
        <w:rPr>
          <w:rFonts w:hint="eastAsia" w:ascii="宋体" w:hAnsi="宋体"/>
          <w:snapToGrid w:val="0"/>
          <w:kern w:val="0"/>
          <w:lang w:eastAsia="zh-CN"/>
        </w:rPr>
        <w:t>响应文件</w:t>
      </w:r>
      <w:r>
        <w:rPr>
          <w:rFonts w:hint="eastAsia" w:ascii="宋体" w:hAnsi="宋体"/>
          <w:snapToGrid w:val="0"/>
          <w:kern w:val="0"/>
        </w:rPr>
        <w:t>格式7）</w:t>
      </w:r>
    </w:p>
    <w:p w14:paraId="0DEF2623">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（10）</w:t>
      </w:r>
      <w:r>
        <w:rPr>
          <w:rFonts w:hint="eastAsia" w:ascii="宋体" w:hAnsi="宋体"/>
          <w:snapToGrid w:val="0"/>
          <w:kern w:val="0"/>
          <w:lang w:eastAsia="zh-CN"/>
        </w:rPr>
        <w:t>供应商</w:t>
      </w:r>
      <w:r>
        <w:rPr>
          <w:rFonts w:hint="eastAsia" w:ascii="宋体" w:hAnsi="宋体"/>
          <w:snapToGrid w:val="0"/>
          <w:kern w:val="0"/>
        </w:rPr>
        <w:t>情况介绍 （</w:t>
      </w:r>
      <w:r>
        <w:rPr>
          <w:rFonts w:hint="eastAsia" w:ascii="宋体" w:hAnsi="宋体"/>
          <w:snapToGrid w:val="0"/>
          <w:kern w:val="0"/>
          <w:lang w:eastAsia="zh-CN"/>
        </w:rPr>
        <w:t>响应文件</w:t>
      </w:r>
      <w:r>
        <w:rPr>
          <w:rFonts w:hint="eastAsia" w:ascii="宋体" w:hAnsi="宋体"/>
          <w:snapToGrid w:val="0"/>
          <w:kern w:val="0"/>
        </w:rPr>
        <w:t>格式8）</w:t>
      </w:r>
    </w:p>
    <w:p w14:paraId="528E78BB">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（11）偏离表（</w:t>
      </w:r>
      <w:r>
        <w:rPr>
          <w:rFonts w:hint="eastAsia" w:ascii="宋体" w:hAnsi="宋体"/>
          <w:snapToGrid w:val="0"/>
          <w:kern w:val="0"/>
          <w:lang w:eastAsia="zh-CN"/>
        </w:rPr>
        <w:t>响应文件</w:t>
      </w:r>
      <w:r>
        <w:rPr>
          <w:rFonts w:hint="eastAsia" w:ascii="宋体" w:hAnsi="宋体"/>
          <w:snapToGrid w:val="0"/>
          <w:kern w:val="0"/>
        </w:rPr>
        <w:t>格式9）</w:t>
      </w:r>
    </w:p>
    <w:p w14:paraId="29125C15">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（12）招标文件要求的其他资料或</w:t>
      </w:r>
      <w:r>
        <w:rPr>
          <w:rFonts w:hint="eastAsia" w:ascii="宋体" w:hAnsi="宋体"/>
          <w:snapToGrid w:val="0"/>
          <w:kern w:val="0"/>
          <w:lang w:eastAsia="zh-CN"/>
        </w:rPr>
        <w:t>供应商</w:t>
      </w:r>
      <w:r>
        <w:rPr>
          <w:rFonts w:hint="eastAsia" w:ascii="宋体" w:hAnsi="宋体"/>
          <w:snapToGrid w:val="0"/>
          <w:kern w:val="0"/>
        </w:rPr>
        <w:t>认为需要补充的资料（</w:t>
      </w:r>
      <w:r>
        <w:rPr>
          <w:rFonts w:hint="eastAsia" w:ascii="宋体" w:hAnsi="宋体"/>
          <w:snapToGrid w:val="0"/>
          <w:kern w:val="0"/>
          <w:lang w:eastAsia="zh-CN"/>
        </w:rPr>
        <w:t>响应文件</w:t>
      </w:r>
      <w:r>
        <w:rPr>
          <w:rFonts w:hint="eastAsia" w:ascii="宋体" w:hAnsi="宋体"/>
          <w:snapToGrid w:val="0"/>
          <w:kern w:val="0"/>
        </w:rPr>
        <w:t>格式10）</w:t>
      </w:r>
    </w:p>
    <w:p w14:paraId="29244E6F">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（13）装有“法定代表人（负责人）证明书、法定代表人（负责人）授权委托书”和“开标一览表”单独密封的信封</w:t>
      </w:r>
    </w:p>
    <w:p w14:paraId="5BE4EC22">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（14）装有电子备份光盘（或U盘）（含</w:t>
      </w:r>
      <w:r>
        <w:rPr>
          <w:rFonts w:hint="eastAsia" w:ascii="宋体" w:hAnsi="宋体"/>
          <w:snapToGrid w:val="0"/>
          <w:kern w:val="0"/>
          <w:lang w:eastAsia="zh-CN"/>
        </w:rPr>
        <w:t>响应文件</w:t>
      </w:r>
      <w:r>
        <w:rPr>
          <w:rFonts w:hint="eastAsia" w:ascii="宋体" w:hAnsi="宋体"/>
          <w:snapToGrid w:val="0"/>
          <w:kern w:val="0"/>
        </w:rPr>
        <w:t>正本盖章扫描件）单独密封的信封</w:t>
      </w:r>
    </w:p>
    <w:p w14:paraId="2B764528">
      <w:pPr>
        <w:adjustRightInd w:val="0"/>
        <w:spacing w:line="360" w:lineRule="auto"/>
        <w:rPr>
          <w:rFonts w:ascii="宋体" w:hAnsi="宋体"/>
          <w:snapToGrid w:val="0"/>
          <w:kern w:val="0"/>
        </w:rPr>
      </w:pPr>
      <w:r>
        <w:rPr>
          <w:rFonts w:hint="eastAsia" w:ascii="宋体" w:hAnsi="宋体"/>
          <w:b/>
          <w:snapToGrid w:val="0"/>
          <w:kern w:val="0"/>
        </w:rPr>
        <w:t>11</w:t>
      </w:r>
      <w:r>
        <w:rPr>
          <w:rFonts w:ascii="宋体" w:hAnsi="宋体"/>
          <w:b/>
          <w:snapToGrid w:val="0"/>
          <w:kern w:val="0"/>
        </w:rPr>
        <w:t xml:space="preserve">. </w:t>
      </w:r>
      <w:r>
        <w:rPr>
          <w:rFonts w:hint="eastAsia" w:ascii="宋体" w:hAnsi="宋体"/>
          <w:b/>
          <w:snapToGrid w:val="0"/>
          <w:kern w:val="0"/>
        </w:rPr>
        <w:t>响应文件格式</w:t>
      </w:r>
    </w:p>
    <w:p w14:paraId="73792EF3">
      <w:pPr>
        <w:adjustRightInd w:val="0"/>
        <w:spacing w:line="360" w:lineRule="auto"/>
        <w:rPr>
          <w:rFonts w:ascii="宋体" w:hAnsi="宋体"/>
          <w:snapToGrid w:val="0"/>
          <w:kern w:val="0"/>
        </w:rPr>
      </w:pPr>
      <w:r>
        <w:rPr>
          <w:rFonts w:hint="eastAsia" w:ascii="宋体" w:hAnsi="宋体"/>
          <w:snapToGrid w:val="0"/>
          <w:kern w:val="0"/>
        </w:rPr>
        <w:t>11</w:t>
      </w:r>
      <w:r>
        <w:rPr>
          <w:rFonts w:ascii="宋体" w:hAnsi="宋体"/>
          <w:snapToGrid w:val="0"/>
          <w:kern w:val="0"/>
        </w:rPr>
        <w:t xml:space="preserve">.1  </w:t>
      </w:r>
      <w:r>
        <w:rPr>
          <w:rFonts w:hint="eastAsia" w:ascii="宋体" w:hAnsi="宋体"/>
          <w:snapToGrid w:val="0"/>
          <w:kern w:val="0"/>
        </w:rPr>
        <w:t>响应文件必须毫无遗漏地包括本须知第10条规定的内容，供应商提交的响应文件必须毫无例外地使用采购文件所提供响应文件格式（表格可以按同样格式扩展）。</w:t>
      </w:r>
      <w:r>
        <w:rPr>
          <w:rFonts w:hint="eastAsia" w:ascii="宋体" w:hAnsi="宋体"/>
        </w:rPr>
        <w:t>如没有相应格式的，由供应商根据采购要求自行编制。</w:t>
      </w:r>
    </w:p>
    <w:p w14:paraId="3C4BBC89">
      <w:pPr>
        <w:adjustRightInd w:val="0"/>
        <w:spacing w:line="360" w:lineRule="auto"/>
        <w:rPr>
          <w:rFonts w:ascii="宋体" w:hAnsi="宋体"/>
          <w:b/>
          <w:snapToGrid w:val="0"/>
          <w:kern w:val="0"/>
        </w:rPr>
      </w:pPr>
      <w:r>
        <w:rPr>
          <w:rFonts w:hint="eastAsia" w:ascii="宋体" w:hAnsi="宋体"/>
          <w:b/>
          <w:snapToGrid w:val="0"/>
          <w:kern w:val="0"/>
        </w:rPr>
        <w:t>12</w:t>
      </w:r>
      <w:r>
        <w:rPr>
          <w:rFonts w:ascii="宋体" w:hAnsi="宋体"/>
          <w:b/>
          <w:snapToGrid w:val="0"/>
          <w:kern w:val="0"/>
        </w:rPr>
        <w:t xml:space="preserve">. </w:t>
      </w:r>
      <w:r>
        <w:rPr>
          <w:rFonts w:hint="eastAsia" w:ascii="宋体" w:hAnsi="宋体"/>
          <w:b/>
          <w:snapToGrid w:val="0"/>
          <w:kern w:val="0"/>
        </w:rPr>
        <w:t>响应报价</w:t>
      </w:r>
    </w:p>
    <w:p w14:paraId="0A571998">
      <w:pPr>
        <w:adjustRightInd w:val="0"/>
        <w:spacing w:line="360" w:lineRule="auto"/>
        <w:rPr>
          <w:rFonts w:ascii="宋体" w:hAnsi="宋体"/>
          <w:snapToGrid w:val="0"/>
          <w:kern w:val="0"/>
        </w:rPr>
      </w:pPr>
      <w:r>
        <w:rPr>
          <w:rFonts w:ascii="宋体" w:hAnsi="宋体"/>
          <w:snapToGrid w:val="0"/>
          <w:kern w:val="0"/>
        </w:rPr>
        <w:t>12.1</w:t>
      </w:r>
      <w:r>
        <w:rPr>
          <w:rFonts w:hint="eastAsia" w:ascii="宋体" w:hAnsi="宋体"/>
          <w:snapToGrid w:val="0"/>
          <w:kern w:val="0"/>
        </w:rPr>
        <w:t xml:space="preserve">  供应商应</w:t>
      </w:r>
      <w:r>
        <w:rPr>
          <w:rFonts w:hint="eastAsia" w:ascii="宋体" w:hAnsi="宋体"/>
          <w:snapToGrid w:val="0"/>
          <w:kern w:val="0"/>
          <w:lang w:eastAsia="zh-CN"/>
        </w:rPr>
        <w:t>按响应文件格式要求提供</w:t>
      </w:r>
      <w:r>
        <w:rPr>
          <w:rFonts w:hint="eastAsia" w:ascii="宋体" w:hAnsi="宋体"/>
          <w:snapToGrid w:val="0"/>
          <w:kern w:val="0"/>
        </w:rPr>
        <w:t>“开标一览表”和“报价表”。供应商对每种项目只允许有一个报价，采购代理机构不接受有任何选择的报价。</w:t>
      </w:r>
    </w:p>
    <w:p w14:paraId="55B874E1">
      <w:pPr>
        <w:adjustRightInd w:val="0"/>
        <w:spacing w:line="360" w:lineRule="auto"/>
        <w:rPr>
          <w:rFonts w:ascii="宋体" w:hAnsi="宋体"/>
          <w:snapToGrid w:val="0"/>
          <w:kern w:val="0"/>
        </w:rPr>
      </w:pPr>
      <w:r>
        <w:rPr>
          <w:rFonts w:ascii="宋体" w:hAnsi="宋体"/>
          <w:snapToGrid w:val="0"/>
          <w:kern w:val="0"/>
        </w:rPr>
        <w:t>12.</w:t>
      </w:r>
      <w:r>
        <w:rPr>
          <w:rFonts w:hint="eastAsia" w:ascii="宋体" w:hAnsi="宋体"/>
          <w:snapToGrid w:val="0"/>
          <w:kern w:val="0"/>
          <w:lang w:val="en-US" w:eastAsia="zh-CN"/>
        </w:rPr>
        <w:t>2</w:t>
      </w:r>
      <w:r>
        <w:rPr>
          <w:rFonts w:ascii="宋体" w:hAnsi="宋体"/>
          <w:snapToGrid w:val="0"/>
          <w:kern w:val="0"/>
        </w:rPr>
        <w:t xml:space="preserve">  </w:t>
      </w:r>
      <w:r>
        <w:rPr>
          <w:rFonts w:hint="eastAsia" w:ascii="宋体" w:hAnsi="宋体"/>
          <w:snapToGrid w:val="0"/>
          <w:kern w:val="0"/>
        </w:rPr>
        <w:t>此报价作为评审委员会评审标准，但不能限制</w:t>
      </w:r>
      <w:r>
        <w:rPr>
          <w:rFonts w:hint="eastAsia" w:ascii="宋体" w:hAnsi="宋体"/>
          <w:bCs/>
          <w:snapToGrid w:val="0"/>
          <w:kern w:val="0"/>
        </w:rPr>
        <w:t>采购人</w:t>
      </w:r>
      <w:r>
        <w:rPr>
          <w:rFonts w:hint="eastAsia" w:ascii="宋体" w:hAnsi="宋体"/>
          <w:snapToGrid w:val="0"/>
          <w:kern w:val="0"/>
        </w:rPr>
        <w:t>以其它方式签订合同的权力。</w:t>
      </w:r>
    </w:p>
    <w:p w14:paraId="400794F2">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3</w:t>
      </w:r>
      <w:r>
        <w:rPr>
          <w:rFonts w:ascii="宋体" w:hAnsi="宋体"/>
          <w:b/>
          <w:snapToGrid w:val="0"/>
          <w:kern w:val="0"/>
        </w:rPr>
        <w:t xml:space="preserve">. </w:t>
      </w:r>
      <w:r>
        <w:rPr>
          <w:rFonts w:hint="eastAsia" w:ascii="宋体" w:hAnsi="宋体"/>
          <w:b/>
          <w:snapToGrid w:val="0"/>
          <w:kern w:val="0"/>
        </w:rPr>
        <w:t>供应商资格的证明文件</w:t>
      </w:r>
    </w:p>
    <w:p w14:paraId="4A08D9DD">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3</w:t>
      </w:r>
      <w:r>
        <w:rPr>
          <w:rFonts w:ascii="宋体" w:hAnsi="宋体"/>
          <w:snapToGrid w:val="0"/>
          <w:kern w:val="0"/>
        </w:rPr>
        <w:t xml:space="preserve">.1  </w:t>
      </w:r>
      <w:r>
        <w:rPr>
          <w:rFonts w:hint="eastAsia" w:ascii="宋体" w:hAnsi="宋体"/>
          <w:snapToGrid w:val="0"/>
          <w:kern w:val="0"/>
        </w:rPr>
        <w:t>供应商必须提交证明其有资格进行响应，和成交后有能力履行合同的证明文件（响应文件格式1与格式9），作为响应文件的一部分。</w:t>
      </w:r>
    </w:p>
    <w:p w14:paraId="195FEDFB">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响应有效期</w:t>
      </w:r>
    </w:p>
    <w:p w14:paraId="20FC60FD">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4</w:t>
      </w:r>
      <w:r>
        <w:rPr>
          <w:rFonts w:ascii="宋体" w:hAnsi="宋体"/>
          <w:snapToGrid w:val="0"/>
          <w:kern w:val="0"/>
        </w:rPr>
        <w:t>.1</w:t>
      </w:r>
      <w:r>
        <w:rPr>
          <w:rFonts w:hint="eastAsia" w:ascii="宋体" w:hAnsi="宋体"/>
          <w:snapToGrid w:val="0"/>
          <w:kern w:val="0"/>
        </w:rPr>
        <w:t xml:space="preserve">  响应文件的有效期按前附表第8项规定。</w:t>
      </w:r>
    </w:p>
    <w:p w14:paraId="3840278B">
      <w:pPr>
        <w:adjustRightInd w:val="0"/>
        <w:spacing w:line="360" w:lineRule="auto"/>
        <w:rPr>
          <w:rFonts w:ascii="宋体" w:hAnsi="宋体"/>
          <w:b/>
          <w:snapToGrid w:val="0"/>
          <w:kern w:val="0"/>
        </w:rPr>
      </w:pPr>
      <w:r>
        <w:rPr>
          <w:rFonts w:ascii="宋体" w:hAnsi="宋体"/>
          <w:b/>
          <w:snapToGrid w:val="0"/>
          <w:kern w:val="0"/>
        </w:rPr>
        <w:t xml:space="preserve">15. </w:t>
      </w:r>
      <w:r>
        <w:rPr>
          <w:rFonts w:hint="eastAsia" w:ascii="宋体" w:hAnsi="宋体"/>
          <w:b/>
          <w:snapToGrid w:val="0"/>
          <w:kern w:val="0"/>
        </w:rPr>
        <w:t>响应保证金（本项目</w:t>
      </w:r>
      <w:r>
        <w:rPr>
          <w:rFonts w:hint="eastAsia" w:ascii="宋体" w:hAnsi="宋体"/>
          <w:b/>
          <w:snapToGrid w:val="0"/>
          <w:kern w:val="0"/>
          <w:lang w:val="en-US" w:eastAsia="zh-CN"/>
        </w:rPr>
        <w:t>不收取</w:t>
      </w:r>
      <w:r>
        <w:rPr>
          <w:rFonts w:hint="eastAsia" w:ascii="宋体" w:hAnsi="宋体"/>
          <w:b/>
          <w:snapToGrid w:val="0"/>
          <w:kern w:val="0"/>
        </w:rPr>
        <w:t>）</w:t>
      </w:r>
    </w:p>
    <w:p w14:paraId="1F2A6D93">
      <w:pPr>
        <w:tabs>
          <w:tab w:val="left" w:pos="330"/>
        </w:tabs>
        <w:spacing w:line="360" w:lineRule="auto"/>
        <w:rPr>
          <w:rFonts w:ascii="宋体" w:hAnsi="宋体"/>
          <w:b/>
        </w:rPr>
      </w:pPr>
      <w:r>
        <w:rPr>
          <w:rFonts w:hint="eastAsia" w:ascii="宋体" w:hAnsi="宋体"/>
          <w:b/>
        </w:rPr>
        <w:t>16. 响应预备会（</w:t>
      </w:r>
      <w:r>
        <w:rPr>
          <w:rFonts w:hint="eastAsia" w:ascii="宋体" w:hAnsi="宋体"/>
          <w:b/>
          <w:snapToGrid w:val="0"/>
          <w:kern w:val="0"/>
        </w:rPr>
        <w:t>答疑会）</w:t>
      </w:r>
    </w:p>
    <w:p w14:paraId="177B5A28">
      <w:pPr>
        <w:adjustRightInd w:val="0"/>
        <w:spacing w:line="360" w:lineRule="auto"/>
        <w:rPr>
          <w:rFonts w:ascii="宋体" w:hAnsi="宋体"/>
          <w:snapToGrid w:val="0"/>
          <w:kern w:val="0"/>
        </w:rPr>
      </w:pPr>
      <w:r>
        <w:rPr>
          <w:rFonts w:hint="eastAsia" w:ascii="宋体" w:hAnsi="宋体"/>
          <w:snapToGrid w:val="0"/>
          <w:kern w:val="0"/>
        </w:rPr>
        <w:t>16.1  响应预备会（答疑会），如</w:t>
      </w:r>
      <w:r>
        <w:rPr>
          <w:rFonts w:hint="eastAsia" w:ascii="宋体" w:hAnsi="宋体" w:cs="宋体"/>
          <w:bCs/>
          <w:snapToGrid w:val="0"/>
          <w:kern w:val="0"/>
        </w:rPr>
        <w:t>采购代理机构</w:t>
      </w:r>
      <w:r>
        <w:rPr>
          <w:rFonts w:hint="eastAsia" w:ascii="宋体" w:hAnsi="宋体"/>
          <w:snapToGrid w:val="0"/>
          <w:kern w:val="0"/>
        </w:rPr>
        <w:t>认为有必要召开响应预备会，供应商应按照前附表第10项规定的或</w:t>
      </w:r>
      <w:r>
        <w:rPr>
          <w:rFonts w:hint="eastAsia" w:ascii="宋体" w:hAnsi="宋体" w:cs="宋体"/>
          <w:bCs/>
          <w:snapToGrid w:val="0"/>
          <w:kern w:val="0"/>
        </w:rPr>
        <w:t>采购代理机构</w:t>
      </w:r>
      <w:r>
        <w:rPr>
          <w:rFonts w:hint="eastAsia" w:ascii="宋体" w:hAnsi="宋体"/>
          <w:snapToGrid w:val="0"/>
          <w:kern w:val="0"/>
        </w:rPr>
        <w:t>另行书面通知的时间和地点，派出代表出席</w:t>
      </w:r>
      <w:r>
        <w:rPr>
          <w:rFonts w:hint="eastAsia" w:ascii="宋体" w:hAnsi="宋体" w:cs="宋体"/>
          <w:bCs/>
          <w:snapToGrid w:val="0"/>
          <w:kern w:val="0"/>
        </w:rPr>
        <w:t>采购代理机构</w:t>
      </w:r>
      <w:r>
        <w:rPr>
          <w:rFonts w:hint="eastAsia" w:ascii="宋体" w:hAnsi="宋体"/>
          <w:snapToGrid w:val="0"/>
          <w:kern w:val="0"/>
        </w:rPr>
        <w:t>主持的响应预备会。</w:t>
      </w:r>
    </w:p>
    <w:p w14:paraId="2A304A1F">
      <w:pPr>
        <w:adjustRightInd w:val="0"/>
        <w:spacing w:line="360" w:lineRule="auto"/>
        <w:rPr>
          <w:rFonts w:ascii="宋体" w:hAnsi="宋体"/>
          <w:snapToGrid w:val="0"/>
          <w:kern w:val="0"/>
        </w:rPr>
      </w:pPr>
      <w:r>
        <w:rPr>
          <w:rFonts w:hint="eastAsia" w:ascii="宋体" w:hAnsi="宋体"/>
          <w:snapToGrid w:val="0"/>
          <w:kern w:val="0"/>
        </w:rPr>
        <w:t xml:space="preserve">16.2  响应预备会的目的是澄清、解答供应商在查阅采购文件后和现场踏勘中可能提出的任何方面的问题。 </w:t>
      </w:r>
    </w:p>
    <w:p w14:paraId="6431DD24">
      <w:pPr>
        <w:adjustRightInd w:val="0"/>
        <w:spacing w:line="360" w:lineRule="auto"/>
        <w:rPr>
          <w:rFonts w:ascii="宋体" w:hAnsi="宋体"/>
          <w:snapToGrid w:val="0"/>
          <w:kern w:val="0"/>
        </w:rPr>
      </w:pPr>
      <w:r>
        <w:rPr>
          <w:rFonts w:hint="eastAsia" w:ascii="宋体" w:hAnsi="宋体"/>
          <w:snapToGrid w:val="0"/>
          <w:kern w:val="0"/>
        </w:rPr>
        <w:t>16.3  供应商提出的与响应有关的任何问题须以书面形式给</w:t>
      </w:r>
      <w:r>
        <w:rPr>
          <w:rFonts w:hint="eastAsia" w:ascii="宋体" w:hAnsi="宋体" w:cs="宋体"/>
          <w:bCs/>
          <w:snapToGrid w:val="0"/>
          <w:kern w:val="0"/>
        </w:rPr>
        <w:t>采购代理机构</w:t>
      </w:r>
      <w:r>
        <w:rPr>
          <w:rFonts w:hint="eastAsia" w:ascii="宋体" w:hAnsi="宋体"/>
          <w:snapToGrid w:val="0"/>
          <w:kern w:val="0"/>
        </w:rPr>
        <w:t>。在响应预备会上，</w:t>
      </w:r>
      <w:r>
        <w:rPr>
          <w:rFonts w:hint="eastAsia" w:ascii="宋体" w:hAnsi="宋体" w:cs="宋体"/>
          <w:bCs/>
          <w:snapToGrid w:val="0"/>
          <w:kern w:val="0"/>
        </w:rPr>
        <w:t>采购代理机构</w:t>
      </w:r>
      <w:r>
        <w:rPr>
          <w:rFonts w:hint="eastAsia" w:ascii="宋体" w:hAnsi="宋体"/>
          <w:snapToGrid w:val="0"/>
          <w:kern w:val="0"/>
        </w:rPr>
        <w:t>将做出澄清和解答。</w:t>
      </w:r>
    </w:p>
    <w:p w14:paraId="2E1B4285">
      <w:pPr>
        <w:adjustRightInd w:val="0"/>
        <w:spacing w:line="360" w:lineRule="auto"/>
        <w:rPr>
          <w:rFonts w:ascii="宋体" w:hAnsi="宋体"/>
          <w:snapToGrid w:val="0"/>
          <w:kern w:val="0"/>
        </w:rPr>
      </w:pPr>
      <w:r>
        <w:rPr>
          <w:rFonts w:hint="eastAsia" w:ascii="宋体" w:hAnsi="宋体"/>
          <w:snapToGrid w:val="0"/>
          <w:kern w:val="0"/>
        </w:rPr>
        <w:t xml:space="preserve">16.4  </w:t>
      </w:r>
      <w:r>
        <w:rPr>
          <w:rFonts w:hint="eastAsia" w:ascii="宋体" w:hAnsi="宋体" w:cs="宋体"/>
          <w:bCs/>
          <w:snapToGrid w:val="0"/>
          <w:kern w:val="0"/>
        </w:rPr>
        <w:t>采购代理机构</w:t>
      </w:r>
      <w:r>
        <w:rPr>
          <w:rFonts w:hint="eastAsia" w:ascii="宋体" w:hAnsi="宋体"/>
          <w:snapToGrid w:val="0"/>
          <w:kern w:val="0"/>
        </w:rPr>
        <w:t>在响应预备会上所做出的澄清和解答，以书面答复为准，供应商在收到响应答疑纪要时应以书面形式予以确认。答疑纪要的有效性规定按照本须知第8</w:t>
      </w:r>
      <w:r>
        <w:rPr>
          <w:rFonts w:ascii="宋体" w:hAnsi="宋体"/>
          <w:snapToGrid w:val="0"/>
          <w:kern w:val="0"/>
        </w:rPr>
        <w:t>.</w:t>
      </w:r>
      <w:r>
        <w:rPr>
          <w:rFonts w:hint="eastAsia" w:ascii="宋体" w:hAnsi="宋体"/>
          <w:snapToGrid w:val="0"/>
          <w:kern w:val="0"/>
        </w:rPr>
        <w:t>2、8</w:t>
      </w:r>
      <w:r>
        <w:rPr>
          <w:rFonts w:ascii="宋体" w:hAnsi="宋体"/>
          <w:snapToGrid w:val="0"/>
          <w:kern w:val="0"/>
        </w:rPr>
        <w:t>.4</w:t>
      </w:r>
      <w:r>
        <w:rPr>
          <w:rFonts w:hint="eastAsia" w:ascii="宋体" w:hAnsi="宋体"/>
          <w:snapToGrid w:val="0"/>
          <w:kern w:val="0"/>
        </w:rPr>
        <w:t>款规定执行。</w:t>
      </w:r>
    </w:p>
    <w:p w14:paraId="21320C39">
      <w:pPr>
        <w:adjustRightInd w:val="0"/>
        <w:spacing w:line="360" w:lineRule="auto"/>
        <w:rPr>
          <w:rFonts w:ascii="宋体" w:hAnsi="宋体"/>
          <w:snapToGrid w:val="0"/>
          <w:kern w:val="0"/>
        </w:rPr>
      </w:pPr>
      <w:r>
        <w:rPr>
          <w:rFonts w:hint="eastAsia" w:ascii="宋体" w:hAnsi="宋体"/>
          <w:snapToGrid w:val="0"/>
          <w:kern w:val="0"/>
        </w:rPr>
        <w:t>16.5  未出席响应预备会不作为否定供应商资格的理由。</w:t>
      </w:r>
    </w:p>
    <w:p w14:paraId="1EF9A749">
      <w:pPr>
        <w:adjustRightInd w:val="0"/>
        <w:spacing w:line="360" w:lineRule="auto"/>
        <w:rPr>
          <w:rFonts w:ascii="宋体" w:hAnsi="宋体"/>
          <w:b/>
          <w:snapToGrid w:val="0"/>
          <w:kern w:val="0"/>
        </w:rPr>
      </w:pPr>
      <w:r>
        <w:rPr>
          <w:rFonts w:ascii="宋体" w:hAnsi="宋体"/>
          <w:b/>
          <w:snapToGrid w:val="0"/>
          <w:kern w:val="0"/>
        </w:rPr>
        <w:t xml:space="preserve">17. </w:t>
      </w:r>
      <w:r>
        <w:rPr>
          <w:rFonts w:hint="eastAsia" w:ascii="宋体" w:hAnsi="宋体"/>
          <w:b/>
          <w:snapToGrid w:val="0"/>
          <w:kern w:val="0"/>
        </w:rPr>
        <w:t>响应文件的份数和签署</w:t>
      </w:r>
    </w:p>
    <w:p w14:paraId="5E17536D">
      <w:pPr>
        <w:adjustRightInd w:val="0"/>
        <w:spacing w:line="360" w:lineRule="auto"/>
        <w:rPr>
          <w:rFonts w:ascii="宋体" w:hAnsi="宋体"/>
          <w:snapToGrid w:val="0"/>
          <w:kern w:val="0"/>
        </w:rPr>
      </w:pPr>
      <w:r>
        <w:rPr>
          <w:rFonts w:ascii="宋体" w:hAnsi="宋体"/>
          <w:snapToGrid w:val="0"/>
          <w:kern w:val="0"/>
        </w:rPr>
        <w:t xml:space="preserve">17.1  </w:t>
      </w:r>
      <w:r>
        <w:rPr>
          <w:rFonts w:hint="eastAsia" w:ascii="宋体" w:hAnsi="宋体"/>
          <w:snapToGrid w:val="0"/>
          <w:kern w:val="0"/>
        </w:rPr>
        <w:t>响应文件数量按前附表第11项所述，须在每一份响应文件上明确注明“正本”或“副本”字样。</w:t>
      </w:r>
      <w:r>
        <w:rPr>
          <w:rFonts w:hint="eastAsia" w:ascii="宋体" w:hAnsi="宋体"/>
          <w:snapToGrid w:val="0"/>
          <w:kern w:val="0"/>
          <w:lang w:eastAsia="zh-CN"/>
        </w:rPr>
        <w:t>一旦正本与副本（或备份文件）有差异</w:t>
      </w:r>
      <w:r>
        <w:rPr>
          <w:rFonts w:hint="eastAsia" w:ascii="宋体" w:hAnsi="宋体"/>
          <w:snapToGrid w:val="0"/>
          <w:kern w:val="0"/>
        </w:rPr>
        <w:t xml:space="preserve">，以正本为准。 </w:t>
      </w:r>
    </w:p>
    <w:p w14:paraId="1405D2E3">
      <w:pPr>
        <w:adjustRightInd w:val="0"/>
        <w:spacing w:line="360" w:lineRule="auto"/>
        <w:rPr>
          <w:rFonts w:ascii="宋体" w:hAnsi="宋体"/>
          <w:snapToGrid w:val="0"/>
          <w:kern w:val="0"/>
        </w:rPr>
      </w:pPr>
      <w:r>
        <w:rPr>
          <w:rFonts w:ascii="宋体" w:hAnsi="宋体"/>
          <w:snapToGrid w:val="0"/>
          <w:kern w:val="0"/>
        </w:rPr>
        <w:t xml:space="preserve">17.2  </w:t>
      </w:r>
      <w:r>
        <w:rPr>
          <w:rFonts w:hint="eastAsia" w:ascii="宋体" w:hAnsi="宋体"/>
          <w:snapToGrid w:val="0"/>
          <w:kern w:val="0"/>
        </w:rPr>
        <w:t>为了便于响应文件保存，需提交一份响应文件备份光盘（或U盘）。</w:t>
      </w:r>
    </w:p>
    <w:p w14:paraId="01DE54B5">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3</w:t>
      </w:r>
      <w:r>
        <w:rPr>
          <w:rFonts w:ascii="宋体" w:hAnsi="宋体"/>
          <w:snapToGrid w:val="0"/>
          <w:kern w:val="0"/>
        </w:rPr>
        <w:t xml:space="preserve"> </w:t>
      </w:r>
      <w:r>
        <w:rPr>
          <w:rFonts w:hint="eastAsia" w:ascii="宋体" w:hAnsi="宋体"/>
          <w:snapToGrid w:val="0"/>
          <w:kern w:val="0"/>
        </w:rPr>
        <w:t xml:space="preserve"> 响应文件正本及开标一览表须打印，并经法定代表人或其授权代表签字和盖章，响应文件的副本可采用正本复印件。</w:t>
      </w:r>
    </w:p>
    <w:p w14:paraId="6ED88422">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除供应商对错处做必要修改外，响应文件中不许有加行、涂抹或改写，如有修改遗漏处，必须由供应商法定代表人或其授权代表签字和盖章。</w:t>
      </w:r>
    </w:p>
    <w:p w14:paraId="2BE59041">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5</w:t>
      </w:r>
      <w:r>
        <w:rPr>
          <w:rFonts w:ascii="宋体" w:hAnsi="宋体"/>
          <w:snapToGrid w:val="0"/>
          <w:kern w:val="0"/>
        </w:rPr>
        <w:t xml:space="preserve">  </w:t>
      </w:r>
      <w:r>
        <w:rPr>
          <w:rFonts w:hint="eastAsia" w:ascii="宋体" w:hAnsi="宋体"/>
          <w:snapToGrid w:val="0"/>
          <w:kern w:val="0"/>
        </w:rPr>
        <w:t>电报、电话、传真形式的响应概不接受。</w:t>
      </w:r>
    </w:p>
    <w:p w14:paraId="32FF8A8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w:t>
      </w:r>
      <w:r>
        <w:rPr>
          <w:rFonts w:hint="eastAsia" w:ascii="宋体" w:hAnsi="宋体"/>
          <w:snapToGrid w:val="0"/>
          <w:kern w:val="0"/>
        </w:rPr>
        <w:t>响应</w:t>
      </w:r>
      <w:r>
        <w:rPr>
          <w:rFonts w:hint="eastAsia" w:asciiTheme="minorEastAsia" w:hAnsiTheme="minorEastAsia" w:eastAsiaTheme="minorEastAsia"/>
          <w:snapToGrid w:val="0"/>
          <w:kern w:val="0"/>
        </w:rPr>
        <w:t xml:space="preserve">文件必须标注页码并装订成册。 </w:t>
      </w:r>
    </w:p>
    <w:p w14:paraId="0AB5BB9A">
      <w:pPr>
        <w:adjustRightInd w:val="0"/>
        <w:spacing w:line="360" w:lineRule="auto"/>
        <w:rPr>
          <w:rFonts w:ascii="宋体" w:hAnsi="宋体"/>
          <w:snapToGrid w:val="0"/>
          <w:kern w:val="0"/>
        </w:rPr>
      </w:pPr>
      <w:r>
        <w:rPr>
          <w:rFonts w:hint="eastAsia" w:ascii="宋体" w:hAnsi="宋体"/>
          <w:snapToGrid w:val="0"/>
          <w:kern w:val="0"/>
        </w:rPr>
        <w:t>17.7  响应文件不符合上述规定的，为无效响应。</w:t>
      </w:r>
    </w:p>
    <w:p w14:paraId="2CC12F07">
      <w:pPr>
        <w:adjustRightInd w:val="0"/>
        <w:spacing w:line="360" w:lineRule="auto"/>
        <w:rPr>
          <w:rFonts w:ascii="宋体" w:hAnsi="宋体"/>
          <w:snapToGrid w:val="0"/>
          <w:kern w:val="0"/>
        </w:rPr>
      </w:pPr>
    </w:p>
    <w:p w14:paraId="77CA8010">
      <w:pPr>
        <w:pStyle w:val="4"/>
        <w:spacing w:before="0" w:after="0"/>
      </w:pPr>
      <w:bookmarkStart w:id="26" w:name="q7"/>
      <w:bookmarkEnd w:id="26"/>
      <w:bookmarkStart w:id="27" w:name="_Toc6203"/>
      <w:r>
        <w:rPr>
          <w:rFonts w:hint="eastAsia"/>
        </w:rPr>
        <w:t>四、响应文件的递交</w:t>
      </w:r>
      <w:bookmarkEnd w:id="27"/>
    </w:p>
    <w:p w14:paraId="4AB21884">
      <w:pPr>
        <w:adjustRightInd w:val="0"/>
        <w:spacing w:line="360" w:lineRule="auto"/>
        <w:rPr>
          <w:rFonts w:ascii="宋体" w:hAnsi="宋体"/>
          <w:b/>
          <w:snapToGrid w:val="0"/>
          <w:kern w:val="0"/>
        </w:rPr>
      </w:pPr>
      <w:r>
        <w:rPr>
          <w:rFonts w:hint="eastAsia" w:ascii="宋体" w:hAnsi="宋体"/>
          <w:b/>
          <w:snapToGrid w:val="0"/>
          <w:kern w:val="0"/>
        </w:rPr>
        <w:t>18.</w:t>
      </w:r>
      <w:r>
        <w:rPr>
          <w:rFonts w:ascii="宋体" w:hAnsi="宋体"/>
          <w:b/>
          <w:snapToGrid w:val="0"/>
          <w:kern w:val="0"/>
        </w:rPr>
        <w:t xml:space="preserve"> </w:t>
      </w:r>
      <w:r>
        <w:rPr>
          <w:rFonts w:hint="eastAsia" w:ascii="宋体" w:hAnsi="宋体"/>
          <w:b/>
          <w:snapToGrid w:val="0"/>
          <w:kern w:val="0"/>
        </w:rPr>
        <w:t>响应文件的密封和标记</w:t>
      </w:r>
    </w:p>
    <w:p w14:paraId="01F1564E">
      <w:pPr>
        <w:adjustRightInd w:val="0"/>
        <w:spacing w:line="360" w:lineRule="auto"/>
        <w:rPr>
          <w:rFonts w:ascii="宋体" w:hAnsi="宋体"/>
          <w:snapToGrid w:val="0"/>
          <w:kern w:val="0"/>
        </w:rPr>
      </w:pPr>
      <w:r>
        <w:rPr>
          <w:rFonts w:hint="eastAsia" w:ascii="宋体" w:hAnsi="宋体"/>
          <w:snapToGrid w:val="0"/>
          <w:kern w:val="0"/>
        </w:rPr>
        <w:t>18.1 须在每一份响应文件封面上明确注明“正本”或“副本”字样。</w:t>
      </w:r>
      <w:r>
        <w:rPr>
          <w:rFonts w:hint="eastAsia" w:ascii="宋体" w:hAnsi="宋体"/>
          <w:snapToGrid w:val="0"/>
          <w:kern w:val="0"/>
          <w:lang w:eastAsia="zh-CN"/>
        </w:rPr>
        <w:t>一旦正本与副本（或备份文件）有差异</w:t>
      </w:r>
      <w:r>
        <w:rPr>
          <w:rFonts w:hint="eastAsia" w:ascii="宋体" w:hAnsi="宋体"/>
          <w:snapToGrid w:val="0"/>
          <w:kern w:val="0"/>
        </w:rPr>
        <w:t>，以正本为准。</w:t>
      </w:r>
    </w:p>
    <w:p w14:paraId="3151369A">
      <w:pPr>
        <w:adjustRightInd w:val="0"/>
        <w:spacing w:line="360" w:lineRule="auto"/>
        <w:rPr>
          <w:rFonts w:ascii="宋体" w:hAnsi="宋体"/>
          <w:snapToGrid w:val="0"/>
          <w:kern w:val="0"/>
        </w:rPr>
      </w:pPr>
      <w:r>
        <w:rPr>
          <w:rFonts w:hint="eastAsia" w:ascii="宋体" w:hAnsi="宋体"/>
          <w:snapToGrid w:val="0"/>
          <w:kern w:val="0"/>
        </w:rPr>
        <w:t xml:space="preserve">18.2  </w:t>
      </w:r>
      <w:r>
        <w:rPr>
          <w:rFonts w:hint="eastAsia"/>
          <w:snapToGrid w:val="0"/>
          <w:kern w:val="0"/>
        </w:rPr>
        <w:t>供应商应将响应文件备份文件光盘密封于一信封，在信封上注明“备份光盘（或U盘）”。</w:t>
      </w:r>
    </w:p>
    <w:p w14:paraId="6F4370BE">
      <w:pPr>
        <w:adjustRightInd w:val="0"/>
        <w:spacing w:line="360" w:lineRule="auto"/>
        <w:rPr>
          <w:rFonts w:ascii="宋体" w:hAnsi="宋体"/>
          <w:snapToGrid w:val="0"/>
          <w:kern w:val="0"/>
        </w:rPr>
      </w:pPr>
      <w:r>
        <w:rPr>
          <w:rFonts w:hint="eastAsia" w:ascii="宋体" w:hAnsi="宋体"/>
          <w:snapToGrid w:val="0"/>
          <w:kern w:val="0"/>
        </w:rPr>
        <w:t>18.3  将响应文件“正本”、“副本”和密封好的</w:t>
      </w:r>
      <w:r>
        <w:rPr>
          <w:rFonts w:hint="eastAsia"/>
          <w:snapToGrid w:val="0"/>
          <w:kern w:val="0"/>
        </w:rPr>
        <w:t>“备份光盘（或U盘）”一起封装在同一个外层包封中，同时还应在封套上载明以下信息</w:t>
      </w:r>
      <w:r>
        <w:rPr>
          <w:rFonts w:hint="eastAsia" w:ascii="宋体" w:hAnsi="宋体"/>
          <w:snapToGrid w:val="0"/>
          <w:kern w:val="0"/>
        </w:rPr>
        <w:t>：</w:t>
      </w:r>
    </w:p>
    <w:p w14:paraId="22852C71">
      <w:pPr>
        <w:adjustRightInd w:val="0"/>
        <w:spacing w:line="360" w:lineRule="auto"/>
        <w:rPr>
          <w:rFonts w:ascii="宋体" w:hAnsi="宋体"/>
          <w:snapToGrid w:val="0"/>
          <w:kern w:val="0"/>
        </w:rPr>
      </w:pPr>
      <w:r>
        <w:rPr>
          <w:rFonts w:hint="eastAsia" w:ascii="宋体" w:hAnsi="宋体"/>
          <w:snapToGrid w:val="0"/>
          <w:kern w:val="0"/>
        </w:rPr>
        <w:t>(1) 写明</w:t>
      </w:r>
      <w:r>
        <w:rPr>
          <w:rFonts w:hint="eastAsia" w:ascii="宋体" w:hAnsi="宋体"/>
          <w:bCs/>
          <w:snapToGrid w:val="0"/>
          <w:kern w:val="0"/>
        </w:rPr>
        <w:t>采购代理机构</w:t>
      </w:r>
      <w:r>
        <w:rPr>
          <w:rFonts w:hint="eastAsia" w:ascii="宋体" w:hAnsi="宋体"/>
          <w:snapToGrid w:val="0"/>
          <w:kern w:val="0"/>
        </w:rPr>
        <w:t>名称；</w:t>
      </w:r>
    </w:p>
    <w:p w14:paraId="34055388">
      <w:pPr>
        <w:adjustRightInd w:val="0"/>
        <w:spacing w:line="360" w:lineRule="auto"/>
        <w:rPr>
          <w:rFonts w:ascii="宋体" w:hAnsi="宋体"/>
          <w:snapToGrid w:val="0"/>
          <w:kern w:val="0"/>
        </w:rPr>
      </w:pPr>
      <w:r>
        <w:rPr>
          <w:rFonts w:hint="eastAsia" w:ascii="宋体" w:hAnsi="宋体"/>
          <w:snapToGrid w:val="0"/>
          <w:kern w:val="0"/>
        </w:rPr>
        <w:t>(2) 注明下列识别标志：</w:t>
      </w:r>
    </w:p>
    <w:p w14:paraId="69C05989">
      <w:pPr>
        <w:adjustRightInd w:val="0"/>
        <w:spacing w:line="360" w:lineRule="auto"/>
        <w:rPr>
          <w:rFonts w:ascii="宋体" w:hAnsi="宋体"/>
          <w:snapToGrid w:val="0"/>
          <w:kern w:val="0"/>
        </w:rPr>
      </w:pPr>
      <w:r>
        <w:rPr>
          <w:rFonts w:hint="eastAsia" w:ascii="宋体" w:hAnsi="宋体"/>
          <w:snapToGrid w:val="0"/>
          <w:kern w:val="0"/>
        </w:rPr>
        <w:t>a.  项目编号；</w:t>
      </w:r>
    </w:p>
    <w:p w14:paraId="1799EB4E">
      <w:pPr>
        <w:adjustRightInd w:val="0"/>
        <w:spacing w:line="360" w:lineRule="auto"/>
        <w:rPr>
          <w:rFonts w:ascii="宋体" w:hAnsi="宋体"/>
          <w:snapToGrid w:val="0"/>
          <w:kern w:val="0"/>
        </w:rPr>
      </w:pPr>
      <w:r>
        <w:rPr>
          <w:rFonts w:hint="eastAsia" w:ascii="宋体" w:hAnsi="宋体"/>
          <w:snapToGrid w:val="0"/>
          <w:kern w:val="0"/>
        </w:rPr>
        <w:t>b.  项目名称；</w:t>
      </w:r>
    </w:p>
    <w:p w14:paraId="6045619D">
      <w:pPr>
        <w:adjustRightInd w:val="0"/>
        <w:spacing w:line="360" w:lineRule="auto"/>
        <w:rPr>
          <w:rFonts w:ascii="宋体" w:hAnsi="宋体"/>
          <w:snapToGrid w:val="0"/>
          <w:kern w:val="0"/>
        </w:rPr>
      </w:pPr>
      <w:r>
        <w:rPr>
          <w:rFonts w:hint="eastAsia" w:ascii="宋体" w:hAnsi="宋体"/>
          <w:snapToGrid w:val="0"/>
          <w:kern w:val="0"/>
        </w:rPr>
        <w:t>c.  供应商名称；</w:t>
      </w:r>
    </w:p>
    <w:p w14:paraId="1E0874FF">
      <w:pPr>
        <w:adjustRightInd w:val="0"/>
        <w:spacing w:line="360" w:lineRule="auto"/>
        <w:rPr>
          <w:rFonts w:ascii="宋体" w:hAnsi="宋体"/>
          <w:snapToGrid w:val="0"/>
          <w:kern w:val="0"/>
        </w:rPr>
      </w:pPr>
      <w:r>
        <w:rPr>
          <w:rFonts w:hint="eastAsia" w:ascii="宋体" w:hAnsi="宋体"/>
          <w:snapToGrid w:val="0"/>
          <w:kern w:val="0"/>
        </w:rPr>
        <w:t>d.  注明：“响应文件正本、副本和</w:t>
      </w:r>
      <w:r>
        <w:rPr>
          <w:rFonts w:hint="eastAsia"/>
          <w:snapToGrid w:val="0"/>
          <w:kern w:val="0"/>
        </w:rPr>
        <w:t>备份光盘（或U盘）</w:t>
      </w:r>
      <w:r>
        <w:rPr>
          <w:rFonts w:hint="eastAsia" w:ascii="宋体" w:hAnsi="宋体"/>
          <w:snapToGrid w:val="0"/>
          <w:kern w:val="0"/>
        </w:rPr>
        <w:t>”</w:t>
      </w:r>
    </w:p>
    <w:p w14:paraId="6350EEF5">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04959858">
      <w:pPr>
        <w:adjustRightInd w:val="0"/>
        <w:spacing w:line="360" w:lineRule="auto"/>
        <w:rPr>
          <w:rFonts w:ascii="宋体" w:hAnsi="宋体"/>
          <w:snapToGrid w:val="0"/>
          <w:kern w:val="0"/>
        </w:rPr>
      </w:pPr>
      <w:r>
        <w:rPr>
          <w:rFonts w:hint="eastAsia" w:ascii="宋体" w:hAnsi="宋体"/>
          <w:snapToGrid w:val="0"/>
          <w:kern w:val="0"/>
        </w:rPr>
        <w:t>18.4</w:t>
      </w:r>
      <w:r>
        <w:rPr>
          <w:rFonts w:ascii="宋体" w:hAnsi="宋体"/>
          <w:snapToGrid w:val="0"/>
          <w:kern w:val="0"/>
        </w:rPr>
        <w:t xml:space="preserve">  </w:t>
      </w:r>
      <w:r>
        <w:rPr>
          <w:rFonts w:hint="eastAsia" w:ascii="宋体" w:hAnsi="宋体"/>
          <w:snapToGrid w:val="0"/>
          <w:kern w:val="0"/>
        </w:rPr>
        <w:t>供应商应将“法定代表人（负责人）证明书、法定代表人（负责人）授权委托书”和“开标一览表”单独密封于一信封，在递交响应文件时单独交与</w:t>
      </w:r>
      <w:r>
        <w:rPr>
          <w:rFonts w:hint="eastAsia" w:ascii="宋体" w:hAnsi="宋体"/>
          <w:bCs/>
          <w:snapToGrid w:val="0"/>
          <w:kern w:val="0"/>
        </w:rPr>
        <w:t>采购代理机构</w:t>
      </w:r>
      <w:r>
        <w:rPr>
          <w:rFonts w:hint="eastAsia" w:ascii="宋体" w:hAnsi="宋体"/>
          <w:snapToGrid w:val="0"/>
          <w:kern w:val="0"/>
        </w:rPr>
        <w:t>，在信封上应：</w:t>
      </w:r>
    </w:p>
    <w:p w14:paraId="603F63CB">
      <w:pPr>
        <w:adjustRightInd w:val="0"/>
        <w:spacing w:line="360" w:lineRule="auto"/>
        <w:rPr>
          <w:rFonts w:ascii="宋体" w:hAnsi="宋体"/>
          <w:snapToGrid w:val="0"/>
          <w:kern w:val="0"/>
        </w:rPr>
      </w:pPr>
      <w:r>
        <w:rPr>
          <w:rFonts w:hint="eastAsia" w:ascii="宋体" w:hAnsi="宋体"/>
          <w:snapToGrid w:val="0"/>
          <w:kern w:val="0"/>
        </w:rPr>
        <w:t>(1)  写明</w:t>
      </w:r>
      <w:r>
        <w:rPr>
          <w:rFonts w:hint="eastAsia" w:ascii="宋体" w:hAnsi="宋体"/>
          <w:bCs/>
          <w:snapToGrid w:val="0"/>
          <w:kern w:val="0"/>
        </w:rPr>
        <w:t>采购代理机构</w:t>
      </w:r>
      <w:r>
        <w:rPr>
          <w:rFonts w:hint="eastAsia" w:ascii="宋体" w:hAnsi="宋体"/>
          <w:snapToGrid w:val="0"/>
          <w:kern w:val="0"/>
        </w:rPr>
        <w:t>名称；</w:t>
      </w:r>
    </w:p>
    <w:p w14:paraId="55B964BC">
      <w:pPr>
        <w:adjustRightInd w:val="0"/>
        <w:spacing w:line="360" w:lineRule="auto"/>
        <w:rPr>
          <w:rFonts w:ascii="宋体" w:hAnsi="宋体"/>
          <w:snapToGrid w:val="0"/>
          <w:kern w:val="0"/>
        </w:rPr>
      </w:pPr>
      <w:r>
        <w:rPr>
          <w:rFonts w:hint="eastAsia" w:ascii="宋体" w:hAnsi="宋体"/>
          <w:snapToGrid w:val="0"/>
          <w:kern w:val="0"/>
        </w:rPr>
        <w:t>(2)  注明下列识别标志：</w:t>
      </w:r>
    </w:p>
    <w:p w14:paraId="2BF6B8DD">
      <w:pPr>
        <w:adjustRightInd w:val="0"/>
        <w:spacing w:line="360" w:lineRule="auto"/>
        <w:rPr>
          <w:rFonts w:ascii="宋体" w:hAnsi="宋体"/>
          <w:snapToGrid w:val="0"/>
          <w:kern w:val="0"/>
        </w:rPr>
      </w:pPr>
      <w:r>
        <w:rPr>
          <w:rFonts w:hint="eastAsia" w:ascii="宋体" w:hAnsi="宋体"/>
          <w:snapToGrid w:val="0"/>
          <w:kern w:val="0"/>
        </w:rPr>
        <w:t>a.  项目编号；</w:t>
      </w:r>
    </w:p>
    <w:p w14:paraId="1D993299">
      <w:pPr>
        <w:adjustRightInd w:val="0"/>
        <w:spacing w:line="360" w:lineRule="auto"/>
        <w:rPr>
          <w:rFonts w:ascii="宋体" w:hAnsi="宋体"/>
          <w:snapToGrid w:val="0"/>
          <w:kern w:val="0"/>
        </w:rPr>
      </w:pPr>
      <w:r>
        <w:rPr>
          <w:rFonts w:hint="eastAsia" w:ascii="宋体" w:hAnsi="宋体"/>
          <w:snapToGrid w:val="0"/>
          <w:kern w:val="0"/>
        </w:rPr>
        <w:t>b.  项目名称；</w:t>
      </w:r>
    </w:p>
    <w:p w14:paraId="267602C3">
      <w:pPr>
        <w:adjustRightInd w:val="0"/>
        <w:spacing w:line="360" w:lineRule="auto"/>
        <w:rPr>
          <w:rFonts w:ascii="宋体" w:hAnsi="宋体"/>
          <w:snapToGrid w:val="0"/>
          <w:kern w:val="0"/>
        </w:rPr>
      </w:pPr>
      <w:r>
        <w:rPr>
          <w:rFonts w:hint="eastAsia" w:ascii="宋体" w:hAnsi="宋体"/>
          <w:snapToGrid w:val="0"/>
          <w:kern w:val="0"/>
        </w:rPr>
        <w:t>c.  供应商名称；</w:t>
      </w:r>
    </w:p>
    <w:p w14:paraId="35F3663C">
      <w:pPr>
        <w:adjustRightInd w:val="0"/>
        <w:spacing w:line="360" w:lineRule="auto"/>
        <w:rPr>
          <w:rFonts w:ascii="宋体" w:hAnsi="宋体"/>
          <w:snapToGrid w:val="0"/>
          <w:kern w:val="0"/>
        </w:rPr>
      </w:pPr>
      <w:r>
        <w:rPr>
          <w:rFonts w:hint="eastAsia" w:ascii="宋体" w:hAnsi="宋体"/>
          <w:snapToGrid w:val="0"/>
          <w:kern w:val="0"/>
        </w:rPr>
        <w:t>d.  注明：“开标一览表”和“法定代表人（负责人）证明书、法定代表人（负责人）授权委托书”</w:t>
      </w:r>
    </w:p>
    <w:p w14:paraId="4E61DA53">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4F2136D9">
      <w:pPr>
        <w:adjustRightInd w:val="0"/>
        <w:spacing w:line="360" w:lineRule="auto"/>
        <w:rPr>
          <w:rFonts w:ascii="宋体" w:hAnsi="宋体"/>
          <w:snapToGrid w:val="0"/>
          <w:kern w:val="0"/>
        </w:rPr>
      </w:pPr>
      <w:r>
        <w:rPr>
          <w:rFonts w:hint="eastAsia" w:ascii="宋体" w:hAnsi="宋体"/>
          <w:snapToGrid w:val="0"/>
          <w:kern w:val="0"/>
        </w:rPr>
        <w:t>18.5  除了按本须知第18.3和18.4款所要求的识别字样外，在所有响应文件密封袋上还应写明供应商的名称与地址、邮政编码，以便响应按本须知第20条宣布“迟到”时，响应文件可以原封退回。</w:t>
      </w:r>
    </w:p>
    <w:p w14:paraId="2DB1BA05">
      <w:pPr>
        <w:adjustRightInd w:val="0"/>
        <w:spacing w:line="360" w:lineRule="auto"/>
        <w:rPr>
          <w:rFonts w:ascii="宋体" w:hAnsi="宋体"/>
          <w:snapToGrid w:val="0"/>
          <w:kern w:val="0"/>
        </w:rPr>
      </w:pPr>
      <w:r>
        <w:rPr>
          <w:rFonts w:hint="eastAsia" w:ascii="宋体" w:hAnsi="宋体"/>
          <w:snapToGrid w:val="0"/>
          <w:kern w:val="0"/>
        </w:rPr>
        <w:t>18.6  如果响应文件没有按本响应须知第18.1款、第18.2款、第18.3款和第18.4款规定进行标记和密封，采购代理机构将拒收或者告知供应商，采购代理机构将不承担响应文件错放或提前开封的责任。对由此造成的提前开封的响应文件将予以拒绝，并退还给供应商。</w:t>
      </w:r>
    </w:p>
    <w:p w14:paraId="2F013CA4">
      <w:pPr>
        <w:adjustRightInd w:val="0"/>
        <w:spacing w:line="360" w:lineRule="auto"/>
        <w:rPr>
          <w:rFonts w:ascii="宋体" w:hAnsi="宋体"/>
          <w:snapToGrid w:val="0"/>
          <w:kern w:val="0"/>
        </w:rPr>
      </w:pPr>
      <w:r>
        <w:rPr>
          <w:rFonts w:hint="eastAsia" w:ascii="宋体" w:hAnsi="宋体"/>
          <w:snapToGrid w:val="0"/>
          <w:kern w:val="0"/>
        </w:rPr>
        <w:t>18.7  所有响应文件的密封袋的封口处应加盖供应商印章。</w:t>
      </w:r>
    </w:p>
    <w:p w14:paraId="2DA5710C">
      <w:pPr>
        <w:adjustRightInd w:val="0"/>
        <w:spacing w:line="360" w:lineRule="auto"/>
        <w:rPr>
          <w:rFonts w:ascii="宋体" w:hAnsi="宋体"/>
          <w:snapToGrid w:val="0"/>
          <w:kern w:val="0"/>
        </w:rPr>
      </w:pPr>
      <w:r>
        <w:rPr>
          <w:rFonts w:hint="eastAsia" w:ascii="宋体" w:hAnsi="宋体"/>
          <w:snapToGrid w:val="0"/>
          <w:kern w:val="0"/>
        </w:rPr>
        <w:t>18.8  供应商应按18.1～18.7中的规定进行密封和标记后，将响应文件按照前附表第12项中注明的地址送至采购代理机构。</w:t>
      </w:r>
    </w:p>
    <w:p w14:paraId="38D65269">
      <w:pPr>
        <w:adjustRightInd w:val="0"/>
        <w:spacing w:line="360" w:lineRule="auto"/>
        <w:rPr>
          <w:rFonts w:ascii="宋体" w:hAnsi="宋体"/>
          <w:snapToGrid w:val="0"/>
          <w:kern w:val="0"/>
        </w:rPr>
      </w:pPr>
      <w:r>
        <w:rPr>
          <w:rFonts w:hint="eastAsia" w:ascii="宋体" w:hAnsi="宋体"/>
          <w:snapToGrid w:val="0"/>
          <w:kern w:val="0"/>
        </w:rPr>
        <w:t>18.9  供应商按采购文件要求如需提供实物，应随响应文件一起递交。</w:t>
      </w:r>
    </w:p>
    <w:p w14:paraId="0DF74C89">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9</w:t>
      </w:r>
      <w:r>
        <w:rPr>
          <w:rFonts w:ascii="宋体" w:hAnsi="宋体"/>
          <w:b/>
          <w:snapToGrid w:val="0"/>
          <w:kern w:val="0"/>
        </w:rPr>
        <w:t xml:space="preserve">. </w:t>
      </w:r>
      <w:r>
        <w:rPr>
          <w:rFonts w:hint="eastAsia" w:ascii="宋体" w:hAnsi="宋体"/>
          <w:b/>
          <w:snapToGrid w:val="0"/>
          <w:kern w:val="0"/>
        </w:rPr>
        <w:t>递交响应文件的时间、地点以及截止时间</w:t>
      </w:r>
    </w:p>
    <w:p w14:paraId="1C5B3852">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.1  </w:t>
      </w:r>
      <w:r>
        <w:rPr>
          <w:rFonts w:hint="eastAsia" w:ascii="宋体" w:hAnsi="宋体"/>
          <w:snapToGrid w:val="0"/>
          <w:kern w:val="0"/>
        </w:rPr>
        <w:t>递交响应文件的地点与开标仪式的地点相同。</w:t>
      </w:r>
    </w:p>
    <w:p w14:paraId="6C210151">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.2  </w:t>
      </w:r>
      <w:r>
        <w:rPr>
          <w:rFonts w:hint="eastAsia" w:ascii="宋体" w:hAnsi="宋体"/>
          <w:snapToGrid w:val="0"/>
          <w:kern w:val="0"/>
        </w:rPr>
        <w:t>所有响应文件都必须按</w:t>
      </w:r>
      <w:r>
        <w:rPr>
          <w:rFonts w:hint="eastAsia" w:ascii="宋体" w:hAnsi="宋体" w:cs="宋体"/>
          <w:bCs/>
          <w:snapToGrid w:val="0"/>
          <w:kern w:val="0"/>
        </w:rPr>
        <w:t>采购代理机构</w:t>
      </w:r>
      <w:r>
        <w:rPr>
          <w:rFonts w:hint="eastAsia" w:ascii="宋体" w:hAnsi="宋体"/>
          <w:snapToGrid w:val="0"/>
          <w:kern w:val="0"/>
        </w:rPr>
        <w:t>在前附表第</w:t>
      </w:r>
      <w:bookmarkStart w:id="28" w:name="_Hlt35050056"/>
      <w:bookmarkEnd w:id="28"/>
      <w:r>
        <w:rPr>
          <w:rFonts w:hint="eastAsia" w:ascii="宋体" w:hAnsi="宋体"/>
          <w:snapToGrid w:val="0"/>
          <w:kern w:val="0"/>
        </w:rPr>
        <w:t>13项中规定的响应截止时间之前送至</w:t>
      </w:r>
      <w:r>
        <w:rPr>
          <w:rFonts w:hint="eastAsia" w:ascii="宋体" w:hAnsi="宋体" w:cs="宋体"/>
          <w:bCs/>
          <w:snapToGrid w:val="0"/>
          <w:kern w:val="0"/>
        </w:rPr>
        <w:t>采购代理机构</w:t>
      </w:r>
      <w:r>
        <w:rPr>
          <w:rFonts w:hint="eastAsia" w:ascii="宋体" w:hAnsi="宋体"/>
          <w:snapToGrid w:val="0"/>
          <w:kern w:val="0"/>
        </w:rPr>
        <w:t>。</w:t>
      </w:r>
    </w:p>
    <w:p w14:paraId="7BCE8D54">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.3  </w:t>
      </w:r>
      <w:r>
        <w:rPr>
          <w:rFonts w:hint="eastAsia" w:ascii="宋体" w:hAnsi="宋体"/>
          <w:snapToGrid w:val="0"/>
          <w:kern w:val="0"/>
        </w:rPr>
        <w:t>出现第8</w:t>
      </w:r>
      <w:r>
        <w:rPr>
          <w:rFonts w:ascii="宋体" w:hAnsi="宋体"/>
          <w:snapToGrid w:val="0"/>
          <w:kern w:val="0"/>
        </w:rPr>
        <w:t>.3</w:t>
      </w:r>
      <w:r>
        <w:rPr>
          <w:rFonts w:hint="eastAsia" w:ascii="宋体" w:hAnsi="宋体"/>
          <w:snapToGrid w:val="0"/>
          <w:kern w:val="0"/>
        </w:rPr>
        <w:t>款因采购文件修改或其他原因推迟响应截止时，则按</w:t>
      </w:r>
      <w:r>
        <w:rPr>
          <w:rFonts w:hint="eastAsia" w:ascii="宋体" w:hAnsi="宋体" w:cs="宋体"/>
          <w:bCs/>
          <w:snapToGrid w:val="0"/>
          <w:kern w:val="0"/>
        </w:rPr>
        <w:t>采购代理机构</w:t>
      </w:r>
      <w:r>
        <w:rPr>
          <w:rFonts w:hint="eastAsia" w:ascii="宋体" w:hAnsi="宋体"/>
          <w:snapToGrid w:val="0"/>
          <w:kern w:val="0"/>
        </w:rPr>
        <w:t>修改通知规定的时间递交。</w:t>
      </w:r>
    </w:p>
    <w:p w14:paraId="24F41B4A">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w:t>
      </w:r>
      <w:r>
        <w:rPr>
          <w:rFonts w:hint="eastAsia" w:ascii="宋体" w:hAnsi="宋体"/>
          <w:snapToGrid w:val="0"/>
          <w:kern w:val="0"/>
        </w:rPr>
        <w:t>4</w:t>
      </w:r>
      <w:r>
        <w:rPr>
          <w:rFonts w:ascii="宋体" w:hAnsi="宋体"/>
          <w:snapToGrid w:val="0"/>
          <w:kern w:val="0"/>
        </w:rPr>
        <w:t xml:space="preserve">  </w:t>
      </w:r>
      <w:r>
        <w:rPr>
          <w:rFonts w:hint="eastAsia" w:ascii="宋体" w:hAnsi="宋体" w:cs="宋体"/>
          <w:bCs/>
          <w:snapToGrid w:val="0"/>
          <w:kern w:val="0"/>
        </w:rPr>
        <w:t>采购代理机构</w:t>
      </w:r>
      <w:r>
        <w:rPr>
          <w:rFonts w:hint="eastAsia" w:ascii="宋体" w:hAnsi="宋体"/>
        </w:rPr>
        <w:t>在响应截止时间前30分钟开始接收响应文件。</w:t>
      </w:r>
    </w:p>
    <w:p w14:paraId="72E02009">
      <w:pPr>
        <w:adjustRightInd w:val="0"/>
        <w:spacing w:line="360" w:lineRule="auto"/>
        <w:rPr>
          <w:rFonts w:ascii="宋体" w:hAnsi="宋体"/>
          <w:b/>
          <w:snapToGrid w:val="0"/>
          <w:kern w:val="0"/>
        </w:rPr>
      </w:pPr>
      <w:r>
        <w:rPr>
          <w:rFonts w:hint="eastAsia" w:ascii="宋体" w:hAnsi="宋体"/>
          <w:b/>
          <w:snapToGrid w:val="0"/>
          <w:kern w:val="0"/>
        </w:rPr>
        <w:t>20</w:t>
      </w:r>
      <w:r>
        <w:rPr>
          <w:rFonts w:ascii="宋体" w:hAnsi="宋体"/>
          <w:b/>
          <w:snapToGrid w:val="0"/>
          <w:kern w:val="0"/>
        </w:rPr>
        <w:t xml:space="preserve">. </w:t>
      </w:r>
      <w:r>
        <w:rPr>
          <w:rFonts w:hint="eastAsia" w:ascii="宋体" w:hAnsi="宋体"/>
          <w:b/>
          <w:snapToGrid w:val="0"/>
          <w:kern w:val="0"/>
        </w:rPr>
        <w:t>迟交的响应文件</w:t>
      </w:r>
    </w:p>
    <w:p w14:paraId="346CAE3B">
      <w:pPr>
        <w:adjustRightInd w:val="0"/>
        <w:spacing w:line="360" w:lineRule="auto"/>
        <w:rPr>
          <w:rFonts w:ascii="宋体" w:hAnsi="宋体"/>
          <w:snapToGrid w:val="0"/>
          <w:kern w:val="0"/>
        </w:rPr>
      </w:pPr>
      <w:r>
        <w:rPr>
          <w:rFonts w:hint="eastAsia" w:ascii="宋体" w:hAnsi="宋体"/>
          <w:snapToGrid w:val="0"/>
          <w:kern w:val="0"/>
        </w:rPr>
        <w:t>20</w:t>
      </w:r>
      <w:r>
        <w:rPr>
          <w:rFonts w:ascii="宋体" w:hAnsi="宋体"/>
          <w:snapToGrid w:val="0"/>
          <w:kern w:val="0"/>
        </w:rPr>
        <w:t xml:space="preserve">.1  </w:t>
      </w:r>
      <w:r>
        <w:rPr>
          <w:rFonts w:hint="eastAsia" w:ascii="宋体" w:hAnsi="宋体" w:cs="宋体"/>
          <w:bCs/>
          <w:snapToGrid w:val="0"/>
          <w:kern w:val="0"/>
        </w:rPr>
        <w:t>采购代理机构</w:t>
      </w:r>
      <w:r>
        <w:rPr>
          <w:rFonts w:hint="eastAsia" w:ascii="宋体" w:hAnsi="宋体"/>
          <w:snapToGrid w:val="0"/>
          <w:kern w:val="0"/>
        </w:rPr>
        <w:t>将拒绝接收在响应截止时间后递交的响应文件。</w:t>
      </w:r>
    </w:p>
    <w:p w14:paraId="099ECD5E">
      <w:pPr>
        <w:adjustRightInd w:val="0"/>
        <w:spacing w:line="360" w:lineRule="auto"/>
        <w:rPr>
          <w:rFonts w:ascii="宋体" w:hAnsi="宋体"/>
          <w:b/>
          <w:snapToGrid w:val="0"/>
          <w:kern w:val="0"/>
        </w:rPr>
      </w:pPr>
      <w:r>
        <w:rPr>
          <w:rFonts w:hint="eastAsia" w:ascii="宋体" w:hAnsi="宋体"/>
          <w:b/>
          <w:snapToGrid w:val="0"/>
          <w:kern w:val="0"/>
        </w:rPr>
        <w:t>21. 响应文件的修改和撤销</w:t>
      </w:r>
    </w:p>
    <w:p w14:paraId="7B1DCC9C">
      <w:pPr>
        <w:tabs>
          <w:tab w:val="left" w:pos="0"/>
        </w:tabs>
        <w:adjustRightInd w:val="0"/>
        <w:spacing w:line="360" w:lineRule="auto"/>
        <w:rPr>
          <w:rFonts w:ascii="宋体" w:hAnsi="宋体"/>
          <w:snapToGrid w:val="0"/>
          <w:kern w:val="0"/>
        </w:rPr>
      </w:pPr>
      <w:r>
        <w:rPr>
          <w:rFonts w:hint="eastAsia" w:ascii="宋体" w:hAnsi="宋体"/>
          <w:snapToGrid w:val="0"/>
          <w:kern w:val="0"/>
        </w:rPr>
        <w:t>21.1  供应商在提交响应文件后可对其响应文件进行修改或撤销，但</w:t>
      </w:r>
      <w:r>
        <w:rPr>
          <w:rFonts w:hint="eastAsia" w:ascii="宋体" w:hAnsi="宋体" w:cs="宋体"/>
          <w:bCs/>
          <w:snapToGrid w:val="0"/>
          <w:kern w:val="0"/>
        </w:rPr>
        <w:t>采购代理机构</w:t>
      </w:r>
      <w:r>
        <w:rPr>
          <w:rFonts w:hint="eastAsia" w:ascii="宋体" w:hAnsi="宋体"/>
          <w:snapToGrid w:val="0"/>
          <w:kern w:val="0"/>
        </w:rPr>
        <w:t>须在响应截止时间之前收到该修改或撤销的书面通知，该通知须有经正式授权的供应商代表签字。</w:t>
      </w:r>
    </w:p>
    <w:p w14:paraId="3A0997C3">
      <w:pPr>
        <w:tabs>
          <w:tab w:val="left" w:pos="0"/>
        </w:tabs>
        <w:adjustRightInd w:val="0"/>
        <w:spacing w:line="360" w:lineRule="auto"/>
        <w:rPr>
          <w:rFonts w:ascii="宋体" w:hAnsi="宋体"/>
          <w:snapToGrid w:val="0"/>
          <w:kern w:val="0"/>
        </w:rPr>
      </w:pPr>
      <w:r>
        <w:rPr>
          <w:rFonts w:ascii="宋体" w:hAnsi="宋体"/>
          <w:snapToGrid w:val="0"/>
          <w:kern w:val="0"/>
        </w:rPr>
        <w:t>21.2</w:t>
      </w:r>
      <w:r>
        <w:rPr>
          <w:rFonts w:hint="eastAsia" w:ascii="宋体" w:hAnsi="宋体"/>
          <w:snapToGrid w:val="0"/>
          <w:kern w:val="0"/>
        </w:rPr>
        <w:t xml:space="preserve">  供应商对响应文件修改的书面材料或撤销的通知应按本须知第17条和第18条规定进行编写、密封、标注和递交，并注明“修改响应文件”或“撤销响应”字样。</w:t>
      </w:r>
    </w:p>
    <w:p w14:paraId="54D11802">
      <w:pPr>
        <w:tabs>
          <w:tab w:val="left" w:pos="0"/>
        </w:tabs>
        <w:adjustRightInd w:val="0"/>
        <w:spacing w:line="360" w:lineRule="auto"/>
        <w:rPr>
          <w:rFonts w:ascii="宋体" w:hAnsi="宋体"/>
          <w:snapToGrid w:val="0"/>
          <w:kern w:val="0"/>
        </w:rPr>
      </w:pPr>
      <w:r>
        <w:rPr>
          <w:rFonts w:ascii="宋体" w:hAnsi="宋体"/>
          <w:snapToGrid w:val="0"/>
          <w:kern w:val="0"/>
        </w:rPr>
        <w:t>21.3</w:t>
      </w:r>
      <w:r>
        <w:rPr>
          <w:rFonts w:hint="eastAsia" w:ascii="宋体" w:hAnsi="宋体"/>
          <w:snapToGrid w:val="0"/>
          <w:kern w:val="0"/>
        </w:rPr>
        <w:t xml:space="preserve">  响应截止时间以后不得修改响应文件。</w:t>
      </w:r>
    </w:p>
    <w:p w14:paraId="6C09DD86">
      <w:pPr>
        <w:tabs>
          <w:tab w:val="left" w:pos="0"/>
        </w:tabs>
        <w:adjustRightInd w:val="0"/>
        <w:spacing w:line="360" w:lineRule="auto"/>
        <w:rPr>
          <w:rFonts w:ascii="宋体" w:hAnsi="宋体"/>
          <w:snapToGrid w:val="0"/>
          <w:kern w:val="0"/>
        </w:rPr>
      </w:pPr>
      <w:r>
        <w:rPr>
          <w:rFonts w:ascii="宋体" w:hAnsi="宋体"/>
          <w:snapToGrid w:val="0"/>
          <w:kern w:val="0"/>
        </w:rPr>
        <w:t>21.4</w:t>
      </w:r>
      <w:r>
        <w:rPr>
          <w:rFonts w:hint="eastAsia" w:ascii="宋体" w:hAnsi="宋体"/>
          <w:snapToGrid w:val="0"/>
          <w:kern w:val="0"/>
        </w:rPr>
        <w:t xml:space="preserve">  供应商不得在开标时间起到响应文件有效期满前撤销响应文件。</w:t>
      </w:r>
    </w:p>
    <w:p w14:paraId="24D6CB0A">
      <w:pPr>
        <w:tabs>
          <w:tab w:val="left" w:pos="0"/>
        </w:tabs>
        <w:adjustRightInd w:val="0"/>
        <w:spacing w:line="360" w:lineRule="auto"/>
        <w:rPr>
          <w:rFonts w:ascii="宋体" w:hAnsi="宋体"/>
          <w:snapToGrid w:val="0"/>
          <w:kern w:val="0"/>
        </w:rPr>
      </w:pPr>
    </w:p>
    <w:p w14:paraId="61278F07">
      <w:pPr>
        <w:pStyle w:val="4"/>
        <w:spacing w:before="0" w:after="0"/>
      </w:pPr>
      <w:bookmarkStart w:id="29" w:name="q8"/>
      <w:bookmarkEnd w:id="29"/>
      <w:bookmarkStart w:id="30" w:name="_Toc15969"/>
      <w:r>
        <w:rPr>
          <w:rFonts w:hint="eastAsia"/>
        </w:rPr>
        <w:t>五、开标和评审</w:t>
      </w:r>
      <w:bookmarkEnd w:id="30"/>
    </w:p>
    <w:p w14:paraId="6DA0680A">
      <w:pPr>
        <w:adjustRightInd w:val="0"/>
        <w:spacing w:line="360" w:lineRule="auto"/>
        <w:rPr>
          <w:rFonts w:ascii="宋体" w:hAnsi="宋体"/>
          <w:b/>
          <w:snapToGrid w:val="0"/>
          <w:kern w:val="0"/>
        </w:rPr>
      </w:pPr>
      <w:r>
        <w:rPr>
          <w:rFonts w:hint="eastAsia" w:ascii="宋体" w:hAnsi="宋体"/>
          <w:b/>
          <w:snapToGrid w:val="0"/>
          <w:kern w:val="0"/>
        </w:rPr>
        <w:t>22.</w:t>
      </w:r>
      <w:r>
        <w:rPr>
          <w:rFonts w:ascii="宋体" w:hAnsi="宋体"/>
          <w:b/>
          <w:snapToGrid w:val="0"/>
          <w:kern w:val="0"/>
        </w:rPr>
        <w:t xml:space="preserve"> </w:t>
      </w:r>
      <w:r>
        <w:rPr>
          <w:rFonts w:hint="eastAsia" w:ascii="宋体" w:hAnsi="宋体"/>
          <w:b/>
          <w:snapToGrid w:val="0"/>
          <w:kern w:val="0"/>
        </w:rPr>
        <w:t>开标</w:t>
      </w:r>
    </w:p>
    <w:p w14:paraId="35FB4FA7">
      <w:pPr>
        <w:adjustRightInd w:val="0"/>
        <w:spacing w:line="360" w:lineRule="auto"/>
        <w:rPr>
          <w:rFonts w:ascii="宋体" w:hAnsi="宋体"/>
          <w:snapToGrid w:val="0"/>
          <w:kern w:val="0"/>
        </w:rPr>
      </w:pPr>
      <w:r>
        <w:rPr>
          <w:rFonts w:ascii="宋体" w:hAnsi="宋体"/>
          <w:snapToGrid w:val="0"/>
          <w:kern w:val="0"/>
        </w:rPr>
        <w:t xml:space="preserve">22.1  </w:t>
      </w:r>
      <w:r>
        <w:rPr>
          <w:rFonts w:hint="eastAsia" w:ascii="宋体" w:hAnsi="宋体" w:cs="宋体"/>
          <w:bCs/>
          <w:snapToGrid w:val="0"/>
          <w:kern w:val="0"/>
        </w:rPr>
        <w:t>采购代理机构</w:t>
      </w:r>
      <w:r>
        <w:rPr>
          <w:rFonts w:hint="eastAsia" w:ascii="宋体" w:hAnsi="宋体"/>
          <w:snapToGrid w:val="0"/>
          <w:kern w:val="0"/>
        </w:rPr>
        <w:t>在前附表第12项规定的时间和地点公开开标。</w:t>
      </w:r>
    </w:p>
    <w:p w14:paraId="1A1832D3">
      <w:pPr>
        <w:adjustRightInd w:val="0"/>
        <w:spacing w:line="360" w:lineRule="auto"/>
        <w:rPr>
          <w:rFonts w:ascii="宋体" w:hAnsi="宋体"/>
          <w:snapToGrid w:val="0"/>
          <w:kern w:val="0"/>
        </w:rPr>
      </w:pPr>
      <w:r>
        <w:rPr>
          <w:rFonts w:hint="eastAsia" w:ascii="宋体" w:hAnsi="宋体"/>
          <w:snapToGrid w:val="0"/>
          <w:kern w:val="0"/>
        </w:rPr>
        <w:t>22.2  开标时，</w:t>
      </w:r>
      <w:r>
        <w:rPr>
          <w:rFonts w:hint="eastAsia" w:ascii="宋体" w:hAnsi="宋体" w:cs="宋体"/>
          <w:bCs/>
          <w:snapToGrid w:val="0"/>
          <w:kern w:val="0"/>
        </w:rPr>
        <w:t>采购代理机构</w:t>
      </w:r>
      <w:r>
        <w:rPr>
          <w:rFonts w:hint="eastAsia" w:ascii="宋体" w:hAnsi="宋体"/>
          <w:snapToGrid w:val="0"/>
          <w:kern w:val="0"/>
        </w:rPr>
        <w:t>将检查响应文件的密封情况，在确认无误后拆封唱标。唱标主要内容为下面几点并做好唱标记录。</w:t>
      </w:r>
    </w:p>
    <w:p w14:paraId="6F36DBE4">
      <w:pPr>
        <w:adjustRightInd w:val="0"/>
        <w:spacing w:line="360" w:lineRule="auto"/>
        <w:rPr>
          <w:rFonts w:ascii="宋体" w:hAnsi="宋体"/>
          <w:snapToGrid w:val="0"/>
          <w:kern w:val="0"/>
        </w:rPr>
      </w:pPr>
      <w:r>
        <w:rPr>
          <w:rFonts w:hint="eastAsia" w:ascii="宋体" w:hAnsi="宋体"/>
          <w:snapToGrid w:val="0"/>
          <w:kern w:val="0"/>
        </w:rPr>
        <w:t>22.2</w:t>
      </w:r>
      <w:r>
        <w:rPr>
          <w:rFonts w:ascii="宋体" w:hAnsi="宋体"/>
          <w:snapToGrid w:val="0"/>
          <w:kern w:val="0"/>
        </w:rPr>
        <w:t xml:space="preserve">.1 </w:t>
      </w:r>
      <w:r>
        <w:rPr>
          <w:rFonts w:hint="eastAsia" w:ascii="宋体" w:hAnsi="宋体"/>
          <w:snapToGrid w:val="0"/>
          <w:kern w:val="0"/>
        </w:rPr>
        <w:t xml:space="preserve"> 响应文件中“开标一览表”的内容。</w:t>
      </w:r>
    </w:p>
    <w:p w14:paraId="5D2FF3F0">
      <w:pPr>
        <w:adjustRightInd w:val="0"/>
        <w:spacing w:line="360" w:lineRule="auto"/>
        <w:rPr>
          <w:rFonts w:hint="eastAsia" w:ascii="宋体" w:hAnsi="宋体"/>
          <w:snapToGrid w:val="0"/>
          <w:kern w:val="0"/>
        </w:rPr>
      </w:pPr>
      <w:r>
        <w:rPr>
          <w:rFonts w:hint="eastAsia" w:ascii="宋体" w:hAnsi="宋体"/>
          <w:snapToGrid w:val="0"/>
          <w:kern w:val="0"/>
        </w:rPr>
        <w:t>22.2</w:t>
      </w:r>
      <w:r>
        <w:rPr>
          <w:rFonts w:ascii="宋体" w:hAnsi="宋体"/>
          <w:snapToGrid w:val="0"/>
          <w:kern w:val="0"/>
        </w:rPr>
        <w:t>.</w:t>
      </w:r>
      <w:r>
        <w:rPr>
          <w:rFonts w:hint="eastAsia" w:ascii="宋体" w:hAnsi="宋体"/>
          <w:snapToGrid w:val="0"/>
          <w:kern w:val="0"/>
        </w:rPr>
        <w:t xml:space="preserve">2  </w:t>
      </w:r>
      <w:r>
        <w:rPr>
          <w:rFonts w:hint="eastAsia" w:ascii="宋体" w:hAnsi="宋体" w:cs="宋体"/>
          <w:bCs/>
          <w:snapToGrid w:val="0"/>
          <w:kern w:val="0"/>
        </w:rPr>
        <w:t>采购代理机构</w:t>
      </w:r>
      <w:r>
        <w:rPr>
          <w:rFonts w:hint="eastAsia" w:ascii="宋体" w:hAnsi="宋体"/>
          <w:snapToGrid w:val="0"/>
          <w:kern w:val="0"/>
        </w:rPr>
        <w:t>认为合适的其他内容。</w:t>
      </w:r>
    </w:p>
    <w:p w14:paraId="65AF7D19">
      <w:pPr>
        <w:adjustRightInd w:val="0"/>
        <w:spacing w:line="360" w:lineRule="auto"/>
      </w:pPr>
      <w:r>
        <w:rPr>
          <w:rFonts w:hint="eastAsia" w:asciiTheme="minorEastAsia" w:hAnsiTheme="minorEastAsia" w:eastAsiaTheme="minorEastAsia"/>
          <w:snapToGrid w:val="0"/>
          <w:kern w:val="0"/>
        </w:rPr>
        <w:t xml:space="preserve">22.2.3  </w:t>
      </w:r>
      <w:r>
        <w:rPr>
          <w:rFonts w:hint="eastAsia" w:asciiTheme="minorEastAsia" w:hAnsiTheme="minorEastAsia" w:eastAsiaTheme="minorEastAsia"/>
          <w:snapToGrid w:val="0"/>
          <w:kern w:val="0"/>
          <w:lang w:eastAsia="zh-CN"/>
        </w:rPr>
        <w:t>供应商</w:t>
      </w:r>
      <w:r>
        <w:rPr>
          <w:rFonts w:hint="eastAsia" w:asciiTheme="minorEastAsia" w:hAnsiTheme="minorEastAsia" w:eastAsiaTheme="minorEastAsia"/>
          <w:snapToGrid w:val="0"/>
          <w:kern w:val="0"/>
        </w:rPr>
        <w:t>未参加开标的，视同认可开标结果。</w:t>
      </w:r>
    </w:p>
    <w:p w14:paraId="3947E30D">
      <w:pPr>
        <w:adjustRightInd w:val="0"/>
        <w:spacing w:line="360" w:lineRule="auto"/>
        <w:rPr>
          <w:rFonts w:ascii="宋体" w:hAnsi="宋体"/>
          <w:b/>
          <w:snapToGrid w:val="0"/>
          <w:kern w:val="0"/>
        </w:rPr>
      </w:pPr>
      <w:r>
        <w:rPr>
          <w:rFonts w:hint="eastAsia" w:ascii="宋体" w:hAnsi="宋体"/>
          <w:b/>
          <w:snapToGrid w:val="0"/>
          <w:kern w:val="0"/>
        </w:rPr>
        <w:t>23</w:t>
      </w:r>
      <w:r>
        <w:rPr>
          <w:rFonts w:ascii="宋体" w:hAnsi="宋体"/>
          <w:b/>
          <w:snapToGrid w:val="0"/>
          <w:kern w:val="0"/>
        </w:rPr>
        <w:t xml:space="preserve">. </w:t>
      </w:r>
      <w:r>
        <w:rPr>
          <w:rFonts w:hint="eastAsia" w:ascii="宋体" w:hAnsi="宋体"/>
          <w:b/>
          <w:snapToGrid w:val="0"/>
          <w:kern w:val="0"/>
        </w:rPr>
        <w:t>评审委员会</w:t>
      </w:r>
    </w:p>
    <w:p w14:paraId="2EE3791F">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3</w:t>
      </w:r>
      <w:r>
        <w:rPr>
          <w:rFonts w:ascii="宋体" w:hAnsi="宋体"/>
          <w:snapToGrid w:val="0"/>
          <w:kern w:val="0"/>
        </w:rPr>
        <w:t>.1</w:t>
      </w:r>
      <w:r>
        <w:rPr>
          <w:rFonts w:hint="eastAsia" w:ascii="宋体" w:hAnsi="宋体" w:cs="宋体"/>
          <w:bCs/>
          <w:snapToGrid w:val="0"/>
          <w:kern w:val="0"/>
        </w:rPr>
        <w:t>采购代理机构</w:t>
      </w:r>
      <w:r>
        <w:rPr>
          <w:rFonts w:hint="eastAsia" w:ascii="宋体" w:hAnsi="宋体"/>
          <w:snapToGrid w:val="0"/>
          <w:kern w:val="0"/>
        </w:rPr>
        <w:t>将根据采购货物的特点组建评审委员会，其成员由</w:t>
      </w:r>
      <w:r>
        <w:rPr>
          <w:rFonts w:hint="eastAsia" w:ascii="宋体" w:hAnsi="宋体"/>
          <w:bCs/>
          <w:snapToGrid w:val="0"/>
          <w:kern w:val="0"/>
        </w:rPr>
        <w:t>采购人</w:t>
      </w:r>
      <w:r>
        <w:rPr>
          <w:rFonts w:hint="eastAsia" w:ascii="宋体" w:hAnsi="宋体"/>
          <w:snapToGrid w:val="0"/>
          <w:kern w:val="0"/>
        </w:rPr>
        <w:t>代表</w:t>
      </w:r>
      <w:r>
        <w:rPr>
          <w:rFonts w:hint="eastAsia" w:ascii="宋体" w:hAnsi="宋体" w:cs="宋体"/>
          <w:bCs/>
          <w:snapToGrid w:val="0"/>
          <w:kern w:val="0"/>
        </w:rPr>
        <w:t>和有关技术、经济等方面的</w:t>
      </w:r>
      <w:r>
        <w:rPr>
          <w:rFonts w:hint="eastAsia" w:ascii="宋体" w:hAnsi="宋体"/>
          <w:snapToGrid w:val="0"/>
          <w:kern w:val="0"/>
        </w:rPr>
        <w:t>专家组成。评审委员会对响应文件进行审查、评估和比较。</w:t>
      </w:r>
    </w:p>
    <w:p w14:paraId="078A9E19">
      <w:pPr>
        <w:adjustRightInd w:val="0"/>
        <w:spacing w:line="360" w:lineRule="auto"/>
        <w:rPr>
          <w:rFonts w:ascii="宋体" w:hAnsi="宋体"/>
          <w:snapToGrid w:val="0"/>
          <w:kern w:val="0"/>
        </w:rPr>
      </w:pPr>
      <w:r>
        <w:rPr>
          <w:rFonts w:hint="eastAsia" w:ascii="宋体" w:hAnsi="宋体"/>
          <w:snapToGrid w:val="0"/>
          <w:kern w:val="0"/>
        </w:rPr>
        <w:t>23</w:t>
      </w:r>
      <w:r>
        <w:rPr>
          <w:rFonts w:ascii="宋体" w:hAnsi="宋体"/>
          <w:snapToGrid w:val="0"/>
          <w:kern w:val="0"/>
        </w:rPr>
        <w:t xml:space="preserve">.2 </w:t>
      </w:r>
      <w:r>
        <w:rPr>
          <w:rFonts w:hint="eastAsia" w:ascii="宋体" w:hAnsi="宋体"/>
          <w:snapToGrid w:val="0"/>
          <w:kern w:val="0"/>
        </w:rPr>
        <w:t>评审期间，供应商应由法定代表人或其授权代表参加询标。</w:t>
      </w:r>
    </w:p>
    <w:p w14:paraId="5D0EA74A">
      <w:pPr>
        <w:adjustRightInd w:val="0"/>
        <w:spacing w:line="360" w:lineRule="auto"/>
        <w:rPr>
          <w:rFonts w:ascii="宋体" w:hAnsi="宋体"/>
          <w:b/>
          <w:snapToGrid w:val="0"/>
          <w:kern w:val="0"/>
        </w:rPr>
      </w:pPr>
      <w:r>
        <w:rPr>
          <w:rFonts w:ascii="宋体" w:hAnsi="宋体"/>
          <w:b/>
          <w:snapToGrid w:val="0"/>
          <w:kern w:val="0"/>
        </w:rPr>
        <w:t xml:space="preserve">24. </w:t>
      </w:r>
      <w:r>
        <w:rPr>
          <w:rFonts w:hint="eastAsia" w:ascii="宋体" w:hAnsi="宋体"/>
          <w:b/>
          <w:snapToGrid w:val="0"/>
          <w:kern w:val="0"/>
        </w:rPr>
        <w:t>对响应文件的审查和响应性的确定</w:t>
      </w:r>
    </w:p>
    <w:p w14:paraId="6291F161">
      <w:pPr>
        <w:adjustRightInd w:val="0"/>
        <w:spacing w:line="360" w:lineRule="auto"/>
        <w:rPr>
          <w:rFonts w:ascii="宋体" w:hAnsi="宋体"/>
          <w:snapToGrid w:val="0"/>
          <w:kern w:val="0"/>
        </w:rPr>
      </w:pPr>
      <w:r>
        <w:rPr>
          <w:rFonts w:hint="eastAsia" w:ascii="宋体" w:hAnsi="宋体"/>
          <w:snapToGrid w:val="0"/>
          <w:kern w:val="0"/>
        </w:rPr>
        <w:t>24.1  采购机构就响应文件中的资格证明等内容对响应供应商进行资格审查，审查不合格的，认定其响应无效。</w:t>
      </w:r>
    </w:p>
    <w:p w14:paraId="0D1AA113">
      <w:pPr>
        <w:adjustRightInd w:val="0"/>
        <w:spacing w:line="360" w:lineRule="auto"/>
        <w:rPr>
          <w:rFonts w:ascii="宋体" w:hAnsi="宋体"/>
          <w:snapToGrid w:val="0"/>
          <w:kern w:val="0"/>
        </w:rPr>
      </w:pPr>
      <w:r>
        <w:rPr>
          <w:rFonts w:hint="eastAsia" w:ascii="宋体" w:hAnsi="宋体"/>
          <w:snapToGrid w:val="0"/>
          <w:kern w:val="0"/>
        </w:rPr>
        <w:t>24.2  评审委员会将审查响应文件是否完整、总体编排是否有序、文件签署是否合格、有无计算上的错误等。</w:t>
      </w:r>
    </w:p>
    <w:p w14:paraId="706C0AEC">
      <w:pPr>
        <w:adjustRightInd w:val="0"/>
        <w:spacing w:line="360" w:lineRule="auto"/>
        <w:rPr>
          <w:rFonts w:ascii="宋体" w:hAnsi="宋体"/>
          <w:snapToGrid w:val="0"/>
          <w:kern w:val="0"/>
        </w:rPr>
      </w:pPr>
      <w:r>
        <w:rPr>
          <w:rFonts w:hint="eastAsia" w:ascii="宋体" w:hAnsi="宋体"/>
          <w:snapToGrid w:val="0"/>
          <w:kern w:val="0"/>
        </w:rPr>
        <w:t>24.3  算术错误将按以下方法更正（次序排先者优先）：</w:t>
      </w:r>
    </w:p>
    <w:p w14:paraId="10DBDBE7">
      <w:pPr>
        <w:adjustRightInd w:val="0"/>
        <w:spacing w:line="360" w:lineRule="auto"/>
        <w:rPr>
          <w:rFonts w:ascii="宋体" w:hAnsi="宋体"/>
          <w:snapToGrid w:val="0"/>
          <w:kern w:val="0"/>
        </w:rPr>
      </w:pPr>
      <w:r>
        <w:rPr>
          <w:rFonts w:hint="eastAsia" w:ascii="宋体" w:hAnsi="宋体"/>
          <w:snapToGrid w:val="0"/>
          <w:kern w:val="0"/>
        </w:rPr>
        <w:t>（1）开标一览表内容与响应文件中相应内容不一致的，以开标一览表为准；</w:t>
      </w:r>
    </w:p>
    <w:p w14:paraId="02403FE9">
      <w:pPr>
        <w:adjustRightInd w:val="0"/>
        <w:spacing w:line="360" w:lineRule="auto"/>
        <w:rPr>
          <w:rFonts w:ascii="宋体" w:hAnsi="宋体"/>
          <w:szCs w:val="21"/>
        </w:rPr>
      </w:pPr>
      <w:r>
        <w:rPr>
          <w:rFonts w:hint="eastAsia" w:ascii="宋体" w:hAnsi="宋体"/>
          <w:snapToGrid w:val="0"/>
          <w:kern w:val="0"/>
        </w:rPr>
        <w:t>（2）</w:t>
      </w:r>
      <w:r>
        <w:rPr>
          <w:rFonts w:hint="eastAsia" w:ascii="宋体" w:hAnsi="宋体"/>
          <w:szCs w:val="21"/>
        </w:rPr>
        <w:t>大写金额和小写金额不一致的，以大写金额为准；</w:t>
      </w:r>
    </w:p>
    <w:p w14:paraId="5A9B6BEF">
      <w:pPr>
        <w:adjustRightInd w:val="0"/>
        <w:spacing w:line="360" w:lineRule="auto"/>
        <w:rPr>
          <w:rFonts w:ascii="宋体" w:hAnsi="宋体"/>
          <w:szCs w:val="21"/>
        </w:rPr>
      </w:pPr>
      <w:r>
        <w:rPr>
          <w:rFonts w:hint="eastAsia" w:ascii="宋体" w:hAnsi="宋体"/>
          <w:snapToGrid w:val="0"/>
          <w:kern w:val="0"/>
        </w:rPr>
        <w:t>（3）</w:t>
      </w:r>
      <w:r>
        <w:rPr>
          <w:rFonts w:hint="eastAsia" w:ascii="宋体" w:hAnsi="宋体"/>
          <w:szCs w:val="21"/>
        </w:rPr>
        <w:t>单价金额小数点或者百分比有明显错位的，以开标一览表的总价为准，并修改单价；</w:t>
      </w:r>
    </w:p>
    <w:p w14:paraId="186C4B86">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szCs w:val="21"/>
        </w:rPr>
        <w:t>总价金额与按单价汇总金额不一致的，以单价金额计算结果为准。</w:t>
      </w:r>
    </w:p>
    <w:p w14:paraId="117E31BC">
      <w:pPr>
        <w:adjustRightInd w:val="0"/>
        <w:spacing w:line="360" w:lineRule="auto"/>
        <w:rPr>
          <w:rFonts w:ascii="宋体" w:hAnsi="宋体"/>
          <w:snapToGrid w:val="0"/>
          <w:kern w:val="0"/>
        </w:rPr>
      </w:pPr>
      <w:r>
        <w:rPr>
          <w:rFonts w:hint="eastAsia" w:ascii="宋体" w:hAnsi="宋体"/>
          <w:szCs w:val="21"/>
        </w:rPr>
        <w:t xml:space="preserve">    同时出现两种以上不一致的，按照前款规定的顺序修正。修正后的报价按照本须知25.2条的规定，经供应商确认后产生约束力，供应商不确认的，其响应无效</w:t>
      </w:r>
      <w:r>
        <w:rPr>
          <w:rFonts w:hint="eastAsia" w:ascii="宋体" w:hAnsi="宋体"/>
          <w:snapToGrid w:val="0"/>
          <w:kern w:val="0"/>
        </w:rPr>
        <w:t>。</w:t>
      </w:r>
    </w:p>
    <w:p w14:paraId="437D2078">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4</w:t>
      </w:r>
      <w:r>
        <w:rPr>
          <w:rFonts w:hint="eastAsia" w:ascii="宋体" w:hAnsi="宋体"/>
          <w:snapToGrid w:val="0"/>
          <w:kern w:val="0"/>
        </w:rPr>
        <w:t xml:space="preserve">  评审委员会将确定每份响应是否对采购文件的要求，作出了实质性的响应而没有重大偏离。实质性响应的响应是指符合采购文件的所有条款、条件和规定，且没有重大偏离或保留。重大偏离或保留系指影响到采购文件规定的范围、质量和性能，或限制了采购人的权力和供应商的义务的规定。而纠正这些偏离将影响到其它提交实质性响应响应的供应商的公平竞争地位。</w:t>
      </w:r>
    </w:p>
    <w:p w14:paraId="31093583">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5</w:t>
      </w:r>
      <w:r>
        <w:rPr>
          <w:rFonts w:hint="eastAsia" w:ascii="宋体" w:hAnsi="宋体"/>
          <w:snapToGrid w:val="0"/>
          <w:kern w:val="0"/>
        </w:rPr>
        <w:t xml:space="preserve">  评审委员会判断响应文件的响应性，仅基于采购文件和响应文件本身而不靠外部证据。</w:t>
      </w:r>
    </w:p>
    <w:p w14:paraId="14283B97">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6</w:t>
      </w:r>
      <w:r>
        <w:rPr>
          <w:rFonts w:hint="eastAsia" w:ascii="宋体" w:hAnsi="宋体"/>
          <w:snapToGrid w:val="0"/>
          <w:kern w:val="0"/>
        </w:rPr>
        <w:t xml:space="preserve">  评审委员会将拒绝被确定为非实质性响应的供应商。供应商不能通过修正或撤销不符之处，而使其响应成为实质性响应的响应。</w:t>
      </w:r>
    </w:p>
    <w:p w14:paraId="670FCC47">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7</w:t>
      </w:r>
      <w:r>
        <w:rPr>
          <w:rFonts w:hint="eastAsia" w:ascii="宋体" w:hAnsi="宋体"/>
          <w:snapToGrid w:val="0"/>
          <w:kern w:val="0"/>
        </w:rPr>
        <w:t xml:space="preserve">  评审委员会允许修改响应中不构成重大偏离的、微小的、不一致或不规则的地方。</w:t>
      </w:r>
    </w:p>
    <w:p w14:paraId="3D12A0A8">
      <w:pPr>
        <w:adjustRightInd w:val="0"/>
        <w:spacing w:line="360" w:lineRule="auto"/>
        <w:rPr>
          <w:rFonts w:ascii="宋体" w:hAnsi="宋体"/>
          <w:szCs w:val="21"/>
        </w:rPr>
      </w:pPr>
      <w:r>
        <w:rPr>
          <w:rFonts w:hint="eastAsia" w:ascii="宋体" w:hAnsi="宋体"/>
          <w:snapToGrid w:val="0"/>
          <w:kern w:val="0"/>
        </w:rPr>
        <w:t>24.</w:t>
      </w:r>
      <w:r>
        <w:rPr>
          <w:rFonts w:hint="eastAsia" w:ascii="宋体" w:hAnsi="宋体"/>
          <w:snapToGrid w:val="0"/>
          <w:kern w:val="0"/>
          <w:lang w:val="en-US" w:eastAsia="zh-CN"/>
        </w:rPr>
        <w:t>8</w:t>
      </w:r>
      <w:r>
        <w:rPr>
          <w:rFonts w:hint="eastAsia" w:ascii="宋体" w:hAnsi="宋体"/>
          <w:snapToGrid w:val="0"/>
          <w:kern w:val="0"/>
        </w:rPr>
        <w:t xml:space="preserve">  </w:t>
      </w:r>
      <w:r>
        <w:rPr>
          <w:rFonts w:hint="eastAsia" w:ascii="宋体" w:hAnsi="宋体"/>
          <w:szCs w:val="21"/>
        </w:rPr>
        <w:t>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7ED85994">
      <w:pPr>
        <w:adjustRightInd w:val="0"/>
        <w:spacing w:line="360" w:lineRule="auto"/>
        <w:rPr>
          <w:rFonts w:hint="eastAsia" w:ascii="宋体" w:hAnsi="宋体"/>
          <w:szCs w:val="21"/>
        </w:rPr>
      </w:pPr>
      <w:r>
        <w:rPr>
          <w:rFonts w:hint="eastAsia" w:ascii="宋体" w:hAnsi="宋体"/>
          <w:snapToGrid w:val="0"/>
          <w:kern w:val="0"/>
        </w:rPr>
        <w:t>24.</w:t>
      </w:r>
      <w:r>
        <w:rPr>
          <w:rFonts w:hint="eastAsia" w:ascii="宋体" w:hAnsi="宋体"/>
          <w:snapToGrid w:val="0"/>
          <w:kern w:val="0"/>
          <w:lang w:val="en-US" w:eastAsia="zh-CN"/>
        </w:rPr>
        <w:t>9</w:t>
      </w:r>
      <w:r>
        <w:rPr>
          <w:rFonts w:hint="eastAsia" w:ascii="宋体" w:hAnsi="宋体"/>
          <w:snapToGrid w:val="0"/>
          <w:kern w:val="0"/>
        </w:rPr>
        <w:t xml:space="preserve">  </w:t>
      </w:r>
      <w:r>
        <w:rPr>
          <w:rFonts w:hint="eastAsia"/>
          <w:snapToGrid w:val="0"/>
          <w:kern w:val="0"/>
        </w:rPr>
        <w:t>评审委员会成员对需要共同认定的事项存在争议的，应当按照少数服从多数的原则作出结论。持不同意见的评审委员会成员应当在评审报告上签署不同意见及理由，否则视为同意评审报告</w:t>
      </w:r>
      <w:r>
        <w:rPr>
          <w:rFonts w:hint="eastAsia" w:ascii="宋体" w:hAnsi="宋体"/>
          <w:szCs w:val="21"/>
        </w:rPr>
        <w:t>。</w:t>
      </w:r>
    </w:p>
    <w:p w14:paraId="09D6316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5</w:t>
      </w:r>
      <w:r>
        <w:rPr>
          <w:rFonts w:ascii="宋体" w:hAnsi="宋体"/>
          <w:b/>
          <w:snapToGrid w:val="0"/>
          <w:kern w:val="0"/>
        </w:rPr>
        <w:t xml:space="preserve">. </w:t>
      </w:r>
      <w:r>
        <w:rPr>
          <w:rFonts w:hint="eastAsia" w:ascii="宋体" w:hAnsi="宋体"/>
          <w:b/>
          <w:snapToGrid w:val="0"/>
          <w:kern w:val="0"/>
        </w:rPr>
        <w:t>响应文件的澄清</w:t>
      </w:r>
    </w:p>
    <w:p w14:paraId="46FFCD0A">
      <w:pPr>
        <w:adjustRightInd w:val="0"/>
        <w:spacing w:line="360" w:lineRule="auto"/>
        <w:rPr>
          <w:rFonts w:ascii="宋体" w:hAnsi="宋体"/>
          <w:snapToGrid w:val="0"/>
          <w:kern w:val="0"/>
        </w:rPr>
      </w:pPr>
      <w:r>
        <w:rPr>
          <w:rFonts w:hint="eastAsia" w:ascii="宋体" w:hAnsi="宋体"/>
          <w:snapToGrid w:val="0"/>
          <w:kern w:val="0"/>
        </w:rPr>
        <w:t>25.1  对于响应文件中含义不明确、同类问题表述不一致或者有明显文字和计算错误的内容，评审委员会应当以书面形式要求供应商作出必要的澄清、说明或者补正。</w:t>
      </w:r>
    </w:p>
    <w:p w14:paraId="055FB420">
      <w:pPr>
        <w:adjustRightInd w:val="0"/>
        <w:spacing w:line="360" w:lineRule="auto"/>
        <w:rPr>
          <w:rFonts w:ascii="宋体" w:hAnsi="宋体"/>
          <w:snapToGrid w:val="0"/>
          <w:kern w:val="0"/>
        </w:rPr>
      </w:pPr>
      <w:r>
        <w:rPr>
          <w:rFonts w:hint="eastAsia" w:ascii="宋体" w:hAnsi="宋体"/>
          <w:snapToGrid w:val="0"/>
          <w:kern w:val="0"/>
        </w:rPr>
        <w:t>25.2  供应商的澄清、说明或者补正应当采用书面形式，并加盖公章，或者由法定代表人或其授权的代表签字。供应商的澄清、说明或者补正不得超出响应文件的范围或者改变响应文件的实质性内容。</w:t>
      </w:r>
    </w:p>
    <w:p w14:paraId="5873F729">
      <w:pPr>
        <w:adjustRightInd w:val="0"/>
        <w:spacing w:line="360" w:lineRule="auto"/>
        <w:rPr>
          <w:rFonts w:ascii="宋体" w:hAnsi="宋体"/>
          <w:b/>
          <w:snapToGrid w:val="0"/>
          <w:kern w:val="0"/>
        </w:rPr>
      </w:pPr>
      <w:r>
        <w:rPr>
          <w:rFonts w:ascii="宋体" w:hAnsi="宋体"/>
          <w:b/>
          <w:snapToGrid w:val="0"/>
          <w:kern w:val="0"/>
        </w:rPr>
        <w:t xml:space="preserve">26. </w:t>
      </w:r>
      <w:r>
        <w:rPr>
          <w:rFonts w:hint="eastAsia" w:ascii="宋体" w:hAnsi="宋体"/>
          <w:b/>
          <w:snapToGrid w:val="0"/>
          <w:kern w:val="0"/>
        </w:rPr>
        <w:t>评审方法和详细评审</w:t>
      </w:r>
    </w:p>
    <w:p w14:paraId="7E69F1B5">
      <w:pPr>
        <w:adjustRightInd w:val="0"/>
        <w:spacing w:line="360" w:lineRule="auto"/>
        <w:rPr>
          <w:rFonts w:ascii="宋体" w:hAnsi="宋体"/>
          <w:snapToGrid w:val="0"/>
          <w:kern w:val="0"/>
        </w:rPr>
      </w:pPr>
      <w:r>
        <w:rPr>
          <w:rFonts w:hint="eastAsia" w:ascii="宋体" w:hAnsi="宋体"/>
          <w:snapToGrid w:val="0"/>
          <w:kern w:val="0"/>
        </w:rPr>
        <w:t>26.1 评审委员会将按照本须知第24条规定只对确定为实质上响应的响应文件进行评价和比较。</w:t>
      </w:r>
    </w:p>
    <w:p w14:paraId="3DB93D8B">
      <w:pPr>
        <w:adjustRightInd w:val="0"/>
        <w:spacing w:line="360" w:lineRule="auto"/>
        <w:rPr>
          <w:rFonts w:ascii="宋体" w:hAnsi="宋体"/>
          <w:snapToGrid w:val="0"/>
          <w:kern w:val="0"/>
        </w:rPr>
      </w:pPr>
      <w:r>
        <w:rPr>
          <w:rFonts w:ascii="宋体" w:hAnsi="宋体"/>
          <w:snapToGrid w:val="0"/>
          <w:kern w:val="0"/>
        </w:rPr>
        <w:t xml:space="preserve">26.2 </w:t>
      </w:r>
      <w:r>
        <w:rPr>
          <w:rFonts w:hint="eastAsia" w:ascii="宋体" w:hAnsi="宋体"/>
          <w:snapToGrid w:val="0"/>
          <w:kern w:val="0"/>
        </w:rPr>
        <w:t>评审的基础应是本须知第</w:t>
      </w:r>
      <w:r>
        <w:rPr>
          <w:rFonts w:ascii="宋体" w:hAnsi="宋体"/>
          <w:snapToGrid w:val="0"/>
          <w:kern w:val="0"/>
        </w:rPr>
        <w:t>1</w:t>
      </w:r>
      <w:r>
        <w:rPr>
          <w:rFonts w:hint="eastAsia" w:ascii="宋体" w:hAnsi="宋体"/>
          <w:snapToGrid w:val="0"/>
          <w:kern w:val="0"/>
        </w:rPr>
        <w:t>2条规定的响应报价。</w:t>
      </w:r>
    </w:p>
    <w:p w14:paraId="65318581">
      <w:pPr>
        <w:adjustRightInd w:val="0"/>
        <w:spacing w:line="360" w:lineRule="auto"/>
        <w:rPr>
          <w:rFonts w:ascii="宋体" w:hAnsi="宋体"/>
          <w:snapToGrid w:val="0"/>
          <w:kern w:val="0"/>
        </w:rPr>
      </w:pPr>
      <w:r>
        <w:rPr>
          <w:rFonts w:hint="eastAsia" w:ascii="宋体" w:hAnsi="宋体"/>
          <w:snapToGrid w:val="0"/>
          <w:kern w:val="0"/>
        </w:rPr>
        <w:t>26.3评审委员会按 “第四章 评审方法和标准”所述进行详细评审，并推荐成交候选供应商。</w:t>
      </w:r>
    </w:p>
    <w:p w14:paraId="04863CE6">
      <w:pPr>
        <w:adjustRightInd w:val="0"/>
        <w:spacing w:line="360" w:lineRule="auto"/>
        <w:rPr>
          <w:rFonts w:hint="eastAsia" w:cs="仿宋" w:asciiTheme="minorEastAsia" w:hAnsiTheme="minorEastAsia" w:eastAsiaTheme="minorEastAsia"/>
          <w:b w:val="0"/>
          <w:bCs w:val="0"/>
          <w:color w:val="auto"/>
          <w:kern w:val="2"/>
          <w:sz w:val="21"/>
          <w:szCs w:val="21"/>
          <w:highlight w:val="none"/>
          <w:lang w:val="en-US" w:eastAsia="zh-CN"/>
        </w:rPr>
      </w:pPr>
      <w:r>
        <w:rPr>
          <w:rFonts w:hint="eastAsia" w:ascii="宋体" w:hAnsi="宋体"/>
          <w:b w:val="0"/>
          <w:bCs/>
          <w:snapToGrid w:val="0"/>
          <w:kern w:val="0"/>
          <w:highlight w:val="none"/>
          <w:lang w:val="en-US" w:eastAsia="zh-CN"/>
        </w:rPr>
        <w:t>26.4</w:t>
      </w:r>
      <w:r>
        <w:rPr>
          <w:rFonts w:hint="eastAsia" w:cs="仿宋" w:asciiTheme="minorEastAsia" w:hAnsiTheme="minorEastAsia" w:eastAsiaTheme="minorEastAsia"/>
          <w:b w:val="0"/>
          <w:bCs w:val="0"/>
          <w:color w:val="auto"/>
          <w:kern w:val="2"/>
          <w:sz w:val="21"/>
          <w:szCs w:val="21"/>
          <w:highlight w:val="none"/>
          <w:lang w:val="en-US" w:eastAsia="zh-CN"/>
        </w:rPr>
        <w:t>投标人采用邮寄方式递交投标文件的，应当确保投标文件载明的联系电话在开标后评审全过程中保持畅通。为提高采购效率，根据采购人内部控制管理制度，公开征集项目出现下列情形之一且有效投标人数量仍不足法定数量的，采购人有权将采购方式变更为院内竞争性谈判或院内单一来源采购：</w:t>
      </w:r>
    </w:p>
    <w:p w14:paraId="3789E403">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lang w:val="en-US" w:eastAsia="zh-CN"/>
        </w:rPr>
      </w:pPr>
      <w:r>
        <w:rPr>
          <w:rFonts w:hint="eastAsia" w:ascii="宋体" w:hAnsi="宋体" w:eastAsia="宋体" w:cs="Times New Roman"/>
          <w:snapToGrid w:val="0"/>
          <w:kern w:val="0"/>
          <w:lang w:val="en-US" w:eastAsia="zh-CN"/>
        </w:rPr>
        <w:t xml:space="preserve">（一）公开征集项目延期报名的 </w:t>
      </w:r>
    </w:p>
    <w:p w14:paraId="1C1E6C7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lang w:val="en-US" w:eastAsia="zh-CN"/>
        </w:rPr>
      </w:pPr>
      <w:r>
        <w:rPr>
          <w:rFonts w:hint="eastAsia" w:ascii="宋体" w:hAnsi="宋体" w:eastAsia="宋体" w:cs="Times New Roman"/>
          <w:snapToGrid w:val="0"/>
          <w:kern w:val="0"/>
          <w:lang w:val="en-US" w:eastAsia="zh-CN"/>
        </w:rPr>
        <w:t>（二）公开征集项目采购失败后发布重新征集公告的</w:t>
      </w:r>
    </w:p>
    <w:p w14:paraId="622DBAA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rPr>
      </w:pPr>
      <w:r>
        <w:rPr>
          <w:rFonts w:hint="eastAsia" w:ascii="宋体" w:hAnsi="宋体" w:eastAsia="宋体" w:cs="Times New Roman"/>
          <w:snapToGrid w:val="0"/>
          <w:kern w:val="0"/>
          <w:lang w:val="en-US" w:eastAsia="zh-CN"/>
        </w:rPr>
        <w:t>采购方式变更为院内竞争性谈判或院内单一来源采购的，采购人（评审委员会）应当场通过投标文件载明的联系电话与投标人进行谈判。评审现场经采购人（评审委员会）多次拨打项目授权人联系电话均无法取得联系，或者投标人经联系后未在评审委员会规定时限内，将加盖单位公章或经项目授权人签字的后续报价单扫描件报送至采购人（采购代理机构）指定邮箱（送达时间以采购人（采购代理机构）邮箱系统显示的收件时间为准，逾期不予接收），致使无法确认其后续报价的，视为投标人放弃后续报价权利，评审委员会以其投标文件载明的报价作为最终报价进行评审。</w:t>
      </w:r>
    </w:p>
    <w:p w14:paraId="65952E76">
      <w:pPr>
        <w:adjustRightInd w:val="0"/>
        <w:spacing w:line="360" w:lineRule="auto"/>
        <w:rPr>
          <w:rFonts w:ascii="宋体" w:hAnsi="宋体"/>
          <w:b/>
          <w:snapToGrid w:val="0"/>
          <w:kern w:val="0"/>
        </w:rPr>
      </w:pPr>
      <w:r>
        <w:rPr>
          <w:rFonts w:ascii="宋体" w:hAnsi="宋体"/>
          <w:b/>
          <w:snapToGrid w:val="0"/>
          <w:kern w:val="0"/>
        </w:rPr>
        <w:t xml:space="preserve">27. </w:t>
      </w:r>
      <w:r>
        <w:rPr>
          <w:rFonts w:hint="eastAsia" w:ascii="宋体" w:hAnsi="宋体"/>
          <w:b/>
          <w:snapToGrid w:val="0"/>
          <w:kern w:val="0"/>
        </w:rPr>
        <w:t>评审报告</w:t>
      </w:r>
    </w:p>
    <w:p w14:paraId="51852646">
      <w:pPr>
        <w:adjustRightInd w:val="0"/>
        <w:spacing w:line="360" w:lineRule="auto"/>
        <w:rPr>
          <w:rFonts w:ascii="宋体" w:hAnsi="宋体"/>
          <w:snapToGrid w:val="0"/>
          <w:kern w:val="0"/>
        </w:rPr>
      </w:pPr>
      <w:r>
        <w:rPr>
          <w:rFonts w:hint="eastAsia" w:ascii="宋体" w:hAnsi="宋体"/>
          <w:b/>
          <w:snapToGrid w:val="0"/>
          <w:kern w:val="0"/>
        </w:rPr>
        <w:t xml:space="preserve">    </w:t>
      </w:r>
      <w:r>
        <w:rPr>
          <w:rFonts w:hint="eastAsia" w:ascii="宋体" w:hAnsi="宋体"/>
          <w:snapToGrid w:val="0"/>
          <w:kern w:val="0"/>
        </w:rPr>
        <w:t>评审报告是评审委员会根据全体评审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在案。</w:t>
      </w:r>
    </w:p>
    <w:p w14:paraId="13F1B68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8</w:t>
      </w:r>
      <w:r>
        <w:rPr>
          <w:rFonts w:ascii="宋体" w:hAnsi="宋体"/>
          <w:b/>
          <w:snapToGrid w:val="0"/>
          <w:kern w:val="0"/>
        </w:rPr>
        <w:t xml:space="preserve">. </w:t>
      </w:r>
      <w:r>
        <w:rPr>
          <w:rFonts w:hint="eastAsia" w:ascii="宋体" w:hAnsi="宋体"/>
          <w:b/>
          <w:snapToGrid w:val="0"/>
          <w:kern w:val="0"/>
        </w:rPr>
        <w:t>保密及其它注意事项</w:t>
      </w:r>
    </w:p>
    <w:p w14:paraId="1AC0564B">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w:t>
      </w:r>
      <w:r>
        <w:rPr>
          <w:rFonts w:hint="eastAsia" w:ascii="宋体" w:hAnsi="宋体"/>
          <w:snapToGrid w:val="0"/>
          <w:kern w:val="0"/>
        </w:rPr>
        <w:t>1  评审是采购工作的重要环节，评审工作在评委会内独立进行。评委会将遵照评审原则，公正、平等地对待所有供应商。</w:t>
      </w:r>
    </w:p>
    <w:p w14:paraId="0CF2A559">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.2</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评审期间，评委会将对响应文件中有关问题分别向供应商进行询问。各供应商应予以认真答复。重要或复杂问题的答复需以书面形式，并经法定代表人或授权人签署。澄清文件将作为响应文件的组成部份。</w:t>
      </w:r>
    </w:p>
    <w:p w14:paraId="3B6A5C29">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 xml:space="preserve">.3  </w:t>
      </w:r>
      <w:r>
        <w:rPr>
          <w:rFonts w:hint="eastAsia" w:ascii="宋体" w:hAnsi="宋体"/>
          <w:snapToGrid w:val="0"/>
          <w:kern w:val="0"/>
        </w:rPr>
        <w:t>在开标、响应期间，供应商不得向评委询问评审情况，不得进行旨在影响评审结果的活动。</w:t>
      </w:r>
    </w:p>
    <w:p w14:paraId="16C53061">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 xml:space="preserve">.4  </w:t>
      </w:r>
      <w:r>
        <w:rPr>
          <w:rFonts w:hint="eastAsia" w:ascii="宋体" w:hAnsi="宋体"/>
          <w:snapToGrid w:val="0"/>
          <w:kern w:val="0"/>
        </w:rPr>
        <w:t>为保证定标的公正性，在评审过程中，评委不得与供应商私下交换意见。在采购工作结束后，凡与评审情况有接触的任何人，不得也不应将评审情况扩散出评委人员之外。</w:t>
      </w:r>
    </w:p>
    <w:p w14:paraId="62143D38">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.5</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评委会不向落标方解释落标原因，不退还响应文件。</w:t>
      </w:r>
    </w:p>
    <w:p w14:paraId="13A2BBA6">
      <w:pPr>
        <w:adjustRightInd w:val="0"/>
        <w:spacing w:line="360" w:lineRule="auto"/>
        <w:ind w:left="357"/>
        <w:jc w:val="center"/>
        <w:rPr>
          <w:rFonts w:ascii="宋体" w:hAnsi="宋体"/>
          <w:b/>
          <w:snapToGrid w:val="0"/>
          <w:kern w:val="0"/>
        </w:rPr>
      </w:pPr>
      <w:bookmarkStart w:id="31" w:name="q9"/>
      <w:bookmarkEnd w:id="31"/>
    </w:p>
    <w:p w14:paraId="38806A8A">
      <w:pPr>
        <w:pStyle w:val="4"/>
        <w:spacing w:before="0" w:after="0"/>
      </w:pPr>
      <w:bookmarkStart w:id="32" w:name="_Toc17086"/>
      <w:r>
        <w:rPr>
          <w:rFonts w:hint="eastAsia"/>
        </w:rPr>
        <w:t>六、授予合同</w:t>
      </w:r>
      <w:bookmarkEnd w:id="32"/>
    </w:p>
    <w:p w14:paraId="19D70D3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9．合同授予标准</w:t>
      </w:r>
    </w:p>
    <w:p w14:paraId="3506C615">
      <w:pPr>
        <w:tabs>
          <w:tab w:val="left" w:pos="5688"/>
        </w:tabs>
        <w:adjustRightInd w:val="0"/>
        <w:spacing w:line="360" w:lineRule="auto"/>
        <w:rPr>
          <w:rFonts w:ascii="宋体" w:hAnsi="宋体"/>
          <w:snapToGrid w:val="0"/>
          <w:kern w:val="0"/>
        </w:rPr>
      </w:pPr>
      <w:r>
        <w:rPr>
          <w:rFonts w:hint="eastAsia" w:ascii="宋体" w:hAnsi="宋体"/>
          <w:snapToGrid w:val="0"/>
          <w:kern w:val="0"/>
        </w:rPr>
        <w:t xml:space="preserve">    本项目采购合同授予经采购人确定的成交供应商。</w:t>
      </w:r>
    </w:p>
    <w:p w14:paraId="42EEFD18">
      <w:pPr>
        <w:adjustRightInd w:val="0"/>
        <w:spacing w:line="360" w:lineRule="auto"/>
        <w:rPr>
          <w:rFonts w:ascii="宋体" w:hAnsi="宋体"/>
          <w:b/>
          <w:snapToGrid w:val="0"/>
          <w:kern w:val="0"/>
        </w:rPr>
      </w:pPr>
      <w:r>
        <w:rPr>
          <w:rFonts w:hint="eastAsia" w:ascii="宋体" w:hAnsi="宋体"/>
          <w:b/>
          <w:snapToGrid w:val="0"/>
          <w:kern w:val="0"/>
        </w:rPr>
        <w:t>30</w:t>
      </w:r>
      <w:r>
        <w:rPr>
          <w:rFonts w:ascii="宋体" w:hAnsi="宋体"/>
          <w:b/>
          <w:snapToGrid w:val="0"/>
          <w:kern w:val="0"/>
        </w:rPr>
        <w:t xml:space="preserve">. </w:t>
      </w:r>
      <w:r>
        <w:rPr>
          <w:rFonts w:hint="eastAsia" w:ascii="宋体" w:hAnsi="宋体"/>
          <w:b/>
          <w:snapToGrid w:val="0"/>
          <w:kern w:val="0"/>
        </w:rPr>
        <w:t>成交通知</w:t>
      </w:r>
    </w:p>
    <w:p w14:paraId="797A7012">
      <w:pPr>
        <w:adjustRightInd w:val="0"/>
        <w:spacing w:line="360" w:lineRule="auto"/>
        <w:rPr>
          <w:rFonts w:ascii="宋体" w:hAnsi="宋体"/>
          <w:snapToGrid w:val="0"/>
          <w:kern w:val="0"/>
        </w:rPr>
      </w:pPr>
      <w:r>
        <w:rPr>
          <w:rFonts w:hint="eastAsia" w:ascii="宋体" w:hAnsi="宋体"/>
          <w:snapToGrid w:val="0"/>
          <w:kern w:val="0"/>
        </w:rPr>
        <w:t>30.1  采购机构在发出《成交通知书》之前，将成交结果通过指定网站进行公示。成交结果公示期满无异议或者异议不成立的，采购机构将发出《成交通知书》。《成交通知书》一经发出即发生法律效力。</w:t>
      </w:r>
      <w:r>
        <w:rPr>
          <w:rFonts w:ascii="宋体" w:hAnsi="宋体"/>
          <w:snapToGrid w:val="0"/>
          <w:kern w:val="0"/>
        </w:rPr>
        <w:t xml:space="preserve"> </w:t>
      </w:r>
    </w:p>
    <w:p w14:paraId="47BDF9CF">
      <w:pPr>
        <w:adjustRightInd w:val="0"/>
        <w:spacing w:line="360" w:lineRule="auto"/>
        <w:rPr>
          <w:rFonts w:ascii="宋体" w:hAnsi="宋体"/>
          <w:snapToGrid w:val="0"/>
          <w:kern w:val="0"/>
        </w:rPr>
      </w:pPr>
      <w:r>
        <w:rPr>
          <w:rFonts w:hint="eastAsia" w:ascii="宋体" w:hAnsi="宋体"/>
          <w:snapToGrid w:val="0"/>
          <w:kern w:val="0"/>
        </w:rPr>
        <w:t>30</w:t>
      </w:r>
      <w:r>
        <w:rPr>
          <w:rFonts w:ascii="宋体" w:hAnsi="宋体"/>
          <w:snapToGrid w:val="0"/>
          <w:kern w:val="0"/>
        </w:rPr>
        <w:t xml:space="preserve">.2 </w:t>
      </w:r>
      <w:r>
        <w:rPr>
          <w:rFonts w:hint="eastAsia" w:ascii="宋体" w:hAnsi="宋体"/>
          <w:snapToGrid w:val="0"/>
          <w:kern w:val="0"/>
        </w:rPr>
        <w:t xml:space="preserve"> 《成交通知书》将作为签订合同的重要依据。</w:t>
      </w:r>
    </w:p>
    <w:p w14:paraId="32C1986E">
      <w:pPr>
        <w:adjustRightInd w:val="0"/>
        <w:spacing w:line="360" w:lineRule="auto"/>
        <w:rPr>
          <w:rFonts w:ascii="宋体" w:hAnsi="宋体"/>
          <w:snapToGrid w:val="0"/>
          <w:kern w:val="0"/>
        </w:rPr>
      </w:pPr>
      <w:r>
        <w:rPr>
          <w:rFonts w:hint="eastAsia" w:ascii="宋体" w:hAnsi="宋体"/>
          <w:snapToGrid w:val="0"/>
          <w:kern w:val="0"/>
        </w:rPr>
        <w:t>30.3  成交供应商向采购代理机构支付代理服务费后，领取《成交通知书》。</w:t>
      </w:r>
    </w:p>
    <w:p w14:paraId="14B08A03">
      <w:pPr>
        <w:adjustRightInd w:val="0"/>
        <w:spacing w:line="360" w:lineRule="auto"/>
        <w:rPr>
          <w:rFonts w:ascii="宋体" w:hAnsi="宋体"/>
          <w:b/>
          <w:snapToGrid w:val="0"/>
          <w:kern w:val="0"/>
        </w:rPr>
      </w:pPr>
      <w:r>
        <w:rPr>
          <w:rFonts w:hint="eastAsia" w:ascii="宋体" w:hAnsi="宋体"/>
          <w:b/>
          <w:snapToGrid w:val="0"/>
          <w:kern w:val="0"/>
        </w:rPr>
        <w:t>31</w:t>
      </w:r>
      <w:r>
        <w:rPr>
          <w:rFonts w:ascii="宋体" w:hAnsi="宋体"/>
          <w:b/>
          <w:snapToGrid w:val="0"/>
          <w:kern w:val="0"/>
        </w:rPr>
        <w:t xml:space="preserve">. </w:t>
      </w:r>
      <w:r>
        <w:rPr>
          <w:rFonts w:hint="eastAsia" w:ascii="宋体" w:hAnsi="宋体"/>
          <w:b/>
          <w:snapToGrid w:val="0"/>
          <w:kern w:val="0"/>
        </w:rPr>
        <w:t>授予合同时变更数量的权力</w:t>
      </w:r>
    </w:p>
    <w:p w14:paraId="429CB591">
      <w:pPr>
        <w:adjustRightInd w:val="0"/>
        <w:spacing w:line="360" w:lineRule="auto"/>
        <w:rPr>
          <w:rFonts w:ascii="宋体" w:hAnsi="宋体"/>
          <w:snapToGrid w:val="0"/>
          <w:kern w:val="0"/>
        </w:rPr>
      </w:pPr>
      <w:r>
        <w:rPr>
          <w:rFonts w:hint="eastAsia" w:ascii="宋体" w:hAnsi="宋体"/>
          <w:snapToGrid w:val="0"/>
          <w:kern w:val="0"/>
        </w:rPr>
        <w:t>31</w:t>
      </w:r>
      <w:r>
        <w:rPr>
          <w:rFonts w:ascii="宋体" w:hAnsi="宋体"/>
          <w:snapToGrid w:val="0"/>
          <w:kern w:val="0"/>
        </w:rPr>
        <w:t xml:space="preserve">.1  </w:t>
      </w:r>
      <w:r>
        <w:rPr>
          <w:rFonts w:hint="eastAsia" w:ascii="宋体" w:hAnsi="宋体"/>
          <w:bCs/>
          <w:snapToGrid w:val="0"/>
          <w:kern w:val="0"/>
        </w:rPr>
        <w:t>采购人</w:t>
      </w:r>
      <w:r>
        <w:rPr>
          <w:rFonts w:hint="eastAsia" w:ascii="宋体" w:hAnsi="宋体"/>
          <w:snapToGrid w:val="0"/>
          <w:kern w:val="0"/>
        </w:rPr>
        <w:t>在签订合同时，有权对采购文件中列明的货物或服务的数量，在法定范围内，依法定程序予以增加或减少。</w:t>
      </w:r>
    </w:p>
    <w:p w14:paraId="133E364B">
      <w:pPr>
        <w:adjustRightInd w:val="0"/>
        <w:spacing w:line="360" w:lineRule="auto"/>
        <w:rPr>
          <w:rFonts w:ascii="宋体" w:hAnsi="宋体"/>
          <w:b/>
          <w:snapToGrid w:val="0"/>
          <w:kern w:val="0"/>
        </w:rPr>
      </w:pPr>
      <w:r>
        <w:rPr>
          <w:rFonts w:hint="eastAsia" w:ascii="宋体" w:hAnsi="宋体"/>
          <w:b/>
          <w:snapToGrid w:val="0"/>
          <w:kern w:val="0"/>
        </w:rPr>
        <w:t>32</w:t>
      </w:r>
      <w:r>
        <w:rPr>
          <w:rFonts w:ascii="宋体" w:hAnsi="宋体"/>
          <w:b/>
          <w:snapToGrid w:val="0"/>
          <w:kern w:val="0"/>
        </w:rPr>
        <w:t xml:space="preserve">. </w:t>
      </w:r>
      <w:r>
        <w:rPr>
          <w:rFonts w:hint="eastAsia" w:ascii="宋体" w:hAnsi="宋体"/>
          <w:b/>
          <w:snapToGrid w:val="0"/>
          <w:kern w:val="0"/>
        </w:rPr>
        <w:t>签订合同</w:t>
      </w:r>
    </w:p>
    <w:p w14:paraId="5A29F3F5">
      <w:pPr>
        <w:adjustRightInd w:val="0"/>
        <w:spacing w:line="360" w:lineRule="auto"/>
        <w:rPr>
          <w:rFonts w:ascii="宋体" w:hAnsi="宋体"/>
          <w:snapToGrid w:val="0"/>
          <w:kern w:val="0"/>
        </w:rPr>
      </w:pPr>
      <w:r>
        <w:rPr>
          <w:rFonts w:hint="eastAsia" w:ascii="宋体" w:hAnsi="宋体"/>
          <w:snapToGrid w:val="0"/>
          <w:kern w:val="0"/>
        </w:rPr>
        <w:t>32</w:t>
      </w:r>
      <w:r>
        <w:rPr>
          <w:rFonts w:ascii="宋体" w:hAnsi="宋体"/>
          <w:snapToGrid w:val="0"/>
          <w:kern w:val="0"/>
        </w:rPr>
        <w:t>.</w:t>
      </w:r>
      <w:r>
        <w:rPr>
          <w:rFonts w:hint="eastAsia" w:ascii="宋体" w:hAnsi="宋体"/>
          <w:snapToGrid w:val="0"/>
          <w:kern w:val="0"/>
        </w:rPr>
        <w:t>1  成交供应商应按《成交通知书》或按</w:t>
      </w:r>
      <w:r>
        <w:rPr>
          <w:rFonts w:hint="eastAsia" w:ascii="宋体" w:hAnsi="宋体"/>
          <w:bCs/>
          <w:snapToGrid w:val="0"/>
          <w:kern w:val="0"/>
        </w:rPr>
        <w:t>采购人</w:t>
      </w:r>
      <w:r>
        <w:rPr>
          <w:rFonts w:hint="eastAsia" w:ascii="宋体" w:hAnsi="宋体"/>
          <w:snapToGrid w:val="0"/>
          <w:kern w:val="0"/>
        </w:rPr>
        <w:t>指定的时间、地点与</w:t>
      </w:r>
      <w:r>
        <w:rPr>
          <w:rFonts w:hint="eastAsia" w:ascii="宋体" w:hAnsi="宋体"/>
          <w:bCs/>
          <w:snapToGrid w:val="0"/>
          <w:kern w:val="0"/>
        </w:rPr>
        <w:t>采购人</w:t>
      </w:r>
      <w:r>
        <w:rPr>
          <w:rFonts w:hint="eastAsia" w:ascii="宋体" w:hAnsi="宋体"/>
          <w:snapToGrid w:val="0"/>
          <w:kern w:val="0"/>
        </w:rPr>
        <w:t>签订合同。</w:t>
      </w:r>
    </w:p>
    <w:p w14:paraId="6E62D4E8">
      <w:pPr>
        <w:adjustRightInd w:val="0"/>
        <w:spacing w:line="360" w:lineRule="auto"/>
        <w:rPr>
          <w:rFonts w:ascii="宋体" w:hAnsi="宋体"/>
          <w:snapToGrid w:val="0"/>
          <w:kern w:val="0"/>
        </w:rPr>
      </w:pPr>
      <w:r>
        <w:rPr>
          <w:rFonts w:hint="eastAsia" w:ascii="宋体" w:hAnsi="宋体"/>
          <w:snapToGrid w:val="0"/>
          <w:kern w:val="0"/>
        </w:rPr>
        <w:t>32</w:t>
      </w:r>
      <w:r>
        <w:rPr>
          <w:rFonts w:ascii="宋体" w:hAnsi="宋体"/>
          <w:snapToGrid w:val="0"/>
          <w:kern w:val="0"/>
        </w:rPr>
        <w:t xml:space="preserve">.2  </w:t>
      </w:r>
      <w:r>
        <w:rPr>
          <w:rFonts w:hint="eastAsia" w:ascii="宋体" w:hAnsi="宋体"/>
          <w:snapToGrid w:val="0"/>
          <w:kern w:val="0"/>
        </w:rPr>
        <w:t>采购文件、成交供应商的响应文件及其澄清文件等，均为签订合同的依据。</w:t>
      </w:r>
    </w:p>
    <w:p w14:paraId="16E2CB50">
      <w:pPr>
        <w:adjustRightInd w:val="0"/>
        <w:spacing w:line="360" w:lineRule="auto"/>
        <w:rPr>
          <w:rFonts w:ascii="宋体" w:hAnsi="宋体"/>
          <w:b/>
          <w:snapToGrid w:val="0"/>
          <w:kern w:val="0"/>
        </w:rPr>
      </w:pPr>
      <w:r>
        <w:rPr>
          <w:rFonts w:hint="eastAsia" w:ascii="宋体" w:hAnsi="宋体"/>
          <w:b/>
          <w:snapToGrid w:val="0"/>
          <w:kern w:val="0"/>
        </w:rPr>
        <w:t>33</w:t>
      </w:r>
      <w:r>
        <w:rPr>
          <w:rFonts w:ascii="宋体" w:hAnsi="宋体"/>
          <w:b/>
          <w:snapToGrid w:val="0"/>
          <w:kern w:val="0"/>
        </w:rPr>
        <w:t>.</w:t>
      </w:r>
      <w:r>
        <w:rPr>
          <w:rFonts w:hint="eastAsia" w:ascii="宋体" w:hAnsi="宋体"/>
          <w:b/>
          <w:snapToGrid w:val="0"/>
          <w:kern w:val="0"/>
        </w:rPr>
        <w:t xml:space="preserve">  履约保证金</w:t>
      </w:r>
    </w:p>
    <w:p w14:paraId="7863977B">
      <w:pPr>
        <w:adjustRightInd w:val="0"/>
        <w:spacing w:line="360" w:lineRule="auto"/>
        <w:rPr>
          <w:rFonts w:ascii="宋体" w:hAnsi="宋体"/>
          <w:snapToGrid w:val="0"/>
          <w:kern w:val="0"/>
        </w:rPr>
      </w:pPr>
      <w:r>
        <w:rPr>
          <w:rFonts w:hint="eastAsia" w:ascii="宋体" w:hAnsi="宋体"/>
          <w:snapToGrid w:val="0"/>
          <w:kern w:val="0"/>
        </w:rPr>
        <w:t>33</w:t>
      </w:r>
      <w:r>
        <w:rPr>
          <w:rFonts w:ascii="宋体" w:hAnsi="宋体"/>
          <w:snapToGrid w:val="0"/>
          <w:kern w:val="0"/>
        </w:rPr>
        <w:t>.1</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成交供应商须按采购文件的规定或根据合同条款的规定向</w:t>
      </w:r>
      <w:r>
        <w:rPr>
          <w:rFonts w:hint="eastAsia" w:ascii="宋体" w:hAnsi="宋体"/>
          <w:bCs/>
          <w:snapToGrid w:val="0"/>
          <w:kern w:val="0"/>
        </w:rPr>
        <w:t>采购人</w:t>
      </w:r>
      <w:r>
        <w:rPr>
          <w:rFonts w:hint="eastAsia" w:ascii="宋体" w:hAnsi="宋体"/>
          <w:snapToGrid w:val="0"/>
          <w:kern w:val="0"/>
        </w:rPr>
        <w:t>提交前附表第15项规定的履约保证金。</w:t>
      </w:r>
    </w:p>
    <w:p w14:paraId="41158048">
      <w:pPr>
        <w:adjustRightInd w:val="0"/>
        <w:spacing w:line="360" w:lineRule="auto"/>
        <w:rPr>
          <w:rFonts w:ascii="宋体" w:hAnsi="宋体"/>
          <w:b/>
          <w:snapToGrid w:val="0"/>
          <w:kern w:val="0"/>
        </w:rPr>
      </w:pPr>
      <w:r>
        <w:rPr>
          <w:rFonts w:hint="eastAsia" w:ascii="宋体" w:hAnsi="宋体"/>
          <w:b/>
          <w:snapToGrid w:val="0"/>
          <w:kern w:val="0"/>
        </w:rPr>
        <w:t>34</w:t>
      </w:r>
      <w:r>
        <w:rPr>
          <w:rFonts w:ascii="宋体" w:hAnsi="宋体"/>
          <w:b/>
          <w:snapToGrid w:val="0"/>
          <w:kern w:val="0"/>
        </w:rPr>
        <w:t xml:space="preserve">. </w:t>
      </w:r>
      <w:r>
        <w:rPr>
          <w:rFonts w:hint="eastAsia" w:ascii="宋体" w:hAnsi="宋体"/>
          <w:b/>
          <w:snapToGrid w:val="0"/>
          <w:kern w:val="0"/>
        </w:rPr>
        <w:t>代理服务费</w:t>
      </w:r>
    </w:p>
    <w:p w14:paraId="2A019B4F">
      <w:pPr>
        <w:adjustRightInd w:val="0"/>
        <w:spacing w:line="360" w:lineRule="auto"/>
        <w:rPr>
          <w:rFonts w:ascii="宋体" w:hAnsi="宋体"/>
          <w:snapToGrid w:val="0"/>
          <w:kern w:val="0"/>
        </w:rPr>
      </w:pPr>
      <w:r>
        <w:rPr>
          <w:rFonts w:hint="eastAsia" w:ascii="宋体" w:hAnsi="宋体"/>
          <w:snapToGrid w:val="0"/>
          <w:kern w:val="0"/>
        </w:rPr>
        <w:t>34</w:t>
      </w:r>
      <w:r>
        <w:rPr>
          <w:rFonts w:ascii="宋体" w:hAnsi="宋体"/>
          <w:snapToGrid w:val="0"/>
          <w:kern w:val="0"/>
        </w:rPr>
        <w:t>.</w:t>
      </w:r>
      <w:r>
        <w:rPr>
          <w:rFonts w:hint="eastAsia" w:ascii="宋体" w:hAnsi="宋体"/>
          <w:snapToGrid w:val="0"/>
          <w:kern w:val="0"/>
        </w:rPr>
        <w:t>1</w:t>
      </w:r>
      <w:r>
        <w:rPr>
          <w:rFonts w:ascii="宋体" w:hAnsi="宋体"/>
          <w:snapToGrid w:val="0"/>
          <w:kern w:val="0"/>
        </w:rPr>
        <w:t xml:space="preserve"> </w:t>
      </w:r>
      <w:r>
        <w:rPr>
          <w:rFonts w:hint="eastAsia" w:ascii="宋体" w:hAnsi="宋体"/>
          <w:snapToGrid w:val="0"/>
          <w:kern w:val="0"/>
        </w:rPr>
        <w:t xml:space="preserve"> 代理服务费按前附表第16项所述。</w:t>
      </w:r>
    </w:p>
    <w:p w14:paraId="479B32F3">
      <w:pPr>
        <w:adjustRightInd w:val="0"/>
        <w:spacing w:line="360" w:lineRule="auto"/>
        <w:rPr>
          <w:rFonts w:ascii="宋体" w:hAnsi="宋体"/>
          <w:snapToGrid w:val="0"/>
          <w:kern w:val="0"/>
        </w:rPr>
      </w:pPr>
      <w:r>
        <w:rPr>
          <w:rFonts w:hint="eastAsia" w:ascii="宋体" w:hAnsi="宋体"/>
          <w:snapToGrid w:val="0"/>
          <w:kern w:val="0"/>
        </w:rPr>
        <w:t>34</w:t>
      </w:r>
      <w:r>
        <w:rPr>
          <w:rFonts w:ascii="宋体" w:hAnsi="宋体"/>
          <w:snapToGrid w:val="0"/>
          <w:kern w:val="0"/>
        </w:rPr>
        <w:t>.2</w:t>
      </w:r>
      <w:r>
        <w:rPr>
          <w:rFonts w:hint="eastAsia" w:ascii="宋体" w:hAnsi="宋体"/>
          <w:snapToGrid w:val="0"/>
          <w:kern w:val="0"/>
        </w:rPr>
        <w:t xml:space="preserve">  代理服务费金额按下列方法计算：</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1"/>
        <w:gridCol w:w="1897"/>
        <w:gridCol w:w="1898"/>
        <w:gridCol w:w="1898"/>
      </w:tblGrid>
      <w:tr w14:paraId="68D7AF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5" w:hRule="atLeast"/>
          <w:jc w:val="center"/>
        </w:trPr>
        <w:tc>
          <w:tcPr>
            <w:tcW w:w="2131" w:type="dxa"/>
          </w:tcPr>
          <w:p w14:paraId="33ADB3A9">
            <w:pPr>
              <w:spacing w:line="360" w:lineRule="auto"/>
              <w:ind w:firstLine="420" w:firstLineChars="200"/>
              <w:rPr>
                <w:rFonts w:ascii="宋体" w:hAnsi="宋体"/>
              </w:rPr>
            </w:pPr>
            <w:r>
              <w:rPr>
                <w:rFonts w:ascii="宋体" w:hAnsi="宋体"/>
              </w:rPr>
              <w:pict>
                <v:rect id="1028" o:spid="_x0000_s2068" o:spt="1" style="position:absolute;left:0pt;margin-left:56.4pt;margin-top:43.5pt;height:9.4pt;width:4.3pt;z-index:251659264;mso-width-relative:page;mso-height-relative:page;" filled="f" stroked="f" coordsize="21600,21600">
                  <v:path/>
                  <v:fill on="f" focussize="0,0"/>
                  <v:stroke on="f"/>
                  <v:imagedata o:title=""/>
                  <o:lock v:ext="edit"/>
                  <v:textbox inset="0mm,0mm,0mm,0mm">
                    <w:txbxContent>
                      <w:p w14:paraId="663B6C43">
                        <w:pPr>
                          <w:snapToGrid w:val="0"/>
                          <w:rPr>
                            <w:sz w:val="15"/>
                          </w:rPr>
                        </w:pPr>
                        <w:r>
                          <w:rPr>
                            <w:rFonts w:hint="eastAsia"/>
                            <w:sz w:val="15"/>
                          </w:rPr>
                          <w:t>元</w:t>
                        </w:r>
                      </w:p>
                    </w:txbxContent>
                  </v:textbox>
                </v:rect>
              </w:pict>
            </w:r>
            <w:r>
              <w:rPr>
                <w:rFonts w:ascii="宋体" w:hAnsi="宋体"/>
              </w:rPr>
              <w:pict>
                <v:rect id="1029" o:spid="_x0000_s2067" o:spt="1" style="position:absolute;left:0pt;margin-left:44.55pt;margin-top:42.35pt;height:9.4pt;width:9.85pt;z-index:251659264;mso-width-relative:page;mso-height-relative:page;" filled="f" stroked="f" coordsize="21600,21600">
                  <v:path/>
                  <v:fill on="f" focussize="0,0"/>
                  <v:stroke on="f"/>
                  <v:imagedata o:title=""/>
                  <o:lock v:ext="edit"/>
                  <v:textbox inset="0mm,0mm,0mm,0mm">
                    <w:txbxContent>
                      <w:p w14:paraId="0F797E25">
                        <w:pPr>
                          <w:snapToGrid w:val="0"/>
                          <w:rPr>
                            <w:sz w:val="15"/>
                          </w:rPr>
                        </w:pPr>
                        <w:r>
                          <w:rPr>
                            <w:rFonts w:hint="eastAsia"/>
                            <w:sz w:val="15"/>
                          </w:rPr>
                          <w:t>万</w:t>
                        </w:r>
                      </w:p>
                    </w:txbxContent>
                  </v:textbox>
                </v:rect>
              </w:pict>
            </w:r>
            <w:r>
              <w:rPr>
                <w:rFonts w:ascii="宋体" w:hAnsi="宋体"/>
              </w:rPr>
              <w:pict>
                <v:rect id="1030" o:spid="_x0000_s2066" o:spt="1" style="position:absolute;left:0pt;margin-left:38.45pt;margin-top:41.2pt;height:9.4pt;width:3.9pt;z-index:251659264;mso-width-relative:page;mso-height-relative:page;" filled="f" stroked="f" coordsize="21600,21600">
                  <v:path/>
                  <v:fill on="f" focussize="0,0"/>
                  <v:stroke on="f"/>
                  <v:imagedata o:title=""/>
                  <o:lock v:ext="edit"/>
                  <v:textbox inset="0mm,0mm,0mm,0mm">
                    <w:txbxContent>
                      <w:p w14:paraId="158B4F99">
                        <w:pPr>
                          <w:snapToGrid w:val="0"/>
                          <w:rPr>
                            <w:sz w:val="15"/>
                          </w:rPr>
                        </w:pPr>
                        <w:r>
                          <w:rPr>
                            <w:sz w:val="15"/>
                          </w:rPr>
                          <w:t>(</w:t>
                        </w:r>
                      </w:p>
                    </w:txbxContent>
                  </v:textbox>
                </v:rect>
              </w:pict>
            </w:r>
            <w:r>
              <w:rPr>
                <w:rFonts w:ascii="宋体" w:hAnsi="宋体"/>
              </w:rPr>
              <w:pict>
                <v:rect id="1031" o:spid="_x0000_s2065" o:spt="1" style="position:absolute;left:0pt;margin-left:26.35pt;margin-top:40.05pt;height:9.4pt;width:9.9pt;z-index:251659264;mso-width-relative:page;mso-height-relative:page;" filled="f" stroked="f" coordsize="21600,21600">
                  <v:path/>
                  <v:fill on="f" focussize="0,0"/>
                  <v:stroke on="f"/>
                  <v:imagedata o:title=""/>
                  <o:lock v:ext="edit"/>
                  <v:textbox inset="0mm,0mm,0mm,0mm">
                    <w:txbxContent>
                      <w:p w14:paraId="359E2035">
                        <w:pPr>
                          <w:snapToGrid w:val="0"/>
                          <w:rPr>
                            <w:sz w:val="15"/>
                          </w:rPr>
                        </w:pPr>
                        <w:r>
                          <w:rPr>
                            <w:rFonts w:hint="eastAsia"/>
                            <w:sz w:val="15"/>
                          </w:rPr>
                          <w:t>额</w:t>
                        </w:r>
                      </w:p>
                    </w:txbxContent>
                  </v:textbox>
                </v:rect>
              </w:pict>
            </w:r>
            <w:r>
              <w:rPr>
                <w:rFonts w:ascii="宋体" w:hAnsi="宋体"/>
              </w:rPr>
              <w:pict>
                <v:rect id="1032" o:spid="_x0000_s2064" o:spt="1" style="position:absolute;left:0pt;margin-left:17.3pt;margin-top:38.9pt;height:9.4pt;width:9.85pt;z-index:251659264;mso-width-relative:page;mso-height-relative:page;" filled="f" stroked="f" coordsize="21600,21600">
                  <v:path/>
                  <v:fill on="f" focussize="0,0"/>
                  <v:stroke on="f"/>
                  <v:imagedata o:title=""/>
                  <o:lock v:ext="edit"/>
                  <v:textbox inset="0mm,0mm,0mm,0mm">
                    <w:txbxContent>
                      <w:p w14:paraId="14B48BBE">
                        <w:pPr>
                          <w:snapToGrid w:val="0"/>
                          <w:rPr>
                            <w:sz w:val="15"/>
                          </w:rPr>
                        </w:pPr>
                        <w:r>
                          <w:rPr>
                            <w:rFonts w:hint="eastAsia"/>
                            <w:sz w:val="15"/>
                          </w:rPr>
                          <w:t>金</w:t>
                        </w:r>
                      </w:p>
                    </w:txbxContent>
                  </v:textbox>
                </v:rect>
              </w:pict>
            </w:r>
            <w:r>
              <w:rPr>
                <w:rFonts w:ascii="宋体" w:hAnsi="宋体"/>
              </w:rPr>
              <w:pict>
                <v:rect id="1033" o:spid="_x0000_s2063" o:spt="1" style="position:absolute;left:0pt;margin-left:8.2pt;margin-top:37.75pt;height:9.4pt;width:9.9pt;z-index:251659264;mso-width-relative:page;mso-height-relative:page;" filled="f" stroked="f" coordsize="21600,21600">
                  <v:path/>
                  <v:fill on="f" focussize="0,0"/>
                  <v:stroke on="f"/>
                  <v:imagedata o:title=""/>
                  <o:lock v:ext="edit"/>
                  <v:textbox inset="0mm,0mm,0mm,0mm">
                    <w:txbxContent>
                      <w:p w14:paraId="6CAF9AC4">
                        <w:pPr>
                          <w:snapToGrid w:val="0"/>
                          <w:rPr>
                            <w:sz w:val="15"/>
                          </w:rPr>
                        </w:pPr>
                        <w:r>
                          <w:rPr>
                            <w:rFonts w:hint="eastAsia"/>
                            <w:sz w:val="15"/>
                          </w:rPr>
                          <w:t>标</w:t>
                        </w:r>
                      </w:p>
                    </w:txbxContent>
                  </v:textbox>
                </v:rect>
              </w:pict>
            </w:r>
            <w:r>
              <w:rPr>
                <w:rFonts w:ascii="宋体" w:hAnsi="宋体"/>
              </w:rPr>
              <w:pict>
                <v:rect id="1034" o:spid="_x0000_s2062" o:spt="1" style="position:absolute;left:0pt;margin-left:-0.85pt;margin-top:36.6pt;height:9.4pt;width:9.85pt;z-index:251659264;mso-width-relative:page;mso-height-relative:page;" filled="f" stroked="f" coordsize="21600,21600">
                  <v:path/>
                  <v:fill on="f" focussize="0,0"/>
                  <v:stroke on="f"/>
                  <v:imagedata o:title=""/>
                  <o:lock v:ext="edit"/>
                  <v:textbox inset="0mm,0mm,0mm,0mm">
                    <w:txbxContent>
                      <w:p w14:paraId="7D586C45">
                        <w:pPr>
                          <w:snapToGrid w:val="0"/>
                          <w:rPr>
                            <w:sz w:val="15"/>
                          </w:rPr>
                        </w:pPr>
                        <w:r>
                          <w:rPr>
                            <w:rFonts w:hint="eastAsia"/>
                            <w:sz w:val="15"/>
                          </w:rPr>
                          <w:t>中</w:t>
                        </w:r>
                      </w:p>
                    </w:txbxContent>
                  </v:textbox>
                </v:rect>
              </w:pict>
            </w:r>
            <w:r>
              <w:rPr>
                <w:rFonts w:ascii="宋体" w:hAnsi="宋体"/>
              </w:rPr>
              <w:pict>
                <v:rect id="1035" o:spid="_x0000_s2061" o:spt="1" style="position:absolute;left:0pt;margin-left:63.4pt;margin-top:32.05pt;height:9.35pt;width:9.85pt;z-index:251659264;mso-width-relative:page;mso-height-relative:page;" filled="f" stroked="f" coordsize="21600,21600">
                  <v:path/>
                  <v:fill on="f" focussize="0,0"/>
                  <v:stroke on="f"/>
                  <v:imagedata o:title=""/>
                  <o:lock v:ext="edit"/>
                  <v:textbox inset="0mm,0mm,0mm,0mm">
                    <w:txbxContent>
                      <w:p w14:paraId="577CCA59">
                        <w:pPr>
                          <w:snapToGrid w:val="0"/>
                          <w:rPr>
                            <w:sz w:val="15"/>
                          </w:rPr>
                        </w:pPr>
                        <w:r>
                          <w:rPr>
                            <w:rFonts w:hint="eastAsia"/>
                            <w:sz w:val="15"/>
                          </w:rPr>
                          <w:t>率</w:t>
                        </w:r>
                      </w:p>
                    </w:txbxContent>
                  </v:textbox>
                </v:rect>
              </w:pict>
            </w:r>
            <w:r>
              <w:rPr>
                <w:rFonts w:ascii="宋体" w:hAnsi="宋体"/>
              </w:rPr>
              <w:pict>
                <v:rect id="1036" o:spid="_x0000_s2060" o:spt="1" style="position:absolute;left:0pt;margin-left:19.95pt;margin-top:10.05pt;height:9.4pt;width:9.9pt;z-index:251659264;mso-width-relative:page;mso-height-relative:page;" filled="f" stroked="f" coordsize="21600,21600">
                  <v:path/>
                  <v:fill on="f" focussize="0,0"/>
                  <v:stroke on="f"/>
                  <v:imagedata o:title=""/>
                  <o:lock v:ext="edit"/>
                  <v:textbox inset="0mm,0mm,0mm,0mm">
                    <w:txbxContent>
                      <w:p w14:paraId="2D7892A1">
                        <w:pPr>
                          <w:snapToGrid w:val="0"/>
                          <w:rPr>
                            <w:sz w:val="15"/>
                          </w:rPr>
                        </w:pPr>
                        <w:r>
                          <w:rPr>
                            <w:rFonts w:hint="eastAsia"/>
                            <w:sz w:val="15"/>
                          </w:rPr>
                          <w:t>费</w:t>
                        </w:r>
                      </w:p>
                    </w:txbxContent>
                  </v:textbox>
                </v:rect>
              </w:pict>
            </w:r>
            <w:r>
              <w:rPr>
                <w:rFonts w:ascii="宋体" w:hAnsi="宋体"/>
              </w:rPr>
              <w:pict>
                <v:rect id="1037" o:spid="_x0000_s2059" o:spt="1" style="position:absolute;left:0pt;margin-left:88.65pt;margin-top:32.35pt;height:9.35pt;width:9.85pt;z-index:251659264;mso-width-relative:page;mso-height-relative:page;" filled="f" stroked="f" coordsize="21600,21600">
                  <v:path/>
                  <v:fill on="f" focussize="0,0"/>
                  <v:stroke on="f"/>
                  <v:imagedata o:title=""/>
                  <o:lock v:ext="edit"/>
                  <v:textbox inset="0mm,0mm,0mm,0mm">
                    <w:txbxContent>
                      <w:p w14:paraId="262C914E">
                        <w:pPr>
                          <w:snapToGrid w:val="0"/>
                          <w:rPr>
                            <w:sz w:val="15"/>
                          </w:rPr>
                        </w:pPr>
                        <w:r>
                          <w:rPr>
                            <w:rFonts w:hint="eastAsia"/>
                            <w:sz w:val="15"/>
                          </w:rPr>
                          <w:t>型</w:t>
                        </w:r>
                      </w:p>
                    </w:txbxContent>
                  </v:textbox>
                </v:rect>
              </w:pict>
            </w:r>
            <w:r>
              <w:rPr>
                <w:rFonts w:ascii="宋体" w:hAnsi="宋体"/>
              </w:rPr>
              <w:pict>
                <v:rect id="1038" o:spid="_x0000_s2058" o:spt="1" style="position:absolute;left:0pt;margin-left:83.95pt;margin-top:22.8pt;height:9.4pt;width:9.85pt;z-index:251659264;mso-width-relative:page;mso-height-relative:page;" filled="f" stroked="f" coordsize="21600,21600">
                  <v:path/>
                  <v:fill on="f" focussize="0,0"/>
                  <v:stroke on="f"/>
                  <v:imagedata o:title=""/>
                  <o:lock v:ext="edit"/>
                  <v:textbox inset="0mm,0mm,0mm,0mm">
                    <w:txbxContent>
                      <w:p w14:paraId="7A8BCB17">
                        <w:pPr>
                          <w:snapToGrid w:val="0"/>
                          <w:rPr>
                            <w:sz w:val="15"/>
                          </w:rPr>
                        </w:pPr>
                        <w:r>
                          <w:rPr>
                            <w:rFonts w:hint="eastAsia"/>
                            <w:sz w:val="15"/>
                          </w:rPr>
                          <w:t>类</w:t>
                        </w:r>
                      </w:p>
                    </w:txbxContent>
                  </v:textbox>
                </v:rect>
              </w:pict>
            </w:r>
            <w:r>
              <w:rPr>
                <w:rFonts w:ascii="宋体" w:hAnsi="宋体"/>
              </w:rPr>
              <w:pict>
                <v:rect id="1039" o:spid="_x0000_s2057" o:spt="1" style="position:absolute;left:0pt;margin-left:79.25pt;margin-top:13.3pt;height:9.4pt;width:9.85pt;z-index:251659264;mso-width-relative:page;mso-height-relative:page;" filled="f" stroked="f" coordsize="21600,21600">
                  <v:path/>
                  <v:fill on="f" focussize="0,0"/>
                  <v:stroke on="f"/>
                  <v:imagedata o:title=""/>
                  <o:lock v:ext="edit"/>
                  <v:textbox inset="0mm,0mm,0mm,0mm">
                    <w:txbxContent>
                      <w:p w14:paraId="3ED5E2D1">
                        <w:pPr>
                          <w:snapToGrid w:val="0"/>
                          <w:rPr>
                            <w:sz w:val="15"/>
                          </w:rPr>
                        </w:pPr>
                        <w:r>
                          <w:rPr>
                            <w:rFonts w:hint="eastAsia"/>
                            <w:sz w:val="15"/>
                          </w:rPr>
                          <w:t>务</w:t>
                        </w:r>
                      </w:p>
                    </w:txbxContent>
                  </v:textbox>
                </v:rect>
              </w:pict>
            </w:r>
            <w:r>
              <w:rPr>
                <w:rFonts w:ascii="宋体" w:hAnsi="宋体"/>
              </w:rPr>
              <w:pict>
                <v:rect id="1040" o:spid="_x0000_s2056" o:spt="1" style="position:absolute;left:0pt;margin-left:74.55pt;margin-top:3.8pt;height:9.4pt;width:9.85pt;z-index:251659264;mso-width-relative:page;mso-height-relative:page;" filled="f" stroked="f" coordsize="21600,21600">
                  <v:path/>
                  <v:fill on="f" focussize="0,0"/>
                  <v:stroke on="f"/>
                  <v:imagedata o:title=""/>
                  <o:lock v:ext="edit"/>
                  <v:textbox inset="0mm,0mm,0mm,0mm">
                    <w:txbxContent>
                      <w:p w14:paraId="0D39EB0B">
                        <w:pPr>
                          <w:snapToGrid w:val="0"/>
                          <w:rPr>
                            <w:sz w:val="15"/>
                          </w:rPr>
                        </w:pPr>
                        <w:r>
                          <w:rPr>
                            <w:rFonts w:hint="eastAsia"/>
                            <w:sz w:val="15"/>
                          </w:rPr>
                          <w:t>服</w:t>
                        </w:r>
                      </w:p>
                    </w:txbxContent>
                  </v:textbox>
                </v:rect>
              </w:pict>
            </w:r>
            <w:r>
              <w:rPr>
                <w:rFonts w:ascii="宋体" w:hAnsi="宋体"/>
              </w:rPr>
              <w:pict>
                <v:line id="1041" o:spid="_x0000_s2055" o:spt="20" style="position:absolute;left:0pt;margin-left:-5.15pt;margin-top:26.85pt;height:26.8pt;width:106pt;z-index:251659264;mso-width-relative:page;mso-height-relative:page;" coordsize="21600,21600">
                  <v:path arrowok="t"/>
                  <v:fill focussize="0,0"/>
                  <v:stroke weight="0.5pt"/>
                  <v:imagedata o:title=""/>
                  <o:lock v:ext="edit"/>
                </v:line>
              </w:pict>
            </w:r>
            <w:r>
              <w:rPr>
                <w:rFonts w:ascii="宋体" w:hAnsi="宋体"/>
              </w:rPr>
              <w:pict>
                <v:line id="1042" o:spid="_x0000_s2054" o:spt="20" style="position:absolute;left:0pt;margin-left:47.85pt;margin-top:0pt;height:53.65pt;width:53pt;z-index:251659264;mso-width-relative:page;mso-height-relative:page;" coordsize="21600,21600">
                  <v:path arrowok="t"/>
                  <v:fill focussize="0,0"/>
                  <v:stroke weight="0.5pt"/>
                  <v:imagedata o:title=""/>
                  <o:lock v:ext="edit"/>
                </v:line>
              </w:pict>
            </w:r>
          </w:p>
        </w:tc>
        <w:tc>
          <w:tcPr>
            <w:tcW w:w="1897" w:type="dxa"/>
            <w:tcBorders>
              <w:right w:val="single" w:color="auto" w:sz="4" w:space="0"/>
            </w:tcBorders>
            <w:vAlign w:val="center"/>
          </w:tcPr>
          <w:p w14:paraId="08AAE22A">
            <w:pPr>
              <w:widowControl/>
              <w:jc w:val="center"/>
              <w:rPr>
                <w:rFonts w:ascii="宋体" w:hAnsi="宋体" w:cs="宋体"/>
                <w:b/>
                <w:bCs/>
                <w:kern w:val="0"/>
                <w:szCs w:val="21"/>
              </w:rPr>
            </w:pPr>
            <w:r>
              <w:rPr>
                <w:rFonts w:hint="eastAsia" w:ascii="宋体" w:hAnsi="宋体" w:cs="宋体"/>
                <w:b/>
                <w:bCs/>
                <w:kern w:val="0"/>
                <w:szCs w:val="21"/>
              </w:rPr>
              <w:t>工程</w:t>
            </w:r>
          </w:p>
        </w:tc>
        <w:tc>
          <w:tcPr>
            <w:tcW w:w="1898" w:type="dxa"/>
            <w:tcBorders>
              <w:left w:val="single" w:color="auto" w:sz="4" w:space="0"/>
              <w:right w:val="single" w:color="auto" w:sz="4" w:space="0"/>
            </w:tcBorders>
            <w:vAlign w:val="center"/>
          </w:tcPr>
          <w:p w14:paraId="4D5404D6">
            <w:pPr>
              <w:widowControl/>
              <w:jc w:val="center"/>
              <w:rPr>
                <w:rFonts w:ascii="宋体" w:hAnsi="宋体" w:cs="宋体"/>
                <w:b/>
                <w:bCs/>
                <w:kern w:val="0"/>
                <w:szCs w:val="21"/>
              </w:rPr>
            </w:pPr>
            <w:r>
              <w:rPr>
                <w:rFonts w:hint="eastAsia" w:ascii="宋体" w:hAnsi="宋体" w:cs="宋体"/>
                <w:b/>
                <w:bCs/>
                <w:kern w:val="0"/>
                <w:szCs w:val="21"/>
              </w:rPr>
              <w:t>货物</w:t>
            </w:r>
          </w:p>
        </w:tc>
        <w:tc>
          <w:tcPr>
            <w:tcW w:w="1898" w:type="dxa"/>
            <w:tcBorders>
              <w:left w:val="single" w:color="auto" w:sz="4" w:space="0"/>
            </w:tcBorders>
            <w:vAlign w:val="center"/>
          </w:tcPr>
          <w:p w14:paraId="52906128">
            <w:pPr>
              <w:widowControl/>
              <w:jc w:val="center"/>
              <w:rPr>
                <w:rFonts w:ascii="宋体" w:hAnsi="宋体" w:cs="宋体"/>
                <w:b/>
                <w:bCs/>
                <w:kern w:val="0"/>
                <w:szCs w:val="21"/>
              </w:rPr>
            </w:pPr>
            <w:r>
              <w:rPr>
                <w:rFonts w:hint="eastAsia" w:ascii="宋体" w:hAnsi="宋体" w:cs="宋体"/>
                <w:b/>
                <w:bCs/>
                <w:kern w:val="0"/>
                <w:szCs w:val="21"/>
              </w:rPr>
              <w:t>服务</w:t>
            </w:r>
          </w:p>
        </w:tc>
      </w:tr>
      <w:tr w14:paraId="1FC22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736A930">
            <w:pPr>
              <w:spacing w:line="360" w:lineRule="auto"/>
              <w:rPr>
                <w:rFonts w:ascii="宋体" w:hAnsi="宋体"/>
              </w:rPr>
            </w:pPr>
            <w:r>
              <w:rPr>
                <w:rFonts w:hint="eastAsia" w:ascii="宋体" w:hAnsi="宋体"/>
              </w:rPr>
              <w:t>100</w:t>
            </w:r>
          </w:p>
        </w:tc>
        <w:tc>
          <w:tcPr>
            <w:tcW w:w="1897" w:type="dxa"/>
            <w:tcBorders>
              <w:right w:val="single" w:color="auto" w:sz="4" w:space="0"/>
            </w:tcBorders>
          </w:tcPr>
          <w:p w14:paraId="45C68CC7">
            <w:pPr>
              <w:spacing w:line="360" w:lineRule="auto"/>
              <w:jc w:val="center"/>
              <w:rPr>
                <w:rFonts w:ascii="宋体" w:hAnsi="宋体"/>
              </w:rPr>
            </w:pPr>
            <w:r>
              <w:rPr>
                <w:rFonts w:ascii="宋体" w:hAnsi="宋体"/>
              </w:rPr>
              <w:t>1.00%</w:t>
            </w:r>
          </w:p>
        </w:tc>
        <w:tc>
          <w:tcPr>
            <w:tcW w:w="1898" w:type="dxa"/>
            <w:tcBorders>
              <w:left w:val="single" w:color="auto" w:sz="4" w:space="0"/>
              <w:right w:val="single" w:color="auto" w:sz="4" w:space="0"/>
            </w:tcBorders>
          </w:tcPr>
          <w:p w14:paraId="4C0FD185">
            <w:pPr>
              <w:spacing w:line="360" w:lineRule="auto"/>
              <w:jc w:val="center"/>
              <w:rPr>
                <w:rFonts w:ascii="宋体" w:hAnsi="宋体"/>
              </w:rPr>
            </w:pPr>
            <w:r>
              <w:rPr>
                <w:rFonts w:ascii="宋体" w:hAnsi="宋体"/>
              </w:rPr>
              <w:t>1.50%</w:t>
            </w:r>
          </w:p>
        </w:tc>
        <w:tc>
          <w:tcPr>
            <w:tcW w:w="1898" w:type="dxa"/>
            <w:tcBorders>
              <w:left w:val="single" w:color="auto" w:sz="4" w:space="0"/>
            </w:tcBorders>
          </w:tcPr>
          <w:p w14:paraId="1103E34F">
            <w:pPr>
              <w:spacing w:line="360" w:lineRule="auto"/>
              <w:jc w:val="center"/>
              <w:rPr>
                <w:rFonts w:ascii="宋体" w:hAnsi="宋体"/>
              </w:rPr>
            </w:pPr>
            <w:r>
              <w:rPr>
                <w:rFonts w:ascii="宋体" w:hAnsi="宋体"/>
              </w:rPr>
              <w:t>1.50%</w:t>
            </w:r>
          </w:p>
        </w:tc>
      </w:tr>
      <w:tr w14:paraId="1882E6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62B4E26">
            <w:pPr>
              <w:spacing w:line="360" w:lineRule="auto"/>
              <w:rPr>
                <w:rFonts w:ascii="宋体" w:hAnsi="宋体"/>
              </w:rPr>
            </w:pPr>
            <w:r>
              <w:rPr>
                <w:rFonts w:hint="eastAsia" w:ascii="宋体" w:hAnsi="宋体"/>
              </w:rPr>
              <w:t>100-500</w:t>
            </w:r>
          </w:p>
        </w:tc>
        <w:tc>
          <w:tcPr>
            <w:tcW w:w="1897" w:type="dxa"/>
            <w:tcBorders>
              <w:right w:val="single" w:color="auto" w:sz="4" w:space="0"/>
            </w:tcBorders>
          </w:tcPr>
          <w:p w14:paraId="71699295">
            <w:pPr>
              <w:spacing w:line="360" w:lineRule="auto"/>
              <w:jc w:val="center"/>
              <w:rPr>
                <w:rFonts w:ascii="宋体" w:hAnsi="宋体"/>
              </w:rPr>
            </w:pPr>
            <w:r>
              <w:rPr>
                <w:rFonts w:ascii="宋体" w:hAnsi="宋体"/>
              </w:rPr>
              <w:t>0.70%</w:t>
            </w:r>
          </w:p>
        </w:tc>
        <w:tc>
          <w:tcPr>
            <w:tcW w:w="1898" w:type="dxa"/>
            <w:tcBorders>
              <w:left w:val="single" w:color="auto" w:sz="4" w:space="0"/>
              <w:right w:val="single" w:color="auto" w:sz="4" w:space="0"/>
            </w:tcBorders>
          </w:tcPr>
          <w:p w14:paraId="601D5845">
            <w:pPr>
              <w:spacing w:line="360" w:lineRule="auto"/>
              <w:jc w:val="center"/>
              <w:rPr>
                <w:rFonts w:ascii="宋体" w:hAnsi="宋体"/>
              </w:rPr>
            </w:pPr>
            <w:r>
              <w:rPr>
                <w:rFonts w:ascii="宋体" w:hAnsi="宋体"/>
              </w:rPr>
              <w:t>1.10%</w:t>
            </w:r>
          </w:p>
        </w:tc>
        <w:tc>
          <w:tcPr>
            <w:tcW w:w="1898" w:type="dxa"/>
            <w:tcBorders>
              <w:left w:val="single" w:color="auto" w:sz="4" w:space="0"/>
            </w:tcBorders>
          </w:tcPr>
          <w:p w14:paraId="56A29A24">
            <w:pPr>
              <w:spacing w:line="360" w:lineRule="auto"/>
              <w:jc w:val="center"/>
              <w:rPr>
                <w:rFonts w:ascii="宋体" w:hAnsi="宋体"/>
              </w:rPr>
            </w:pPr>
            <w:r>
              <w:rPr>
                <w:rFonts w:ascii="宋体" w:hAnsi="宋体"/>
              </w:rPr>
              <w:t>0.80%</w:t>
            </w:r>
          </w:p>
        </w:tc>
      </w:tr>
      <w:tr w14:paraId="43C05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3111EB1">
            <w:pPr>
              <w:spacing w:line="360" w:lineRule="auto"/>
              <w:rPr>
                <w:rFonts w:ascii="宋体" w:hAnsi="宋体"/>
              </w:rPr>
            </w:pPr>
            <w:r>
              <w:rPr>
                <w:rFonts w:hint="eastAsia" w:ascii="宋体" w:hAnsi="宋体"/>
              </w:rPr>
              <w:t>500-1000</w:t>
            </w:r>
          </w:p>
        </w:tc>
        <w:tc>
          <w:tcPr>
            <w:tcW w:w="1897" w:type="dxa"/>
            <w:tcBorders>
              <w:right w:val="single" w:color="auto" w:sz="4" w:space="0"/>
            </w:tcBorders>
          </w:tcPr>
          <w:p w14:paraId="560AD865">
            <w:pPr>
              <w:spacing w:line="360" w:lineRule="auto"/>
              <w:jc w:val="center"/>
              <w:rPr>
                <w:rFonts w:ascii="宋体" w:hAnsi="宋体"/>
              </w:rPr>
            </w:pPr>
            <w:r>
              <w:rPr>
                <w:rFonts w:ascii="宋体" w:hAnsi="宋体"/>
              </w:rPr>
              <w:t>0.55%</w:t>
            </w:r>
          </w:p>
        </w:tc>
        <w:tc>
          <w:tcPr>
            <w:tcW w:w="1898" w:type="dxa"/>
            <w:tcBorders>
              <w:left w:val="single" w:color="auto" w:sz="4" w:space="0"/>
              <w:right w:val="single" w:color="auto" w:sz="4" w:space="0"/>
            </w:tcBorders>
          </w:tcPr>
          <w:p w14:paraId="15690D70">
            <w:pPr>
              <w:spacing w:line="360" w:lineRule="auto"/>
              <w:jc w:val="center"/>
              <w:rPr>
                <w:rFonts w:ascii="宋体" w:hAnsi="宋体"/>
              </w:rPr>
            </w:pPr>
            <w:r>
              <w:rPr>
                <w:rFonts w:ascii="宋体" w:hAnsi="宋体"/>
              </w:rPr>
              <w:t>0.80%</w:t>
            </w:r>
          </w:p>
        </w:tc>
        <w:tc>
          <w:tcPr>
            <w:tcW w:w="1898" w:type="dxa"/>
            <w:tcBorders>
              <w:left w:val="single" w:color="auto" w:sz="4" w:space="0"/>
            </w:tcBorders>
          </w:tcPr>
          <w:p w14:paraId="49F25738">
            <w:pPr>
              <w:spacing w:line="360" w:lineRule="auto"/>
              <w:jc w:val="center"/>
              <w:rPr>
                <w:rFonts w:ascii="宋体" w:hAnsi="宋体"/>
              </w:rPr>
            </w:pPr>
            <w:r>
              <w:rPr>
                <w:rFonts w:ascii="宋体" w:hAnsi="宋体"/>
              </w:rPr>
              <w:t>0.45%</w:t>
            </w:r>
          </w:p>
        </w:tc>
      </w:tr>
      <w:tr w14:paraId="3219BC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7410BF8B">
            <w:pPr>
              <w:spacing w:line="360" w:lineRule="auto"/>
              <w:rPr>
                <w:rFonts w:ascii="宋体" w:hAnsi="宋体"/>
              </w:rPr>
            </w:pPr>
            <w:r>
              <w:rPr>
                <w:rFonts w:hint="eastAsia" w:ascii="宋体" w:hAnsi="宋体"/>
              </w:rPr>
              <w:t>1000-5000</w:t>
            </w:r>
          </w:p>
        </w:tc>
        <w:tc>
          <w:tcPr>
            <w:tcW w:w="1897" w:type="dxa"/>
            <w:tcBorders>
              <w:right w:val="single" w:color="auto" w:sz="4" w:space="0"/>
            </w:tcBorders>
          </w:tcPr>
          <w:p w14:paraId="6706EB18">
            <w:pPr>
              <w:spacing w:line="360" w:lineRule="auto"/>
              <w:jc w:val="center"/>
              <w:rPr>
                <w:rFonts w:ascii="宋体" w:hAnsi="宋体"/>
              </w:rPr>
            </w:pPr>
            <w:r>
              <w:rPr>
                <w:rFonts w:ascii="宋体" w:hAnsi="宋体"/>
              </w:rPr>
              <w:t>0.35%</w:t>
            </w:r>
          </w:p>
        </w:tc>
        <w:tc>
          <w:tcPr>
            <w:tcW w:w="1898" w:type="dxa"/>
            <w:tcBorders>
              <w:left w:val="single" w:color="auto" w:sz="4" w:space="0"/>
              <w:right w:val="single" w:color="auto" w:sz="4" w:space="0"/>
            </w:tcBorders>
          </w:tcPr>
          <w:p w14:paraId="3BD2F02F">
            <w:pPr>
              <w:spacing w:line="360" w:lineRule="auto"/>
              <w:jc w:val="center"/>
              <w:rPr>
                <w:rFonts w:ascii="宋体" w:hAnsi="宋体"/>
              </w:rPr>
            </w:pPr>
            <w:r>
              <w:rPr>
                <w:rFonts w:ascii="宋体" w:hAnsi="宋体"/>
              </w:rPr>
              <w:t>0.50%</w:t>
            </w:r>
          </w:p>
        </w:tc>
        <w:tc>
          <w:tcPr>
            <w:tcW w:w="1898" w:type="dxa"/>
            <w:tcBorders>
              <w:left w:val="single" w:color="auto" w:sz="4" w:space="0"/>
            </w:tcBorders>
          </w:tcPr>
          <w:p w14:paraId="509AAFAF">
            <w:pPr>
              <w:spacing w:line="360" w:lineRule="auto"/>
              <w:jc w:val="center"/>
              <w:rPr>
                <w:rFonts w:ascii="宋体" w:hAnsi="宋体"/>
              </w:rPr>
            </w:pPr>
            <w:r>
              <w:rPr>
                <w:rFonts w:ascii="宋体" w:hAnsi="宋体"/>
              </w:rPr>
              <w:t>0.25%</w:t>
            </w:r>
          </w:p>
        </w:tc>
      </w:tr>
      <w:tr w14:paraId="3BC78F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518EAC28">
            <w:pPr>
              <w:spacing w:line="360" w:lineRule="auto"/>
              <w:rPr>
                <w:rFonts w:ascii="宋体" w:hAnsi="宋体"/>
              </w:rPr>
            </w:pPr>
            <w:r>
              <w:rPr>
                <w:rFonts w:hint="eastAsia" w:ascii="宋体" w:hAnsi="宋体"/>
              </w:rPr>
              <w:t>5000-10000</w:t>
            </w:r>
          </w:p>
        </w:tc>
        <w:tc>
          <w:tcPr>
            <w:tcW w:w="1897" w:type="dxa"/>
            <w:tcBorders>
              <w:right w:val="single" w:color="auto" w:sz="4" w:space="0"/>
            </w:tcBorders>
          </w:tcPr>
          <w:p w14:paraId="46DD767D">
            <w:pPr>
              <w:spacing w:line="360" w:lineRule="auto"/>
              <w:jc w:val="center"/>
              <w:rPr>
                <w:rFonts w:ascii="宋体" w:hAnsi="宋体"/>
              </w:rPr>
            </w:pPr>
            <w:r>
              <w:rPr>
                <w:rFonts w:ascii="宋体" w:hAnsi="宋体"/>
              </w:rPr>
              <w:t>0.20%</w:t>
            </w:r>
          </w:p>
        </w:tc>
        <w:tc>
          <w:tcPr>
            <w:tcW w:w="1898" w:type="dxa"/>
            <w:tcBorders>
              <w:left w:val="single" w:color="auto" w:sz="4" w:space="0"/>
              <w:right w:val="single" w:color="auto" w:sz="4" w:space="0"/>
            </w:tcBorders>
          </w:tcPr>
          <w:p w14:paraId="765267D2">
            <w:pPr>
              <w:spacing w:line="360" w:lineRule="auto"/>
              <w:jc w:val="center"/>
              <w:rPr>
                <w:rFonts w:ascii="宋体" w:hAnsi="宋体"/>
              </w:rPr>
            </w:pPr>
            <w:r>
              <w:rPr>
                <w:rFonts w:ascii="宋体" w:hAnsi="宋体"/>
              </w:rPr>
              <w:t>0.25%</w:t>
            </w:r>
          </w:p>
        </w:tc>
        <w:tc>
          <w:tcPr>
            <w:tcW w:w="1898" w:type="dxa"/>
            <w:tcBorders>
              <w:left w:val="single" w:color="auto" w:sz="4" w:space="0"/>
            </w:tcBorders>
          </w:tcPr>
          <w:p w14:paraId="1C27A556">
            <w:pPr>
              <w:spacing w:line="360" w:lineRule="auto"/>
              <w:jc w:val="center"/>
              <w:rPr>
                <w:rFonts w:ascii="宋体" w:hAnsi="宋体"/>
              </w:rPr>
            </w:pPr>
            <w:r>
              <w:rPr>
                <w:rFonts w:ascii="宋体" w:hAnsi="宋体"/>
              </w:rPr>
              <w:t>0.10%</w:t>
            </w:r>
          </w:p>
        </w:tc>
      </w:tr>
      <w:tr w14:paraId="16EB8D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9E459E1">
            <w:pPr>
              <w:spacing w:line="360" w:lineRule="auto"/>
              <w:rPr>
                <w:rFonts w:ascii="宋体" w:hAnsi="宋体"/>
              </w:rPr>
            </w:pPr>
            <w:r>
              <w:rPr>
                <w:rFonts w:hint="eastAsia" w:ascii="宋体" w:hAnsi="宋体"/>
              </w:rPr>
              <w:t>10000-100000</w:t>
            </w:r>
          </w:p>
        </w:tc>
        <w:tc>
          <w:tcPr>
            <w:tcW w:w="1897" w:type="dxa"/>
            <w:tcBorders>
              <w:right w:val="single" w:color="auto" w:sz="4" w:space="0"/>
            </w:tcBorders>
          </w:tcPr>
          <w:p w14:paraId="5131A097">
            <w:pPr>
              <w:spacing w:line="360" w:lineRule="auto"/>
              <w:jc w:val="center"/>
              <w:rPr>
                <w:rFonts w:ascii="宋体" w:hAnsi="宋体"/>
              </w:rPr>
            </w:pPr>
            <w:r>
              <w:rPr>
                <w:rFonts w:ascii="宋体" w:hAnsi="宋体"/>
              </w:rPr>
              <w:t>0.05%</w:t>
            </w:r>
          </w:p>
        </w:tc>
        <w:tc>
          <w:tcPr>
            <w:tcW w:w="1898" w:type="dxa"/>
            <w:tcBorders>
              <w:left w:val="single" w:color="auto" w:sz="4" w:space="0"/>
              <w:right w:val="single" w:color="auto" w:sz="4" w:space="0"/>
            </w:tcBorders>
          </w:tcPr>
          <w:p w14:paraId="4C1C11C0">
            <w:pPr>
              <w:spacing w:line="360" w:lineRule="auto"/>
              <w:jc w:val="center"/>
              <w:rPr>
                <w:rFonts w:ascii="宋体" w:hAnsi="宋体"/>
              </w:rPr>
            </w:pPr>
            <w:r>
              <w:rPr>
                <w:rFonts w:ascii="宋体" w:hAnsi="宋体"/>
              </w:rPr>
              <w:t>0.05%</w:t>
            </w:r>
          </w:p>
        </w:tc>
        <w:tc>
          <w:tcPr>
            <w:tcW w:w="1898" w:type="dxa"/>
            <w:tcBorders>
              <w:left w:val="single" w:color="auto" w:sz="4" w:space="0"/>
            </w:tcBorders>
          </w:tcPr>
          <w:p w14:paraId="398393B5">
            <w:pPr>
              <w:spacing w:line="360" w:lineRule="auto"/>
              <w:jc w:val="center"/>
              <w:rPr>
                <w:rFonts w:ascii="宋体" w:hAnsi="宋体"/>
              </w:rPr>
            </w:pPr>
            <w:r>
              <w:rPr>
                <w:rFonts w:ascii="宋体" w:hAnsi="宋体"/>
              </w:rPr>
              <w:t>0.05%</w:t>
            </w:r>
          </w:p>
        </w:tc>
      </w:tr>
      <w:tr w14:paraId="3065F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F41A4BE">
            <w:pPr>
              <w:spacing w:line="360" w:lineRule="auto"/>
              <w:rPr>
                <w:rFonts w:ascii="宋体" w:hAnsi="宋体"/>
              </w:rPr>
            </w:pPr>
            <w:r>
              <w:rPr>
                <w:rFonts w:hint="eastAsia" w:ascii="宋体" w:hAnsi="宋体"/>
              </w:rPr>
              <w:t>100000以上</w:t>
            </w:r>
          </w:p>
        </w:tc>
        <w:tc>
          <w:tcPr>
            <w:tcW w:w="1897" w:type="dxa"/>
            <w:tcBorders>
              <w:right w:val="single" w:color="auto" w:sz="4" w:space="0"/>
            </w:tcBorders>
          </w:tcPr>
          <w:p w14:paraId="16C3A04C">
            <w:pPr>
              <w:spacing w:line="360" w:lineRule="auto"/>
              <w:jc w:val="center"/>
              <w:rPr>
                <w:rFonts w:ascii="宋体" w:hAnsi="宋体"/>
              </w:rPr>
            </w:pPr>
            <w:r>
              <w:rPr>
                <w:rFonts w:ascii="宋体" w:hAnsi="宋体"/>
              </w:rPr>
              <w:t>0.01%</w:t>
            </w:r>
          </w:p>
        </w:tc>
        <w:tc>
          <w:tcPr>
            <w:tcW w:w="1898" w:type="dxa"/>
            <w:tcBorders>
              <w:left w:val="single" w:color="auto" w:sz="4" w:space="0"/>
              <w:right w:val="single" w:color="auto" w:sz="4" w:space="0"/>
            </w:tcBorders>
          </w:tcPr>
          <w:p w14:paraId="58E56C1C">
            <w:pPr>
              <w:spacing w:line="360" w:lineRule="auto"/>
              <w:jc w:val="center"/>
              <w:rPr>
                <w:rFonts w:ascii="宋体" w:hAnsi="宋体"/>
              </w:rPr>
            </w:pPr>
            <w:r>
              <w:rPr>
                <w:rFonts w:ascii="宋体" w:hAnsi="宋体"/>
              </w:rPr>
              <w:t>0.01%</w:t>
            </w:r>
          </w:p>
        </w:tc>
        <w:tc>
          <w:tcPr>
            <w:tcW w:w="1898" w:type="dxa"/>
            <w:tcBorders>
              <w:left w:val="single" w:color="auto" w:sz="4" w:space="0"/>
            </w:tcBorders>
          </w:tcPr>
          <w:p w14:paraId="5D6E5602">
            <w:pPr>
              <w:spacing w:line="360" w:lineRule="auto"/>
              <w:jc w:val="center"/>
              <w:rPr>
                <w:rFonts w:ascii="宋体" w:hAnsi="宋体"/>
              </w:rPr>
            </w:pPr>
            <w:r>
              <w:rPr>
                <w:rFonts w:ascii="宋体" w:hAnsi="宋体"/>
              </w:rPr>
              <w:t>0.01%</w:t>
            </w:r>
          </w:p>
        </w:tc>
      </w:tr>
    </w:tbl>
    <w:p w14:paraId="33406CD4">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按差额定率累进法计算。例如：某服务类项目中标金额为1000万元，计算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1053D11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6CD98C9D">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（500-100）万元×0.8%=3.2万元</w:t>
      </w:r>
    </w:p>
    <w:p w14:paraId="646B9822">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（1000-500）×0.45%=2.25万元</w:t>
      </w:r>
    </w:p>
    <w:p w14:paraId="778FA23A">
      <w:pPr>
        <w:spacing w:line="360" w:lineRule="auto"/>
        <w:ind w:firstLine="420" w:firstLineChars="200"/>
        <w:rPr>
          <w:rFonts w:ascii="宋体" w:hAnsi="宋体"/>
        </w:rPr>
      </w:pPr>
      <w:r>
        <w:rPr>
          <w:rFonts w:hint="eastAsia" w:asciiTheme="minorEastAsia" w:hAnsiTheme="minorEastAsia" w:eastAsiaTheme="minorEastAsia"/>
        </w:rPr>
        <w:t>合计收费=1.5+3.2+2.25＝6.95（万元）</w:t>
      </w:r>
    </w:p>
    <w:p w14:paraId="45DE5DFC">
      <w:pPr>
        <w:pStyle w:val="22"/>
      </w:pPr>
    </w:p>
    <w:p w14:paraId="5D7CD3CB">
      <w:pPr>
        <w:keepNext/>
        <w:keepLines/>
        <w:spacing w:line="416" w:lineRule="auto"/>
        <w:jc w:val="center"/>
        <w:outlineLvl w:val="1"/>
        <w:rPr>
          <w:rFonts w:ascii="Arial" w:hAnsi="Arial" w:eastAsiaTheme="minorEastAsia"/>
          <w:b/>
          <w:bCs/>
          <w:sz w:val="28"/>
          <w:szCs w:val="32"/>
        </w:rPr>
      </w:pPr>
      <w:bookmarkStart w:id="33" w:name="_Toc135293176"/>
      <w:r>
        <w:rPr>
          <w:rFonts w:hint="eastAsia" w:ascii="Arial" w:hAnsi="Arial" w:eastAsiaTheme="minorEastAsia"/>
          <w:b/>
          <w:bCs/>
          <w:sz w:val="28"/>
          <w:szCs w:val="32"/>
        </w:rPr>
        <w:t>七、质疑处理</w:t>
      </w:r>
      <w:bookmarkEnd w:id="33"/>
    </w:p>
    <w:p w14:paraId="4997EC01">
      <w:pPr>
        <w:spacing w:line="360" w:lineRule="auto"/>
        <w:rPr>
          <w:rFonts w:asciiTheme="majorEastAsia" w:hAnsiTheme="majorEastAsia" w:eastAsiaTheme="majorEastAsia"/>
          <w:b/>
          <w:bCs/>
          <w:szCs w:val="21"/>
        </w:rPr>
      </w:pPr>
      <w:bookmarkStart w:id="34" w:name="_Hlk72439706"/>
      <w:r>
        <w:rPr>
          <w:rFonts w:hint="eastAsia" w:asciiTheme="majorEastAsia" w:hAnsiTheme="majorEastAsia" w:eastAsiaTheme="majorEastAsia"/>
          <w:b/>
          <w:bCs/>
          <w:szCs w:val="21"/>
        </w:rPr>
        <w:t>35.质疑提出与答复</w:t>
      </w:r>
    </w:p>
    <w:p w14:paraId="291FA8D6">
      <w:pPr>
        <w:spacing w:line="360" w:lineRule="auto"/>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35.1 供应商认为采购文件、采购过程和中标、成交结果使自己的权益受到损害的，应当自知道或者应当知道其权益受到损害之日起有效时间里以书面形式向采购人、采购代理机构提出质疑。</w:t>
      </w:r>
    </w:p>
    <w:p w14:paraId="6D6F2DBD">
      <w:pPr>
        <w:spacing w:line="360" w:lineRule="auto"/>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35.2 供应商应在</w:t>
      </w:r>
      <w:r>
        <w:rPr>
          <w:rFonts w:hint="eastAsia" w:asciiTheme="majorEastAsia" w:hAnsiTheme="majorEastAsia" w:eastAsiaTheme="majorEastAsia"/>
          <w:szCs w:val="21"/>
          <w:lang w:val="en-US" w:eastAsia="zh-CN"/>
        </w:rPr>
        <w:t>法定</w:t>
      </w:r>
      <w:r>
        <w:rPr>
          <w:rFonts w:hint="eastAsia" w:asciiTheme="majorEastAsia" w:hAnsiTheme="majorEastAsia" w:eastAsiaTheme="majorEastAsia"/>
          <w:szCs w:val="21"/>
          <w:lang w:eastAsia="zh-CN"/>
        </w:rPr>
        <w:t>质疑期内一次性提出针对同一采购程序环节的质疑。若对项目的某一分包进行质疑，质疑函中应列明具体分包号。</w:t>
      </w:r>
    </w:p>
    <w:p w14:paraId="522F346E">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35</w:t>
      </w:r>
      <w:r>
        <w:rPr>
          <w:rFonts w:hint="eastAsia" w:asciiTheme="majorEastAsia" w:hAnsiTheme="majorEastAsia" w:eastAsiaTheme="majorEastAsia"/>
          <w:szCs w:val="21"/>
        </w:rPr>
        <w:t>.3 提出质疑的供应商（以下简称质疑供应商）应当是参与所质疑项目采购活动的供应商。各环节质疑时效的规定如下：</w:t>
      </w:r>
    </w:p>
    <w:p w14:paraId="2F0619E1">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 xml:space="preserve">（1）对采购文件提出质疑的，应当在投标截止日前一个工作日内提出；  </w:t>
      </w:r>
    </w:p>
    <w:p w14:paraId="60B3B51C">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（2）供应商认为采购过程损害其权益的，应在各采购程序环节结束之日前。</w:t>
      </w:r>
    </w:p>
    <w:p w14:paraId="62E1DFF6">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3</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rPr>
        <w:t xml:space="preserve">供应商认为中标或者成交结果以及评审委员会、谈判小组、竞价小组组成人员损害其权益的，应在中标或者成交结果公示期间。 </w:t>
      </w:r>
    </w:p>
    <w:p w14:paraId="231889F3">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超出</w:t>
      </w:r>
      <w:r>
        <w:rPr>
          <w:rFonts w:hint="eastAsia" w:asciiTheme="majorEastAsia" w:hAnsiTheme="majorEastAsia" w:eastAsiaTheme="majorEastAsia"/>
          <w:szCs w:val="21"/>
          <w:lang w:val="en-US" w:eastAsia="zh-CN"/>
        </w:rPr>
        <w:t>规定</w:t>
      </w:r>
      <w:r>
        <w:rPr>
          <w:rFonts w:hint="eastAsia" w:asciiTheme="majorEastAsia" w:hAnsiTheme="majorEastAsia" w:eastAsiaTheme="majorEastAsia"/>
          <w:szCs w:val="21"/>
        </w:rPr>
        <w:t xml:space="preserve">质疑期限的质疑函，采购人或采购代理机构将依法不予接收。 </w:t>
      </w:r>
    </w:p>
    <w:p w14:paraId="1696B179">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35</w:t>
      </w:r>
      <w:r>
        <w:rPr>
          <w:rFonts w:hint="eastAsia" w:asciiTheme="majorEastAsia" w:hAnsiTheme="majorEastAsia" w:eastAsiaTheme="majorEastAsia"/>
          <w:szCs w:val="21"/>
        </w:rPr>
        <w:t>.4供应商提出质疑应当提交质疑函和必要的证明材料(包括证明材料清单、证明文件及获取途径说明)。质疑函应当包括下列内容：</w:t>
      </w:r>
    </w:p>
    <w:p w14:paraId="2EF6A65A">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（1）供应商的姓名或者名称、地址、邮编、联系人及联系电话；</w:t>
      </w:r>
    </w:p>
    <w:p w14:paraId="6B726A49">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（2）质疑项目的名称、编号；</w:t>
      </w:r>
    </w:p>
    <w:p w14:paraId="06945BA2">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（3）具体、明确的质疑事项和与质疑事项相关的请求；</w:t>
      </w:r>
    </w:p>
    <w:p w14:paraId="38A4E0B1">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（4）事实依据；</w:t>
      </w:r>
    </w:p>
    <w:p w14:paraId="299ED234">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（5）必要的法律依据；</w:t>
      </w:r>
    </w:p>
    <w:p w14:paraId="7B0689CF">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（6）提出质疑的日期。</w:t>
      </w:r>
    </w:p>
    <w:p w14:paraId="1CA0E94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供应商为自然人的，应当由本人签字；供应商为法人或者其他组织的，应当由法定代表人、主要负责人，或者其授权代表签字或者盖章，并加盖公章</w:t>
      </w:r>
      <w:r>
        <w:rPr>
          <w:rFonts w:asciiTheme="majorEastAsia" w:hAnsiTheme="majorEastAsia" w:eastAsiaTheme="majorEastAsia"/>
          <w:szCs w:val="21"/>
        </w:rPr>
        <w:t>。</w:t>
      </w:r>
    </w:p>
    <w:p w14:paraId="78DE9F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10A8158">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质疑供应商应根据本须知35.3.3、35.4款规定，至</w:t>
      </w:r>
      <w:r>
        <w:rPr>
          <w:rFonts w:hint="eastAsia" w:asciiTheme="majorEastAsia" w:hAnsiTheme="majorEastAsia" w:eastAsiaTheme="majorEastAsia"/>
          <w:bCs/>
          <w:szCs w:val="21"/>
        </w:rPr>
        <w:t>采购代理机构</w:t>
      </w:r>
      <w:r>
        <w:rPr>
          <w:rFonts w:hint="eastAsia" w:asciiTheme="majorEastAsia" w:hAnsiTheme="majorEastAsia" w:eastAsiaTheme="majorEastAsia"/>
          <w:szCs w:val="21"/>
        </w:rPr>
        <w:t>现场</w:t>
      </w:r>
      <w:r>
        <w:rPr>
          <w:rFonts w:hint="eastAsia" w:asciiTheme="majorEastAsia" w:hAnsiTheme="majorEastAsia" w:eastAsiaTheme="majorEastAsia"/>
          <w:szCs w:val="21"/>
          <w:lang w:val="en-US" w:eastAsia="zh-CN"/>
        </w:rPr>
        <w:t>或邮寄</w:t>
      </w:r>
      <w:r>
        <w:rPr>
          <w:rFonts w:hint="eastAsia" w:asciiTheme="majorEastAsia" w:hAnsiTheme="majorEastAsia" w:eastAsiaTheme="majorEastAsia"/>
          <w:szCs w:val="21"/>
        </w:rPr>
        <w:t>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501366C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0668516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57BFDF1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6D4012B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525AE11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BFBC6C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39356C3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12C576A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09ECE64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5C0843B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6E927EA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62961C8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35.7质疑答复时限</w:t>
      </w:r>
    </w:p>
    <w:p w14:paraId="300911DF">
      <w:pPr>
        <w:spacing w:line="360" w:lineRule="auto"/>
        <w:ind w:firstLine="420"/>
        <w:rPr>
          <w:rFonts w:hint="eastAsia"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7FB76B07">
      <w:pPr>
        <w:spacing w:line="360" w:lineRule="auto"/>
        <w:ind w:firstLine="420"/>
        <w:rPr>
          <w:rFonts w:hint="eastAsia" w:asciiTheme="majorEastAsia" w:hAnsiTheme="majorEastAsia" w:eastAsiaTheme="majorEastAsia"/>
          <w:szCs w:val="21"/>
        </w:rPr>
      </w:pPr>
    </w:p>
    <w:bookmarkEnd w:id="34"/>
    <w:p w14:paraId="4B3BEA9C">
      <w:pPr>
        <w:pStyle w:val="4"/>
        <w:spacing w:before="0" w:after="0"/>
        <w:rPr>
          <w:rFonts w:hint="eastAsia" w:cs="Times New Roman"/>
          <w:lang w:val="en-US" w:eastAsia="zh-CN"/>
        </w:rPr>
      </w:pPr>
      <w:r>
        <w:rPr>
          <w:rFonts w:hint="eastAsia" w:cs="Times New Roman"/>
          <w:lang w:val="en-US" w:eastAsia="zh-CN"/>
        </w:rPr>
        <w:t>八、公开征集失败的后续处理</w:t>
      </w:r>
    </w:p>
    <w:p w14:paraId="57FFA72F">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36.本项目属于采购人自行采购项目，采购方式为公开征集，如本项目首次公开征集报名时间截止后有效供应商不足3家，则按以下程序进行：</w:t>
      </w:r>
    </w:p>
    <w:p w14:paraId="4500410A">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（1）首次采购公告挂网报名结束后，不满3家供应商报名时，则报名时间延期3个工作日；</w:t>
      </w:r>
    </w:p>
    <w:p w14:paraId="41EF30D0">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（2）延期报名后，报名的供应商或通过资格性审查和符合性审查的有效供应商仍不满3家的，按如下情形进行：</w:t>
      </w:r>
    </w:p>
    <w:p w14:paraId="4946AA0C">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①仅有2家时，则本项目采用院内竞争性谈判（综合评分法）进行采购（评审规则参照公开征集）；</w:t>
      </w:r>
    </w:p>
    <w:p w14:paraId="19F8472A">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②有效供应商仅有1家时，则本项目采用院内单一来源采购方式进行采购；</w:t>
      </w:r>
    </w:p>
    <w:p w14:paraId="4DDFE455">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③如本项目转为院内单一来源采购方式进行，供应商所投产品的技术/服务、商务响应内容均不能出现负偏离，否则视为本项目采购失败。</w:t>
      </w:r>
    </w:p>
    <w:p w14:paraId="1D896607">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37.</w:t>
      </w:r>
      <w:r>
        <w:rPr>
          <w:rFonts w:hint="eastAsia" w:cs="Times New Roman" w:asciiTheme="majorEastAsia" w:hAnsiTheme="majorEastAsia" w:eastAsiaTheme="majorEastAsia"/>
          <w:szCs w:val="21"/>
        </w:rPr>
        <w:t>本项目如在</w:t>
      </w:r>
      <w:r>
        <w:rPr>
          <w:rFonts w:hint="eastAsia" w:cs="Times New Roman" w:asciiTheme="majorEastAsia" w:hAnsiTheme="majorEastAsia" w:eastAsiaTheme="majorEastAsia"/>
          <w:szCs w:val="21"/>
          <w:lang w:eastAsia="zh-CN"/>
        </w:rPr>
        <w:t>采购失败重新发布采购公告后</w:t>
      </w:r>
      <w:r>
        <w:rPr>
          <w:rFonts w:hint="eastAsia" w:cs="Times New Roman" w:asciiTheme="majorEastAsia" w:hAnsiTheme="majorEastAsia" w:eastAsiaTheme="majorEastAsia"/>
          <w:szCs w:val="21"/>
        </w:rPr>
        <w:t>，报名或参加投标的有效投标人仍不满3家，按如下情形进行:</w:t>
      </w:r>
    </w:p>
    <w:p w14:paraId="593F8BDF">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①仅有2家时，评审现场转为院内竞争性谈判(综合评分法)进行采购（评审规则参照公开征集）；</w:t>
      </w:r>
    </w:p>
    <w:p w14:paraId="68C0087D">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②仅有1家时，评审现场转为院内单一来源采购方式进行采购；</w:t>
      </w:r>
    </w:p>
    <w:p w14:paraId="775DDBB3">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③如本项目转为院内单一来源采购方式进行时，供应商所投产品的技术/服务、商务响应内容均不能出现负偏离，否则视为本项目采购失败。</w:t>
      </w:r>
    </w:p>
    <w:p w14:paraId="6BC49FAD">
      <w:pPr>
        <w:jc w:val="center"/>
        <w:rPr>
          <w:b/>
          <w:sz w:val="52"/>
          <w:szCs w:val="52"/>
        </w:rPr>
      </w:pPr>
    </w:p>
    <w:p w14:paraId="31116F56"/>
    <w:p w14:paraId="41D8390D"/>
    <w:p w14:paraId="19A0F860"/>
    <w:p w14:paraId="0A425A4F"/>
    <w:p w14:paraId="551A7B18"/>
    <w:p w14:paraId="28CCF6C2"/>
    <w:p w14:paraId="69518AE8"/>
    <w:p w14:paraId="4DD3EEFB">
      <w:pPr>
        <w:widowControl/>
        <w:jc w:val="left"/>
      </w:pPr>
      <w:r>
        <w:br w:type="page"/>
      </w:r>
    </w:p>
    <w:p w14:paraId="0953DC6E"/>
    <w:p w14:paraId="4F1FA14F">
      <w:pPr>
        <w:pStyle w:val="2"/>
      </w:pPr>
      <w:bookmarkStart w:id="35" w:name="_Toc11053"/>
      <w:r>
        <w:rPr>
          <w:rFonts w:hint="eastAsia"/>
        </w:rPr>
        <w:t>第七章  响应文件格式</w:t>
      </w:r>
      <w:bookmarkEnd w:id="35"/>
    </w:p>
    <w:p w14:paraId="11B70569">
      <w:pPr>
        <w:jc w:val="center"/>
        <w:rPr>
          <w:b/>
          <w:sz w:val="52"/>
          <w:szCs w:val="52"/>
        </w:rPr>
      </w:pPr>
    </w:p>
    <w:p w14:paraId="113B89AD">
      <w:pPr>
        <w:pStyle w:val="4"/>
        <w:spacing w:line="400" w:lineRule="exact"/>
        <w:rPr>
          <w:rFonts w:ascii="仿宋" w:hAnsi="仿宋" w:eastAsia="仿宋"/>
        </w:rPr>
      </w:pPr>
      <w:bookmarkStart w:id="36" w:name="_Toc44691163"/>
      <w:bookmarkStart w:id="37" w:name="_Toc44690704"/>
      <w:bookmarkStart w:id="38" w:name="_Toc25194"/>
      <w:bookmarkStart w:id="39" w:name="_Toc17275"/>
      <w:bookmarkStart w:id="40" w:name="_Toc44691395"/>
      <w:bookmarkStart w:id="41" w:name="_Toc11772"/>
      <w:bookmarkStart w:id="42" w:name="_Toc31468"/>
      <w:bookmarkStart w:id="43" w:name="_Toc14934"/>
      <w:bookmarkStart w:id="44" w:name="_Toc44690431"/>
      <w:r>
        <w:rPr>
          <w:rFonts w:hint="eastAsia" w:ascii="仿宋" w:hAnsi="仿宋" w:eastAsia="仿宋"/>
        </w:rPr>
        <w:t>响应文件编制说明</w:t>
      </w:r>
      <w:bookmarkEnd w:id="36"/>
      <w:bookmarkEnd w:id="37"/>
      <w:bookmarkEnd w:id="38"/>
      <w:bookmarkEnd w:id="39"/>
      <w:bookmarkEnd w:id="40"/>
      <w:bookmarkEnd w:id="41"/>
      <w:bookmarkEnd w:id="42"/>
      <w:bookmarkEnd w:id="43"/>
      <w:bookmarkEnd w:id="44"/>
    </w:p>
    <w:tbl>
      <w:tblPr>
        <w:tblStyle w:val="53"/>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09EA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088BF109">
            <w:pPr>
              <w:spacing w:line="360" w:lineRule="auto"/>
              <w:jc w:val="center"/>
              <w:rPr>
                <w:rFonts w:ascii="宋体" w:hAnsi="宋体"/>
              </w:rPr>
            </w:pPr>
            <w:r>
              <w:rPr>
                <w:rFonts w:hint="eastAsia" w:ascii="宋体" w:hAnsi="宋体"/>
              </w:rPr>
              <w:t>序号</w:t>
            </w:r>
          </w:p>
        </w:tc>
        <w:tc>
          <w:tcPr>
            <w:tcW w:w="1957" w:type="dxa"/>
            <w:vAlign w:val="center"/>
          </w:tcPr>
          <w:p w14:paraId="6C370400">
            <w:pPr>
              <w:spacing w:line="360" w:lineRule="auto"/>
              <w:jc w:val="center"/>
              <w:rPr>
                <w:rFonts w:ascii="宋体" w:hAnsi="宋体"/>
              </w:rPr>
            </w:pPr>
            <w:r>
              <w:rPr>
                <w:rFonts w:hint="eastAsia" w:ascii="宋体" w:hAnsi="宋体"/>
              </w:rPr>
              <w:t>名称</w:t>
            </w:r>
          </w:p>
        </w:tc>
        <w:tc>
          <w:tcPr>
            <w:tcW w:w="3004" w:type="dxa"/>
            <w:vAlign w:val="center"/>
          </w:tcPr>
          <w:p w14:paraId="2A771244">
            <w:pPr>
              <w:spacing w:line="360" w:lineRule="auto"/>
              <w:jc w:val="center"/>
              <w:rPr>
                <w:rFonts w:ascii="宋体" w:hAnsi="宋体"/>
              </w:rPr>
            </w:pPr>
            <w:r>
              <w:rPr>
                <w:rFonts w:hint="eastAsia" w:ascii="宋体" w:hAnsi="宋体"/>
              </w:rPr>
              <w:t>内容规定</w:t>
            </w:r>
          </w:p>
        </w:tc>
        <w:tc>
          <w:tcPr>
            <w:tcW w:w="4161" w:type="dxa"/>
            <w:vAlign w:val="center"/>
          </w:tcPr>
          <w:p w14:paraId="43D2D03E">
            <w:pPr>
              <w:spacing w:line="360" w:lineRule="auto"/>
              <w:jc w:val="center"/>
              <w:rPr>
                <w:rFonts w:ascii="宋体" w:hAnsi="宋体"/>
              </w:rPr>
            </w:pPr>
            <w:r>
              <w:rPr>
                <w:rFonts w:hint="eastAsia" w:ascii="宋体" w:hAnsi="宋体"/>
              </w:rPr>
              <w:t>备注</w:t>
            </w:r>
          </w:p>
        </w:tc>
      </w:tr>
      <w:tr w14:paraId="204C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10FF4B65">
            <w:pPr>
              <w:spacing w:line="360" w:lineRule="auto"/>
              <w:jc w:val="center"/>
              <w:rPr>
                <w:rFonts w:ascii="宋体" w:hAnsi="宋体"/>
              </w:rPr>
            </w:pPr>
            <w:r>
              <w:rPr>
                <w:rFonts w:hint="eastAsia" w:ascii="宋体" w:hAnsi="宋体"/>
              </w:rPr>
              <w:t>1</w:t>
            </w:r>
          </w:p>
        </w:tc>
        <w:tc>
          <w:tcPr>
            <w:tcW w:w="1957" w:type="dxa"/>
            <w:vAlign w:val="center"/>
          </w:tcPr>
          <w:p w14:paraId="35A855E1">
            <w:pPr>
              <w:spacing w:line="360" w:lineRule="auto"/>
              <w:jc w:val="center"/>
              <w:rPr>
                <w:rFonts w:ascii="宋体" w:hAnsi="宋体"/>
              </w:rPr>
            </w:pPr>
            <w:r>
              <w:rPr>
                <w:rFonts w:hint="eastAsia" w:ascii="宋体" w:hAnsi="宋体"/>
              </w:rPr>
              <w:t>响应文件的组成</w:t>
            </w:r>
          </w:p>
        </w:tc>
        <w:tc>
          <w:tcPr>
            <w:tcW w:w="3004" w:type="dxa"/>
            <w:vAlign w:val="center"/>
          </w:tcPr>
          <w:p w14:paraId="14559899">
            <w:pPr>
              <w:spacing w:line="360" w:lineRule="auto"/>
              <w:jc w:val="center"/>
              <w:rPr>
                <w:rFonts w:ascii="宋体" w:hAnsi="宋体"/>
              </w:rPr>
            </w:pPr>
            <w:r>
              <w:rPr>
                <w:rFonts w:hint="eastAsia" w:ascii="宋体" w:hAnsi="宋体"/>
              </w:rPr>
              <w:t>详见第六章“供应商须知”第10条</w:t>
            </w:r>
          </w:p>
        </w:tc>
        <w:tc>
          <w:tcPr>
            <w:tcW w:w="4161" w:type="dxa"/>
            <w:vAlign w:val="center"/>
          </w:tcPr>
          <w:p w14:paraId="2C0EB069">
            <w:pPr>
              <w:spacing w:line="360" w:lineRule="auto"/>
              <w:ind w:firstLine="4" w:firstLineChars="2"/>
              <w:rPr>
                <w:rFonts w:ascii="宋体" w:hAnsi="宋体"/>
              </w:rPr>
            </w:pPr>
            <w:r>
              <w:rPr>
                <w:rFonts w:hint="eastAsia" w:ascii="宋体" w:hAnsi="宋体"/>
              </w:rPr>
              <w:t>1.1 供应商选取本章相应格式编制响应文件，如没有相应格式的，由供应商根据采购要求自行编制。</w:t>
            </w:r>
          </w:p>
        </w:tc>
      </w:tr>
      <w:tr w14:paraId="128A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4F42C742">
            <w:pPr>
              <w:spacing w:line="360" w:lineRule="auto"/>
              <w:jc w:val="center"/>
              <w:rPr>
                <w:rFonts w:ascii="宋体" w:hAnsi="宋体"/>
              </w:rPr>
            </w:pPr>
            <w:r>
              <w:rPr>
                <w:rFonts w:hint="eastAsia" w:ascii="宋体" w:hAnsi="宋体"/>
              </w:rPr>
              <w:t>2</w:t>
            </w:r>
          </w:p>
        </w:tc>
        <w:tc>
          <w:tcPr>
            <w:tcW w:w="1957" w:type="dxa"/>
            <w:vAlign w:val="center"/>
          </w:tcPr>
          <w:p w14:paraId="432C2B0C">
            <w:pPr>
              <w:spacing w:line="360" w:lineRule="auto"/>
              <w:jc w:val="center"/>
              <w:rPr>
                <w:rFonts w:ascii="宋体" w:hAnsi="宋体"/>
              </w:rPr>
            </w:pPr>
            <w:r>
              <w:rPr>
                <w:rFonts w:hint="eastAsia" w:ascii="宋体" w:hAnsi="宋体"/>
              </w:rPr>
              <w:t>响应文件的密封和标记</w:t>
            </w:r>
          </w:p>
        </w:tc>
        <w:tc>
          <w:tcPr>
            <w:tcW w:w="3004" w:type="dxa"/>
            <w:vAlign w:val="center"/>
          </w:tcPr>
          <w:p w14:paraId="74243CDD">
            <w:pPr>
              <w:spacing w:line="360" w:lineRule="auto"/>
              <w:jc w:val="center"/>
              <w:rPr>
                <w:rFonts w:ascii="宋体" w:hAnsi="宋体"/>
              </w:rPr>
            </w:pPr>
            <w:r>
              <w:rPr>
                <w:rFonts w:hint="eastAsia" w:ascii="宋体" w:hAnsi="宋体"/>
              </w:rPr>
              <w:t>详见第六章“供应商须知”第17-18条</w:t>
            </w:r>
          </w:p>
        </w:tc>
        <w:tc>
          <w:tcPr>
            <w:tcW w:w="4161" w:type="dxa"/>
            <w:vAlign w:val="center"/>
          </w:tcPr>
          <w:p w14:paraId="0856EBD5">
            <w:pPr>
              <w:spacing w:line="360" w:lineRule="auto"/>
              <w:ind w:firstLine="4" w:firstLineChars="2"/>
              <w:rPr>
                <w:rFonts w:ascii="宋体" w:hAnsi="宋体"/>
              </w:rPr>
            </w:pPr>
            <w:r>
              <w:rPr>
                <w:rFonts w:hint="eastAsia" w:ascii="宋体" w:hAnsi="宋体"/>
              </w:rPr>
              <w:t>响应文件应按以下两部分，分别密封包装和标记：</w:t>
            </w:r>
          </w:p>
          <w:p w14:paraId="64BE7C8C">
            <w:pPr>
              <w:spacing w:line="360" w:lineRule="auto"/>
              <w:ind w:firstLine="4" w:firstLineChars="2"/>
              <w:rPr>
                <w:rFonts w:ascii="宋体" w:hAnsi="宋体"/>
              </w:rPr>
            </w:pPr>
            <w:r>
              <w:rPr>
                <w:rFonts w:hint="eastAsia" w:ascii="宋体" w:hAnsi="宋体"/>
              </w:rPr>
              <w:t>2.1 响应文件正本、副本和密封好的备份光盘（或U盘）（封包1）；</w:t>
            </w:r>
          </w:p>
          <w:p w14:paraId="3BBC82F1">
            <w:pPr>
              <w:spacing w:line="360" w:lineRule="auto"/>
              <w:ind w:firstLine="4" w:firstLineChars="2"/>
              <w:rPr>
                <w:rFonts w:ascii="宋体" w:hAnsi="宋体"/>
              </w:rPr>
            </w:pPr>
            <w:r>
              <w:rPr>
                <w:rFonts w:hint="eastAsia" w:ascii="宋体" w:hAnsi="宋体"/>
              </w:rPr>
              <w:t>2.2 法定代表人（负责人）证明书、法定代表人（负责人）授权委托书和开标一览表（封包2）。</w:t>
            </w:r>
          </w:p>
          <w:p w14:paraId="3DA96D33">
            <w:pPr>
              <w:pStyle w:val="22"/>
            </w:pPr>
            <w:r>
              <w:rPr>
                <w:rFonts w:hint="eastAsia"/>
              </w:rPr>
              <w:t>注：</w:t>
            </w:r>
            <w:r>
              <w:rPr>
                <w:rFonts w:hint="eastAsia" w:asciiTheme="minorEastAsia" w:hAnsiTheme="minorEastAsia" w:eastAsiaTheme="minorEastAsia"/>
                <w:snapToGrid w:val="0"/>
                <w:kern w:val="0"/>
              </w:rPr>
              <w:t>响应文件必须标注页码并装订成册。</w:t>
            </w:r>
          </w:p>
        </w:tc>
      </w:tr>
      <w:tr w14:paraId="3F7A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237E9B6">
            <w:pPr>
              <w:spacing w:line="360" w:lineRule="auto"/>
              <w:jc w:val="center"/>
              <w:rPr>
                <w:rFonts w:ascii="宋体" w:hAnsi="宋体"/>
              </w:rPr>
            </w:pPr>
            <w:r>
              <w:rPr>
                <w:rFonts w:hint="eastAsia" w:ascii="宋体" w:hAnsi="宋体"/>
              </w:rPr>
              <w:t>3</w:t>
            </w:r>
          </w:p>
        </w:tc>
        <w:tc>
          <w:tcPr>
            <w:tcW w:w="1957" w:type="dxa"/>
            <w:vAlign w:val="center"/>
          </w:tcPr>
          <w:p w14:paraId="7D565BAC">
            <w:pPr>
              <w:spacing w:line="360" w:lineRule="auto"/>
              <w:jc w:val="center"/>
              <w:rPr>
                <w:rFonts w:ascii="宋体" w:hAnsi="宋体"/>
              </w:rPr>
            </w:pPr>
            <w:r>
              <w:rPr>
                <w:rFonts w:hint="eastAsia" w:ascii="宋体" w:hAnsi="宋体"/>
              </w:rPr>
              <w:t>响应文件的签字和盖章</w:t>
            </w:r>
          </w:p>
        </w:tc>
        <w:tc>
          <w:tcPr>
            <w:tcW w:w="3004" w:type="dxa"/>
            <w:vAlign w:val="center"/>
          </w:tcPr>
          <w:p w14:paraId="135ADA08">
            <w:pPr>
              <w:spacing w:line="360" w:lineRule="auto"/>
              <w:jc w:val="left"/>
              <w:rPr>
                <w:rFonts w:ascii="宋体" w:hAnsi="宋体"/>
              </w:rPr>
            </w:pPr>
            <w:r>
              <w:rPr>
                <w:rFonts w:hint="eastAsia" w:ascii="宋体" w:hAnsi="宋体"/>
              </w:rPr>
              <w:t>响应文件应按采购文件要求签字和盖章（包括响应文件格式要求、评审标准对证明文件的要求等）。</w:t>
            </w:r>
          </w:p>
        </w:tc>
        <w:tc>
          <w:tcPr>
            <w:tcW w:w="4161" w:type="dxa"/>
            <w:vAlign w:val="center"/>
          </w:tcPr>
          <w:p w14:paraId="73BD1C48">
            <w:pPr>
              <w:spacing w:line="360" w:lineRule="auto"/>
              <w:ind w:firstLine="4" w:firstLineChars="2"/>
              <w:rPr>
                <w:rFonts w:ascii="宋体" w:hAnsi="宋体"/>
              </w:rPr>
            </w:pPr>
            <w:r>
              <w:rPr>
                <w:rFonts w:hint="eastAsia" w:ascii="宋体" w:hAnsi="宋体"/>
              </w:rPr>
              <w:t>3.1 公章指供应商经备案的行政公章，不包括“响应专用章”、“业务专用章”、“合同专用章”、“财务专用章”等。</w:t>
            </w:r>
          </w:p>
          <w:p w14:paraId="4BA1FF4B">
            <w:pPr>
              <w:spacing w:line="360" w:lineRule="auto"/>
              <w:ind w:firstLine="4" w:firstLineChars="2"/>
              <w:rPr>
                <w:rFonts w:ascii="宋体" w:hAnsi="宋体"/>
              </w:rPr>
            </w:pPr>
            <w:r>
              <w:rPr>
                <w:rFonts w:hint="eastAsia" w:ascii="宋体" w:hAnsi="宋体"/>
              </w:rPr>
              <w:t>3.2 响应文件应加盖骑缝章。</w:t>
            </w:r>
          </w:p>
          <w:p w14:paraId="37F2654E">
            <w:pPr>
              <w:spacing w:line="360" w:lineRule="auto"/>
              <w:ind w:firstLine="4" w:firstLineChars="2"/>
              <w:rPr>
                <w:rFonts w:ascii="宋体" w:hAnsi="宋体"/>
              </w:rPr>
            </w:pPr>
            <w:r>
              <w:rPr>
                <w:rFonts w:hint="eastAsia" w:ascii="宋体" w:hAnsi="宋体"/>
              </w:rPr>
              <w:t>3.3 签字方式可以是手写方式、盖人名章方式或盖手签章方式。</w:t>
            </w:r>
          </w:p>
        </w:tc>
      </w:tr>
    </w:tbl>
    <w:p w14:paraId="730EEBB9">
      <w:pPr>
        <w:spacing w:line="360" w:lineRule="auto"/>
        <w:ind w:firstLine="420" w:firstLineChars="200"/>
        <w:rPr>
          <w:rFonts w:ascii="宋体" w:hAnsi="宋体"/>
        </w:rPr>
      </w:pPr>
    </w:p>
    <w:p w14:paraId="47DF84BA">
      <w:pPr>
        <w:spacing w:line="360" w:lineRule="auto"/>
        <w:ind w:firstLine="420" w:firstLineChars="200"/>
        <w:rPr>
          <w:rFonts w:ascii="宋体" w:hAnsi="宋体"/>
        </w:rPr>
      </w:pPr>
    </w:p>
    <w:p w14:paraId="7F6BF10A">
      <w:pPr>
        <w:jc w:val="center"/>
        <w:rPr>
          <w:b/>
          <w:sz w:val="52"/>
          <w:szCs w:val="52"/>
        </w:rPr>
      </w:pPr>
    </w:p>
    <w:p w14:paraId="318BDAD0"/>
    <w:p w14:paraId="5A13ED90"/>
    <w:p w14:paraId="410592FC"/>
    <w:p w14:paraId="366D4E0D"/>
    <w:p w14:paraId="4A1C0C13"/>
    <w:p w14:paraId="334DADD0">
      <w:pPr>
        <w:jc w:val="center"/>
        <w:rPr>
          <w:b/>
          <w:bCs/>
          <w:sz w:val="52"/>
        </w:rPr>
      </w:pPr>
    </w:p>
    <w:p w14:paraId="4C0CD248">
      <w:pPr>
        <w:jc w:val="center"/>
        <w:rPr>
          <w:b/>
          <w:bCs/>
          <w:sz w:val="52"/>
        </w:rPr>
      </w:pPr>
      <w:r>
        <w:rPr>
          <w:rFonts w:hint="eastAsia"/>
          <w:b/>
          <w:bCs/>
          <w:sz w:val="52"/>
        </w:rPr>
        <w:t>响 应 文 件</w:t>
      </w:r>
    </w:p>
    <w:p w14:paraId="0744A500">
      <w:pPr>
        <w:jc w:val="center"/>
        <w:rPr>
          <w:b/>
          <w:bCs/>
        </w:rPr>
      </w:pPr>
    </w:p>
    <w:p w14:paraId="6733DFB5">
      <w:pPr>
        <w:jc w:val="center"/>
        <w:rPr>
          <w:b/>
          <w:bCs/>
        </w:rPr>
      </w:pPr>
    </w:p>
    <w:p w14:paraId="5283B1EE">
      <w:pPr>
        <w:jc w:val="center"/>
        <w:rPr>
          <w:b/>
          <w:bCs/>
        </w:rPr>
      </w:pPr>
    </w:p>
    <w:p w14:paraId="38127B9E">
      <w:pPr>
        <w:jc w:val="center"/>
        <w:rPr>
          <w:b/>
          <w:bCs/>
        </w:rPr>
      </w:pPr>
    </w:p>
    <w:p w14:paraId="24604E4F">
      <w:pPr>
        <w:jc w:val="center"/>
        <w:rPr>
          <w:b/>
          <w:bCs/>
        </w:rPr>
      </w:pPr>
    </w:p>
    <w:p w14:paraId="73812DB8">
      <w:pPr>
        <w:jc w:val="center"/>
        <w:rPr>
          <w:b/>
          <w:bCs/>
        </w:rPr>
      </w:pPr>
    </w:p>
    <w:p w14:paraId="77AF0A21">
      <w:pPr>
        <w:jc w:val="center"/>
        <w:rPr>
          <w:rFonts w:ascii="宋体" w:hAnsi="宋体"/>
          <w:b/>
          <w:bCs/>
          <w:sz w:val="30"/>
          <w:szCs w:val="30"/>
        </w:rPr>
      </w:pPr>
      <w:r>
        <w:rPr>
          <w:rFonts w:hint="eastAsia" w:ascii="宋体" w:hAnsi="宋体"/>
          <w:b/>
          <w:bCs/>
          <w:sz w:val="30"/>
          <w:szCs w:val="30"/>
        </w:rPr>
        <w:t>（正本/副本）</w:t>
      </w:r>
    </w:p>
    <w:p w14:paraId="5E03C042">
      <w:pPr>
        <w:jc w:val="center"/>
        <w:rPr>
          <w:b/>
          <w:bCs/>
        </w:rPr>
      </w:pPr>
    </w:p>
    <w:p w14:paraId="75F97D05">
      <w:pPr>
        <w:jc w:val="center"/>
        <w:rPr>
          <w:b/>
          <w:bCs/>
        </w:rPr>
      </w:pPr>
    </w:p>
    <w:p w14:paraId="4023DCBC">
      <w:pPr>
        <w:jc w:val="center"/>
        <w:rPr>
          <w:b/>
          <w:bCs/>
        </w:rPr>
      </w:pPr>
    </w:p>
    <w:p w14:paraId="5E48D234">
      <w:pPr>
        <w:jc w:val="center"/>
        <w:rPr>
          <w:b/>
          <w:bCs/>
        </w:rPr>
      </w:pPr>
    </w:p>
    <w:p w14:paraId="7C98929D">
      <w:pPr>
        <w:jc w:val="center"/>
        <w:rPr>
          <w:b/>
          <w:bCs/>
        </w:rPr>
      </w:pPr>
    </w:p>
    <w:p w14:paraId="2F775A8D">
      <w:pPr>
        <w:jc w:val="center"/>
        <w:rPr>
          <w:b/>
          <w:bCs/>
        </w:rPr>
      </w:pPr>
    </w:p>
    <w:p w14:paraId="23ADFCBE">
      <w:pPr>
        <w:jc w:val="center"/>
        <w:rPr>
          <w:b/>
          <w:bCs/>
        </w:rPr>
      </w:pPr>
    </w:p>
    <w:p w14:paraId="66224A67">
      <w:pPr>
        <w:jc w:val="center"/>
        <w:rPr>
          <w:b/>
          <w:bCs/>
        </w:rPr>
      </w:pPr>
    </w:p>
    <w:p w14:paraId="1FD0E70A">
      <w:pPr>
        <w:jc w:val="center"/>
        <w:rPr>
          <w:b/>
          <w:bCs/>
        </w:rPr>
      </w:pPr>
    </w:p>
    <w:p w14:paraId="305A64F6">
      <w:pPr>
        <w:jc w:val="center"/>
        <w:rPr>
          <w:b/>
          <w:bCs/>
        </w:rPr>
      </w:pPr>
    </w:p>
    <w:p w14:paraId="0FCC866C">
      <w:pPr>
        <w:jc w:val="center"/>
        <w:rPr>
          <w:b/>
          <w:bCs/>
        </w:rPr>
      </w:pPr>
    </w:p>
    <w:p w14:paraId="4087AA85">
      <w:pPr>
        <w:jc w:val="center"/>
        <w:rPr>
          <w:b/>
          <w:bCs/>
        </w:rPr>
      </w:pPr>
    </w:p>
    <w:p w14:paraId="31307739">
      <w:pPr>
        <w:jc w:val="center"/>
        <w:rPr>
          <w:b/>
          <w:bCs/>
        </w:rPr>
      </w:pPr>
    </w:p>
    <w:p w14:paraId="392A125C">
      <w:pPr>
        <w:jc w:val="center"/>
        <w:rPr>
          <w:b/>
          <w:bCs/>
        </w:rPr>
      </w:pPr>
    </w:p>
    <w:p w14:paraId="28331DB6">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14CB41EC">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703B5497">
      <w:pPr>
        <w:spacing w:line="480" w:lineRule="auto"/>
        <w:ind w:firstLine="1275" w:firstLineChars="529"/>
        <w:rPr>
          <w:b/>
          <w:bCs/>
          <w:sz w:val="24"/>
        </w:rPr>
      </w:pPr>
      <w:r>
        <w:rPr>
          <w:rFonts w:hint="eastAsia"/>
          <w:b/>
          <w:bCs/>
          <w:sz w:val="24"/>
        </w:rPr>
        <w:t>法定代表人或</w:t>
      </w:r>
    </w:p>
    <w:p w14:paraId="20857BB1">
      <w:pPr>
        <w:spacing w:line="480" w:lineRule="auto"/>
        <w:ind w:firstLine="1275" w:firstLineChars="529"/>
        <w:rPr>
          <w:sz w:val="24"/>
          <w:u w:val="dotted"/>
        </w:rPr>
      </w:pPr>
      <w:r>
        <w:rPr>
          <w:rFonts w:hint="eastAsia"/>
          <w:b/>
          <w:bCs/>
          <w:sz w:val="24"/>
        </w:rPr>
        <w:t>委 托 代理人：</w:t>
      </w:r>
      <w:r>
        <w:rPr>
          <w:rFonts w:hint="eastAsia"/>
          <w:sz w:val="24"/>
          <w:u w:val="single"/>
        </w:rPr>
        <w:t xml:space="preserve">                                      </w:t>
      </w:r>
    </w:p>
    <w:p w14:paraId="7D4C9C8C">
      <w:pPr>
        <w:spacing w:line="480" w:lineRule="auto"/>
        <w:ind w:firstLine="1275" w:firstLineChars="529"/>
        <w:rPr>
          <w:b/>
          <w:bCs/>
          <w:sz w:val="24"/>
          <w:u w:val="dotted"/>
        </w:rPr>
      </w:pPr>
      <w:r>
        <w:rPr>
          <w:rFonts w:hint="eastAsia"/>
          <w:b/>
          <w:bCs/>
          <w:sz w:val="24"/>
        </w:rPr>
        <w:t>供   应   商：</w:t>
      </w:r>
      <w:r>
        <w:rPr>
          <w:rFonts w:hint="eastAsia"/>
          <w:b/>
          <w:bCs/>
          <w:sz w:val="24"/>
          <w:u w:val="single"/>
        </w:rPr>
        <w:t xml:space="preserve">                                      </w:t>
      </w:r>
    </w:p>
    <w:p w14:paraId="3E1FCDD4">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197780DA">
      <w:pPr>
        <w:rPr>
          <w:b/>
          <w:bCs/>
        </w:rPr>
      </w:pPr>
    </w:p>
    <w:p w14:paraId="7B30851D">
      <w:pPr>
        <w:rPr>
          <w:b/>
          <w:bCs/>
        </w:rPr>
      </w:pPr>
      <w:bookmarkStart w:id="45" w:name="_投标文件格式（第一册）"/>
      <w:bookmarkEnd w:id="45"/>
      <w:bookmarkStart w:id="46" w:name="q0"/>
      <w:r>
        <w:rPr>
          <w:rFonts w:ascii="仿宋" w:hAnsi="仿宋" w:eastAsia="仿宋"/>
        </w:rPr>
        <w:br w:type="page"/>
      </w:r>
    </w:p>
    <w:p w14:paraId="22854B93">
      <w:pPr>
        <w:pStyle w:val="4"/>
        <w:spacing w:line="400" w:lineRule="exact"/>
        <w:rPr>
          <w:rFonts w:ascii="仿宋" w:hAnsi="仿宋" w:eastAsia="仿宋"/>
        </w:rPr>
      </w:pPr>
    </w:p>
    <w:p w14:paraId="3E3AB5D2">
      <w:pPr>
        <w:pStyle w:val="4"/>
        <w:spacing w:line="400" w:lineRule="exact"/>
        <w:rPr>
          <w:rFonts w:ascii="仿宋" w:hAnsi="仿宋" w:eastAsia="仿宋"/>
        </w:rPr>
      </w:pPr>
      <w:bookmarkStart w:id="47" w:name="_Toc12078"/>
      <w:r>
        <w:rPr>
          <w:rFonts w:hint="eastAsia" w:ascii="仿宋" w:hAnsi="仿宋" w:eastAsia="仿宋"/>
        </w:rPr>
        <w:t>响应文件格式</w:t>
      </w:r>
      <w:bookmarkEnd w:id="47"/>
    </w:p>
    <w:bookmarkEnd w:id="46"/>
    <w:p w14:paraId="3060E7CB">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目录（自拟）</w:t>
      </w:r>
    </w:p>
    <w:p w14:paraId="4F93B047">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政府采购违法行为风险知悉确认书</w:t>
      </w:r>
    </w:p>
    <w:p w14:paraId="69CF3254">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评标指引表</w:t>
      </w:r>
      <w:r>
        <w:rPr>
          <w:rFonts w:hint="eastAsia" w:ascii="宋体" w:hAnsi="宋体"/>
          <w:snapToGrid w:val="0"/>
          <w:kern w:val="0"/>
          <w:szCs w:val="21"/>
          <w:lang w:eastAsia="zh-CN"/>
        </w:rPr>
        <w:t>、</w:t>
      </w:r>
      <w:r>
        <w:rPr>
          <w:rFonts w:hint="eastAsia" w:ascii="宋体" w:hAnsi="宋体"/>
          <w:snapToGrid w:val="0"/>
          <w:kern w:val="0"/>
          <w:szCs w:val="21"/>
        </w:rPr>
        <w:t>供应商自查表</w:t>
      </w:r>
      <w:r>
        <w:rPr>
          <w:rFonts w:hint="eastAsia" w:ascii="宋体" w:hAnsi="宋体"/>
          <w:snapToGrid w:val="0"/>
          <w:kern w:val="0"/>
          <w:szCs w:val="21"/>
          <w:lang w:eastAsia="zh-CN"/>
        </w:rPr>
        <w:t>、</w:t>
      </w:r>
      <w:r>
        <w:rPr>
          <w:rFonts w:hint="eastAsia" w:ascii="宋体" w:hAnsi="宋体"/>
          <w:snapToGrid w:val="0"/>
          <w:kern w:val="0"/>
          <w:szCs w:val="21"/>
        </w:rPr>
        <w:t>供应商基本情况表</w:t>
      </w:r>
    </w:p>
    <w:p w14:paraId="1E6BF971">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lang w:eastAsia="zh-CN"/>
        </w:rPr>
        <w:t>供应商</w:t>
      </w:r>
      <w:r>
        <w:rPr>
          <w:rFonts w:hint="eastAsia" w:ascii="宋体" w:hAnsi="宋体"/>
          <w:snapToGrid w:val="0"/>
          <w:kern w:val="0"/>
          <w:szCs w:val="21"/>
        </w:rPr>
        <w:t>资格证明文件（格式1）</w:t>
      </w:r>
    </w:p>
    <w:p w14:paraId="7EE05624">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法定代表人证明书及授权委托书（格式2）</w:t>
      </w:r>
    </w:p>
    <w:p w14:paraId="49863A62">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投标函（格式3）</w:t>
      </w:r>
    </w:p>
    <w:p w14:paraId="0F4399F5">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7C09B44E">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开标一览表（格式5）</w:t>
      </w:r>
    </w:p>
    <w:p w14:paraId="79E4A22E">
      <w:pPr>
        <w:numPr>
          <w:ilvl w:val="0"/>
          <w:numId w:val="0"/>
        </w:numPr>
        <w:adjustRightInd w:val="0"/>
        <w:spacing w:line="360" w:lineRule="auto"/>
        <w:ind w:left="-2" w:leftChars="0" w:firstLine="422" w:firstLineChars="200"/>
        <w:rPr>
          <w:rFonts w:hint="eastAsia" w:ascii="宋体" w:hAnsi="宋体"/>
          <w:b/>
          <w:bCs/>
          <w:snapToGrid w:val="0"/>
          <w:kern w:val="0"/>
          <w:szCs w:val="21"/>
        </w:rPr>
      </w:pPr>
      <w:r>
        <w:rPr>
          <w:rFonts w:hint="eastAsia" w:ascii="宋体" w:hAnsi="宋体"/>
          <w:b/>
          <w:bCs/>
          <w:snapToGrid w:val="0"/>
          <w:kern w:val="0"/>
          <w:szCs w:val="21"/>
        </w:rPr>
        <w:t>注：此表应与“法定代表人（负责人）证明书、法定代表人（负责人）授权委托书”一起密封于一信封，在递交投标文件时单独交予采购代理机构。</w:t>
      </w:r>
    </w:p>
    <w:p w14:paraId="1E442CE0">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报价表（格式6）</w:t>
      </w:r>
    </w:p>
    <w:p w14:paraId="75F32825">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服务方案（格式7）</w:t>
      </w:r>
    </w:p>
    <w:p w14:paraId="44082C78">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lang w:eastAsia="zh-CN"/>
        </w:rPr>
        <w:t>供应商</w:t>
      </w:r>
      <w:r>
        <w:rPr>
          <w:rFonts w:hint="eastAsia" w:ascii="宋体" w:hAnsi="宋体"/>
          <w:snapToGrid w:val="0"/>
          <w:kern w:val="0"/>
          <w:szCs w:val="21"/>
        </w:rPr>
        <w:t>情况介绍（格式8）</w:t>
      </w:r>
    </w:p>
    <w:p w14:paraId="2E1F3D38">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偏离表（格式9）</w:t>
      </w:r>
    </w:p>
    <w:p w14:paraId="0892A194">
      <w:pPr>
        <w:numPr>
          <w:ilvl w:val="0"/>
          <w:numId w:val="7"/>
        </w:numPr>
        <w:adjustRightInd w:val="0"/>
        <w:spacing w:line="360" w:lineRule="auto"/>
        <w:rPr>
          <w:rFonts w:ascii="宋体" w:hAnsi="宋体"/>
          <w:snapToGrid w:val="0"/>
          <w:kern w:val="0"/>
          <w:szCs w:val="21"/>
        </w:rPr>
      </w:pPr>
      <w:r>
        <w:rPr>
          <w:rFonts w:hint="eastAsia" w:ascii="宋体" w:hAnsi="宋体"/>
          <w:snapToGrid w:val="0"/>
          <w:kern w:val="0"/>
          <w:szCs w:val="21"/>
        </w:rPr>
        <w:t>招标文件要求的其他资料或</w:t>
      </w:r>
      <w:r>
        <w:rPr>
          <w:rFonts w:hint="eastAsia" w:ascii="宋体" w:hAnsi="宋体"/>
          <w:snapToGrid w:val="0"/>
          <w:kern w:val="0"/>
          <w:szCs w:val="21"/>
          <w:lang w:eastAsia="zh-CN"/>
        </w:rPr>
        <w:t>供应商</w:t>
      </w:r>
      <w:r>
        <w:rPr>
          <w:rFonts w:hint="eastAsia" w:ascii="宋体" w:hAnsi="宋体"/>
          <w:snapToGrid w:val="0"/>
          <w:kern w:val="0"/>
          <w:szCs w:val="21"/>
        </w:rPr>
        <w:t>认为需要补充的资料（格式10）</w:t>
      </w:r>
    </w:p>
    <w:p w14:paraId="1E50327C">
      <w:pPr>
        <w:adjustRightInd w:val="0"/>
        <w:spacing w:line="300" w:lineRule="auto"/>
        <w:ind w:left="-2"/>
        <w:rPr>
          <w:rFonts w:ascii="宋体" w:hAnsi="宋体"/>
          <w:snapToGrid w:val="0"/>
          <w:kern w:val="0"/>
          <w:szCs w:val="21"/>
        </w:rPr>
      </w:pPr>
    </w:p>
    <w:p w14:paraId="0537089A">
      <w:pPr>
        <w:adjustRightInd w:val="0"/>
        <w:spacing w:line="300" w:lineRule="auto"/>
        <w:ind w:left="-2"/>
        <w:rPr>
          <w:rFonts w:ascii="宋体" w:hAnsi="宋体"/>
          <w:snapToGrid w:val="0"/>
          <w:kern w:val="0"/>
          <w:szCs w:val="21"/>
        </w:rPr>
      </w:pPr>
    </w:p>
    <w:p w14:paraId="484DC106">
      <w:pPr>
        <w:adjustRightInd w:val="0"/>
        <w:spacing w:line="300" w:lineRule="auto"/>
        <w:ind w:left="-2"/>
        <w:rPr>
          <w:rFonts w:ascii="宋体" w:hAnsi="宋体"/>
          <w:snapToGrid w:val="0"/>
          <w:kern w:val="0"/>
          <w:szCs w:val="21"/>
        </w:rPr>
      </w:pPr>
    </w:p>
    <w:p w14:paraId="1A936E82">
      <w:pPr>
        <w:rPr>
          <w:b/>
          <w:bCs/>
          <w:sz w:val="28"/>
        </w:rPr>
      </w:pPr>
      <w:r>
        <w:rPr>
          <w:b/>
          <w:bCs/>
          <w:sz w:val="28"/>
        </w:rPr>
        <w:br w:type="page"/>
      </w:r>
    </w:p>
    <w:p w14:paraId="29332E45">
      <w:pPr>
        <w:ind w:hanging="2"/>
        <w:rPr>
          <w:b/>
          <w:bCs/>
          <w:sz w:val="28"/>
        </w:rPr>
      </w:pPr>
    </w:p>
    <w:p w14:paraId="2FB5BDEA">
      <w:pPr>
        <w:pStyle w:val="4"/>
        <w:spacing w:line="400" w:lineRule="exact"/>
        <w:rPr>
          <w:rFonts w:ascii="仿宋" w:hAnsi="仿宋" w:eastAsia="仿宋"/>
        </w:rPr>
      </w:pPr>
      <w:bookmarkStart w:id="48" w:name="_格式1__投标人资格证明文件"/>
      <w:bookmarkEnd w:id="48"/>
      <w:bookmarkStart w:id="49" w:name="_Toc135293341"/>
      <w:r>
        <w:rPr>
          <w:rFonts w:hint="eastAsia" w:ascii="仿宋" w:hAnsi="仿宋" w:eastAsia="仿宋"/>
        </w:rPr>
        <w:t>政府采购违法行为风险知悉确认书</w:t>
      </w:r>
      <w:bookmarkEnd w:id="49"/>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17"/>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19740576">
      <w:pPr>
        <w:adjustRightInd w:val="0"/>
        <w:snapToGrid w:val="0"/>
        <w:spacing w:line="300" w:lineRule="auto"/>
        <w:jc w:val="center"/>
      </w:pPr>
      <w:r>
        <w:br w:type="page"/>
      </w:r>
    </w:p>
    <w:p w14:paraId="58BA53F1">
      <w:pPr>
        <w:adjustRightInd w:val="0"/>
        <w:snapToGrid w:val="0"/>
        <w:spacing w:line="300" w:lineRule="auto"/>
        <w:jc w:val="center"/>
      </w:pPr>
    </w:p>
    <w:p w14:paraId="3F49F75B">
      <w:pPr>
        <w:pStyle w:val="4"/>
        <w:spacing w:line="400" w:lineRule="exact"/>
        <w:rPr>
          <w:rFonts w:ascii="仿宋" w:hAnsi="仿宋" w:eastAsia="仿宋"/>
        </w:rPr>
      </w:pPr>
      <w:bookmarkStart w:id="50" w:name="_Toc73610158"/>
      <w:bookmarkStart w:id="51" w:name="_Toc4591"/>
      <w:r>
        <w:rPr>
          <w:rFonts w:hint="eastAsia" w:ascii="仿宋" w:hAnsi="仿宋" w:eastAsia="仿宋"/>
        </w:rPr>
        <w:t>评审指引表</w:t>
      </w:r>
      <w:bookmarkEnd w:id="50"/>
      <w:bookmarkEnd w:id="51"/>
    </w:p>
    <w:p w14:paraId="008F0436">
      <w:pPr>
        <w:jc w:val="center"/>
        <w:rPr>
          <w:b/>
          <w:szCs w:val="21"/>
        </w:rPr>
      </w:pPr>
    </w:p>
    <w:p w14:paraId="5843D5F3">
      <w:pPr>
        <w:spacing w:line="360" w:lineRule="auto"/>
        <w:ind w:firstLine="420" w:firstLineChars="200"/>
        <w:rPr>
          <w:rFonts w:ascii="宋体" w:hAnsi="宋体"/>
          <w:szCs w:val="21"/>
        </w:rPr>
      </w:pPr>
      <w:r>
        <w:rPr>
          <w:rFonts w:hint="eastAsia" w:ascii="宋体" w:hAnsi="宋体"/>
          <w:szCs w:val="21"/>
        </w:rPr>
        <w:t>为方便参与该项目的评委专家的评审，快速找到评审事项与该项目响应文件所对应的位置，请供应商参照下表格式，编制本项目评审指引表。</w:t>
      </w:r>
    </w:p>
    <w:p w14:paraId="3E584BA1">
      <w:pPr>
        <w:spacing w:line="360" w:lineRule="auto"/>
        <w:ind w:firstLine="420" w:firstLineChars="200"/>
        <w:rPr>
          <w:rFonts w:ascii="宋体" w:hAnsi="宋体"/>
          <w:szCs w:val="21"/>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1E83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7EC13FBD">
            <w:pPr>
              <w:spacing w:line="360" w:lineRule="exact"/>
              <w:jc w:val="center"/>
              <w:rPr>
                <w:rFonts w:ascii="宋体" w:hAnsi="宋体"/>
                <w:b/>
                <w:szCs w:val="21"/>
              </w:rPr>
            </w:pPr>
            <w:r>
              <w:rPr>
                <w:rFonts w:hint="eastAsia" w:ascii="宋体" w:hAnsi="宋体"/>
                <w:b/>
                <w:szCs w:val="21"/>
              </w:rPr>
              <w:t>综合评分指引（参见第四章  评审方法和标准）</w:t>
            </w:r>
          </w:p>
        </w:tc>
      </w:tr>
      <w:tr w14:paraId="14F8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5B64B59">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B1D5073">
            <w:pPr>
              <w:spacing w:line="360" w:lineRule="exact"/>
              <w:jc w:val="center"/>
              <w:rPr>
                <w:rFonts w:ascii="宋体" w:hAnsi="宋体"/>
                <w:szCs w:val="21"/>
              </w:rPr>
            </w:pPr>
            <w:r>
              <w:rPr>
                <w:rFonts w:hint="eastAsia" w:ascii="宋体" w:hAnsi="宋体"/>
                <w:szCs w:val="21"/>
              </w:rPr>
              <w:t>评分内容</w:t>
            </w:r>
          </w:p>
        </w:tc>
        <w:tc>
          <w:tcPr>
            <w:tcW w:w="2169" w:type="dxa"/>
            <w:vAlign w:val="center"/>
          </w:tcPr>
          <w:p w14:paraId="06739BFD">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1D93FCAF">
            <w:pPr>
              <w:spacing w:line="360" w:lineRule="exact"/>
              <w:jc w:val="center"/>
              <w:rPr>
                <w:rFonts w:ascii="宋体" w:hAnsi="宋体"/>
                <w:szCs w:val="21"/>
              </w:rPr>
            </w:pPr>
            <w:r>
              <w:rPr>
                <w:rFonts w:hint="eastAsia" w:ascii="宋体" w:hAnsi="宋体"/>
                <w:szCs w:val="21"/>
              </w:rPr>
              <w:t>备注</w:t>
            </w:r>
          </w:p>
        </w:tc>
      </w:tr>
      <w:tr w14:paraId="217F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6B3671E1">
            <w:pPr>
              <w:spacing w:line="360" w:lineRule="exact"/>
              <w:jc w:val="center"/>
              <w:rPr>
                <w:rFonts w:ascii="宋体" w:hAnsi="宋体"/>
                <w:szCs w:val="21"/>
              </w:rPr>
            </w:pPr>
            <w:r>
              <w:rPr>
                <w:rFonts w:hint="eastAsia" w:ascii="宋体" w:hAnsi="宋体"/>
                <w:szCs w:val="21"/>
              </w:rPr>
              <w:t>技术部分</w:t>
            </w:r>
          </w:p>
        </w:tc>
        <w:tc>
          <w:tcPr>
            <w:tcW w:w="4854" w:type="dxa"/>
          </w:tcPr>
          <w:p w14:paraId="69E5A184">
            <w:pPr>
              <w:spacing w:line="360" w:lineRule="exact"/>
              <w:jc w:val="center"/>
              <w:rPr>
                <w:rFonts w:ascii="宋体" w:hAnsi="宋体"/>
                <w:szCs w:val="21"/>
              </w:rPr>
            </w:pPr>
            <w:r>
              <w:rPr>
                <w:rFonts w:hint="eastAsia" w:ascii="宋体" w:hAnsi="宋体"/>
                <w:szCs w:val="21"/>
              </w:rPr>
              <w:t>1.……</w:t>
            </w:r>
          </w:p>
        </w:tc>
        <w:tc>
          <w:tcPr>
            <w:tcW w:w="2169" w:type="dxa"/>
            <w:vAlign w:val="center"/>
          </w:tcPr>
          <w:p w14:paraId="4CB823EC">
            <w:pPr>
              <w:spacing w:line="360" w:lineRule="exact"/>
              <w:jc w:val="center"/>
              <w:rPr>
                <w:rFonts w:ascii="宋体" w:hAnsi="宋体"/>
                <w:b/>
                <w:szCs w:val="21"/>
              </w:rPr>
            </w:pPr>
          </w:p>
        </w:tc>
        <w:tc>
          <w:tcPr>
            <w:tcW w:w="1472" w:type="dxa"/>
            <w:vAlign w:val="center"/>
          </w:tcPr>
          <w:p w14:paraId="18A1AB0F">
            <w:pPr>
              <w:spacing w:line="360" w:lineRule="exact"/>
              <w:jc w:val="center"/>
              <w:rPr>
                <w:rFonts w:ascii="宋体" w:hAnsi="宋体"/>
                <w:b/>
                <w:szCs w:val="21"/>
              </w:rPr>
            </w:pPr>
          </w:p>
        </w:tc>
      </w:tr>
      <w:tr w14:paraId="6D4F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7CD3E9C">
            <w:pPr>
              <w:spacing w:line="360" w:lineRule="exact"/>
              <w:jc w:val="center"/>
              <w:rPr>
                <w:rFonts w:ascii="宋体" w:hAnsi="宋体"/>
                <w:szCs w:val="21"/>
              </w:rPr>
            </w:pPr>
          </w:p>
        </w:tc>
        <w:tc>
          <w:tcPr>
            <w:tcW w:w="4854" w:type="dxa"/>
          </w:tcPr>
          <w:p w14:paraId="06CE7B84">
            <w:pPr>
              <w:spacing w:line="360" w:lineRule="exact"/>
              <w:jc w:val="center"/>
              <w:rPr>
                <w:rFonts w:ascii="宋体" w:hAnsi="宋体"/>
                <w:szCs w:val="21"/>
              </w:rPr>
            </w:pPr>
            <w:r>
              <w:rPr>
                <w:rFonts w:hint="eastAsia" w:ascii="宋体" w:hAnsi="宋体"/>
                <w:szCs w:val="21"/>
              </w:rPr>
              <w:t>2.……</w:t>
            </w:r>
          </w:p>
        </w:tc>
        <w:tc>
          <w:tcPr>
            <w:tcW w:w="2169" w:type="dxa"/>
            <w:vAlign w:val="center"/>
          </w:tcPr>
          <w:p w14:paraId="038E36B1">
            <w:pPr>
              <w:spacing w:line="360" w:lineRule="exact"/>
              <w:jc w:val="center"/>
              <w:rPr>
                <w:rFonts w:ascii="宋体" w:hAnsi="宋体"/>
                <w:b/>
                <w:szCs w:val="21"/>
              </w:rPr>
            </w:pPr>
          </w:p>
        </w:tc>
        <w:tc>
          <w:tcPr>
            <w:tcW w:w="1472" w:type="dxa"/>
            <w:vAlign w:val="center"/>
          </w:tcPr>
          <w:p w14:paraId="226FEA9E">
            <w:pPr>
              <w:spacing w:line="360" w:lineRule="exact"/>
              <w:jc w:val="center"/>
              <w:rPr>
                <w:rFonts w:ascii="宋体" w:hAnsi="宋体"/>
                <w:b/>
                <w:szCs w:val="21"/>
              </w:rPr>
            </w:pPr>
          </w:p>
        </w:tc>
      </w:tr>
      <w:tr w14:paraId="29CD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44D19AF6">
            <w:pPr>
              <w:spacing w:line="360" w:lineRule="exact"/>
              <w:jc w:val="center"/>
              <w:rPr>
                <w:rFonts w:ascii="宋体" w:hAnsi="宋体"/>
                <w:szCs w:val="21"/>
              </w:rPr>
            </w:pPr>
          </w:p>
        </w:tc>
        <w:tc>
          <w:tcPr>
            <w:tcW w:w="4854" w:type="dxa"/>
          </w:tcPr>
          <w:p w14:paraId="2157E517">
            <w:pPr>
              <w:spacing w:line="360" w:lineRule="exact"/>
              <w:jc w:val="center"/>
              <w:rPr>
                <w:rFonts w:ascii="宋体" w:hAnsi="宋体"/>
                <w:szCs w:val="21"/>
              </w:rPr>
            </w:pPr>
            <w:r>
              <w:rPr>
                <w:rFonts w:hint="eastAsia" w:ascii="宋体" w:hAnsi="宋体"/>
                <w:szCs w:val="21"/>
              </w:rPr>
              <w:t>……</w:t>
            </w:r>
          </w:p>
        </w:tc>
        <w:tc>
          <w:tcPr>
            <w:tcW w:w="2169" w:type="dxa"/>
            <w:vAlign w:val="center"/>
          </w:tcPr>
          <w:p w14:paraId="28A057F2">
            <w:pPr>
              <w:spacing w:line="360" w:lineRule="exact"/>
              <w:jc w:val="center"/>
              <w:rPr>
                <w:rFonts w:ascii="宋体" w:hAnsi="宋体"/>
                <w:b/>
                <w:szCs w:val="21"/>
              </w:rPr>
            </w:pPr>
          </w:p>
        </w:tc>
        <w:tc>
          <w:tcPr>
            <w:tcW w:w="1472" w:type="dxa"/>
            <w:vAlign w:val="center"/>
          </w:tcPr>
          <w:p w14:paraId="112EDFAB">
            <w:pPr>
              <w:spacing w:line="360" w:lineRule="exact"/>
              <w:jc w:val="center"/>
              <w:rPr>
                <w:rFonts w:ascii="宋体" w:hAnsi="宋体"/>
                <w:b/>
                <w:szCs w:val="21"/>
              </w:rPr>
            </w:pPr>
          </w:p>
        </w:tc>
      </w:tr>
      <w:tr w14:paraId="47BD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328B340E">
            <w:pPr>
              <w:spacing w:line="360" w:lineRule="exact"/>
              <w:jc w:val="center"/>
              <w:rPr>
                <w:rFonts w:ascii="宋体" w:hAnsi="宋体"/>
                <w:szCs w:val="21"/>
              </w:rPr>
            </w:pPr>
            <w:r>
              <w:rPr>
                <w:rFonts w:hint="eastAsia" w:ascii="宋体" w:hAnsi="宋体"/>
                <w:szCs w:val="21"/>
              </w:rPr>
              <w:t>商务部分</w:t>
            </w:r>
          </w:p>
        </w:tc>
        <w:tc>
          <w:tcPr>
            <w:tcW w:w="4854" w:type="dxa"/>
          </w:tcPr>
          <w:p w14:paraId="318C31DA">
            <w:pPr>
              <w:spacing w:line="360" w:lineRule="exact"/>
              <w:jc w:val="center"/>
              <w:rPr>
                <w:rFonts w:ascii="宋体" w:hAnsi="宋体"/>
                <w:szCs w:val="21"/>
              </w:rPr>
            </w:pPr>
            <w:r>
              <w:rPr>
                <w:rFonts w:hint="eastAsia" w:ascii="宋体" w:hAnsi="宋体"/>
                <w:szCs w:val="21"/>
              </w:rPr>
              <w:t>1.……</w:t>
            </w:r>
          </w:p>
        </w:tc>
        <w:tc>
          <w:tcPr>
            <w:tcW w:w="2169" w:type="dxa"/>
            <w:vAlign w:val="center"/>
          </w:tcPr>
          <w:p w14:paraId="3E6C1F42">
            <w:pPr>
              <w:spacing w:line="360" w:lineRule="exact"/>
              <w:jc w:val="center"/>
              <w:rPr>
                <w:rFonts w:ascii="宋体" w:hAnsi="宋体"/>
                <w:b/>
                <w:szCs w:val="21"/>
              </w:rPr>
            </w:pPr>
          </w:p>
        </w:tc>
        <w:tc>
          <w:tcPr>
            <w:tcW w:w="1472" w:type="dxa"/>
            <w:vAlign w:val="center"/>
          </w:tcPr>
          <w:p w14:paraId="368E1D16">
            <w:pPr>
              <w:spacing w:line="360" w:lineRule="exact"/>
              <w:jc w:val="center"/>
              <w:rPr>
                <w:rFonts w:ascii="宋体" w:hAnsi="宋体"/>
                <w:b/>
                <w:szCs w:val="21"/>
              </w:rPr>
            </w:pPr>
          </w:p>
        </w:tc>
      </w:tr>
      <w:tr w14:paraId="650A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499BFC7B">
            <w:pPr>
              <w:spacing w:line="360" w:lineRule="exact"/>
              <w:jc w:val="center"/>
              <w:rPr>
                <w:rFonts w:ascii="宋体" w:hAnsi="宋体"/>
                <w:szCs w:val="21"/>
              </w:rPr>
            </w:pPr>
          </w:p>
        </w:tc>
        <w:tc>
          <w:tcPr>
            <w:tcW w:w="4854" w:type="dxa"/>
          </w:tcPr>
          <w:p w14:paraId="2F603F86">
            <w:pPr>
              <w:spacing w:line="360" w:lineRule="exact"/>
              <w:jc w:val="center"/>
              <w:rPr>
                <w:rFonts w:ascii="宋体" w:hAnsi="宋体"/>
                <w:szCs w:val="21"/>
              </w:rPr>
            </w:pPr>
            <w:r>
              <w:rPr>
                <w:rFonts w:hint="eastAsia" w:ascii="宋体" w:hAnsi="宋体"/>
                <w:szCs w:val="21"/>
              </w:rPr>
              <w:t>2.……</w:t>
            </w:r>
          </w:p>
        </w:tc>
        <w:tc>
          <w:tcPr>
            <w:tcW w:w="2169" w:type="dxa"/>
            <w:vAlign w:val="center"/>
          </w:tcPr>
          <w:p w14:paraId="0D12EA3B">
            <w:pPr>
              <w:spacing w:line="360" w:lineRule="exact"/>
              <w:jc w:val="center"/>
              <w:rPr>
                <w:rFonts w:ascii="宋体" w:hAnsi="宋体"/>
                <w:b/>
                <w:szCs w:val="21"/>
              </w:rPr>
            </w:pPr>
          </w:p>
        </w:tc>
        <w:tc>
          <w:tcPr>
            <w:tcW w:w="1472" w:type="dxa"/>
            <w:vAlign w:val="center"/>
          </w:tcPr>
          <w:p w14:paraId="12405AF3">
            <w:pPr>
              <w:spacing w:line="360" w:lineRule="exact"/>
              <w:jc w:val="center"/>
              <w:rPr>
                <w:rFonts w:ascii="宋体" w:hAnsi="宋体"/>
                <w:b/>
                <w:szCs w:val="21"/>
              </w:rPr>
            </w:pPr>
          </w:p>
        </w:tc>
      </w:tr>
      <w:tr w14:paraId="71D7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DDBCD66">
            <w:pPr>
              <w:spacing w:line="360" w:lineRule="exact"/>
              <w:jc w:val="center"/>
              <w:rPr>
                <w:rFonts w:ascii="宋体" w:hAnsi="宋体"/>
                <w:szCs w:val="21"/>
              </w:rPr>
            </w:pPr>
          </w:p>
        </w:tc>
        <w:tc>
          <w:tcPr>
            <w:tcW w:w="4854" w:type="dxa"/>
          </w:tcPr>
          <w:p w14:paraId="4537B24D">
            <w:pPr>
              <w:spacing w:line="360" w:lineRule="exact"/>
              <w:jc w:val="center"/>
              <w:rPr>
                <w:rFonts w:ascii="宋体" w:hAnsi="宋体"/>
                <w:szCs w:val="21"/>
              </w:rPr>
            </w:pPr>
            <w:r>
              <w:rPr>
                <w:rFonts w:hint="eastAsia" w:ascii="宋体" w:hAnsi="宋体"/>
                <w:szCs w:val="21"/>
              </w:rPr>
              <w:t>……</w:t>
            </w:r>
          </w:p>
        </w:tc>
        <w:tc>
          <w:tcPr>
            <w:tcW w:w="2169" w:type="dxa"/>
            <w:vAlign w:val="center"/>
          </w:tcPr>
          <w:p w14:paraId="1C23659E">
            <w:pPr>
              <w:spacing w:line="360" w:lineRule="exact"/>
              <w:jc w:val="center"/>
              <w:rPr>
                <w:rFonts w:ascii="宋体" w:hAnsi="宋体"/>
                <w:b/>
                <w:szCs w:val="21"/>
              </w:rPr>
            </w:pPr>
          </w:p>
        </w:tc>
        <w:tc>
          <w:tcPr>
            <w:tcW w:w="1472" w:type="dxa"/>
            <w:vAlign w:val="center"/>
          </w:tcPr>
          <w:p w14:paraId="0C9B6BBF">
            <w:pPr>
              <w:spacing w:line="360" w:lineRule="exact"/>
              <w:jc w:val="center"/>
              <w:rPr>
                <w:rFonts w:ascii="宋体" w:hAnsi="宋体"/>
                <w:b/>
                <w:szCs w:val="21"/>
              </w:rPr>
            </w:pPr>
          </w:p>
        </w:tc>
      </w:tr>
    </w:tbl>
    <w:p w14:paraId="16750215">
      <w:pPr>
        <w:pStyle w:val="28"/>
        <w:spacing w:line="360" w:lineRule="auto"/>
        <w:ind w:firstLine="424" w:firstLineChars="201"/>
        <w:rPr>
          <w:rFonts w:hAnsi="宋体"/>
          <w:b/>
          <w:szCs w:val="21"/>
        </w:rPr>
      </w:pPr>
    </w:p>
    <w:p w14:paraId="6460C9FA">
      <w:pPr>
        <w:pStyle w:val="28"/>
        <w:spacing w:line="360" w:lineRule="auto"/>
        <w:ind w:firstLine="424" w:firstLineChars="201"/>
        <w:rPr>
          <w:b/>
        </w:rPr>
      </w:pPr>
      <w:r>
        <w:rPr>
          <w:rFonts w:hint="eastAsia" w:hAnsi="宋体"/>
          <w:b/>
          <w:szCs w:val="21"/>
        </w:rPr>
        <w:t>注：请供应商按照采购文件规定的审查和评分内容，自上而下的顺序填写本表</w:t>
      </w:r>
      <w:r>
        <w:rPr>
          <w:rFonts w:hint="eastAsia"/>
          <w:b/>
          <w:szCs w:val="21"/>
        </w:rPr>
        <w:t>。因项目次序混乱而影响评审结果者，供应商自负其责。</w:t>
      </w:r>
    </w:p>
    <w:p w14:paraId="6870CD2E">
      <w:pPr>
        <w:pStyle w:val="3"/>
        <w:jc w:val="center"/>
      </w:pPr>
    </w:p>
    <w:p w14:paraId="4C8ADB25"/>
    <w:p w14:paraId="566FBC19"/>
    <w:p w14:paraId="7CFE5662"/>
    <w:p w14:paraId="585871D6"/>
    <w:p w14:paraId="1FB33254"/>
    <w:p w14:paraId="646A7F9A"/>
    <w:p w14:paraId="07192CDD"/>
    <w:p w14:paraId="4376DB4D"/>
    <w:p w14:paraId="5102DB58"/>
    <w:p w14:paraId="528D41E6"/>
    <w:p w14:paraId="2AD9D726">
      <w:pPr>
        <w:widowControl/>
        <w:jc w:val="left"/>
      </w:pPr>
      <w:r>
        <w:br w:type="page"/>
      </w:r>
    </w:p>
    <w:p w14:paraId="674382DF"/>
    <w:p w14:paraId="4A95FD46">
      <w:pPr>
        <w:pStyle w:val="6"/>
        <w:numPr>
          <w:ilvl w:val="0"/>
          <w:numId w:val="0"/>
        </w:numPr>
        <w:tabs>
          <w:tab w:val="clear" w:pos="2111"/>
        </w:tabs>
        <w:spacing w:before="120" w:after="120"/>
        <w:ind w:left="-1" w:leftChars="-1" w:hanging="1"/>
        <w:jc w:val="center"/>
        <w:rPr>
          <w:rFonts w:ascii="宋体" w:hAnsi="宋体"/>
          <w:snapToGrid w:val="0"/>
          <w:kern w:val="0"/>
          <w:sz w:val="24"/>
        </w:rPr>
      </w:pPr>
      <w:bookmarkStart w:id="52" w:name="_Toc44690432"/>
      <w:bookmarkStart w:id="53" w:name="_Toc44691164"/>
      <w:bookmarkStart w:id="54" w:name="_Toc44690705"/>
      <w:bookmarkStart w:id="55" w:name="_Toc44691396"/>
      <w:r>
        <w:rPr>
          <w:rFonts w:hint="eastAsia" w:ascii="宋体" w:hAnsi="宋体"/>
          <w:sz w:val="24"/>
        </w:rPr>
        <w:t>格式1  供应商资格证明文件</w:t>
      </w:r>
      <w:bookmarkEnd w:id="52"/>
      <w:bookmarkEnd w:id="53"/>
      <w:bookmarkEnd w:id="54"/>
      <w:bookmarkEnd w:id="55"/>
    </w:p>
    <w:p w14:paraId="04866C44">
      <w:pPr>
        <w:adjustRightInd w:val="0"/>
        <w:snapToGrid w:val="0"/>
        <w:spacing w:line="360" w:lineRule="auto"/>
        <w:rPr>
          <w:rFonts w:ascii="宋体" w:hAnsi="宋体"/>
          <w:bCs/>
          <w:snapToGrid w:val="0"/>
          <w:kern w:val="0"/>
          <w:szCs w:val="21"/>
        </w:rPr>
      </w:pPr>
    </w:p>
    <w:p w14:paraId="08BD2067">
      <w:pPr>
        <w:adjustRightInd w:val="0"/>
        <w:snapToGrid w:val="0"/>
        <w:spacing w:line="360" w:lineRule="auto"/>
        <w:ind w:firstLine="424" w:firstLineChars="202"/>
        <w:rPr>
          <w:rFonts w:ascii="宋体" w:hAnsi="宋体"/>
          <w:bCs/>
          <w:snapToGrid w:val="0"/>
          <w:kern w:val="0"/>
          <w:szCs w:val="21"/>
        </w:rPr>
      </w:pPr>
      <w:r>
        <w:rPr>
          <w:rFonts w:hint="eastAsia" w:ascii="宋体" w:hAnsi="宋体"/>
          <w:bCs/>
          <w:snapToGrid w:val="0"/>
          <w:kern w:val="0"/>
          <w:szCs w:val="21"/>
        </w:rPr>
        <w:t>1、</w:t>
      </w:r>
      <w:r>
        <w:rPr>
          <w:rFonts w:ascii="宋体" w:hAnsi="宋体"/>
          <w:bCs/>
          <w:snapToGrid w:val="0"/>
          <w:kern w:val="0"/>
          <w:szCs w:val="21"/>
        </w:rPr>
        <w:t>营业执照</w:t>
      </w:r>
      <w:r>
        <w:rPr>
          <w:rFonts w:hint="eastAsia" w:ascii="宋体" w:hAnsi="宋体"/>
          <w:bCs/>
          <w:snapToGrid w:val="0"/>
          <w:kern w:val="0"/>
          <w:szCs w:val="21"/>
        </w:rPr>
        <w:t>或法人证书</w:t>
      </w:r>
      <w:r>
        <w:rPr>
          <w:rFonts w:hint="eastAsia" w:hAnsi="宋体"/>
          <w:szCs w:val="21"/>
        </w:rPr>
        <w:t>等证明材料</w:t>
      </w:r>
      <w:r>
        <w:rPr>
          <w:rFonts w:hint="eastAsia" w:ascii="宋体" w:hAnsi="宋体"/>
          <w:bCs/>
          <w:snapToGrid w:val="0"/>
          <w:kern w:val="0"/>
          <w:szCs w:val="21"/>
        </w:rPr>
        <w:t>（复印件或扫描件）</w:t>
      </w:r>
    </w:p>
    <w:p w14:paraId="351D6D31">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ascii="宋体" w:hAnsi="宋体" w:eastAsia="宋体" w:cs="宋体"/>
          <w:color w:val="auto"/>
          <w:sz w:val="21"/>
          <w:szCs w:val="21"/>
          <w:highlight w:val="none"/>
          <w:lang w:val="en-US" w:eastAsia="zh-CN"/>
        </w:rPr>
        <w:t>参与政府采购活动及履约承诺函</w:t>
      </w:r>
    </w:p>
    <w:p w14:paraId="11354938">
      <w:pPr>
        <w:adjustRightInd w:val="0"/>
        <w:snapToGrid w:val="0"/>
        <w:spacing w:line="360" w:lineRule="auto"/>
        <w:ind w:firstLine="424" w:firstLineChars="202"/>
        <w:rPr>
          <w:rFonts w:ascii="宋体" w:hAnsi="宋体"/>
        </w:rPr>
      </w:pPr>
      <w:r>
        <w:rPr>
          <w:rFonts w:hint="eastAsia" w:ascii="宋体" w:hAnsi="宋体"/>
        </w:rPr>
        <w:t>3、其它资格证明材料（如有，按第一章采购邀请“申请人的资格要求”提供）</w:t>
      </w:r>
    </w:p>
    <w:p w14:paraId="5847DDE8">
      <w:pPr>
        <w:adjustRightInd w:val="0"/>
        <w:snapToGrid w:val="0"/>
        <w:spacing w:line="360" w:lineRule="auto"/>
        <w:rPr>
          <w:rFonts w:ascii="宋体" w:hAnsi="宋体"/>
          <w:bCs/>
          <w:snapToGrid w:val="0"/>
          <w:kern w:val="0"/>
        </w:rPr>
      </w:pPr>
    </w:p>
    <w:p w14:paraId="3088CBD1">
      <w:pPr>
        <w:adjustRightInd w:val="0"/>
        <w:snapToGrid w:val="0"/>
        <w:spacing w:line="360" w:lineRule="auto"/>
        <w:ind w:firstLine="424" w:firstLineChars="201"/>
        <w:rPr>
          <w:rFonts w:ascii="楷体_GB2312" w:eastAsia="楷体_GB2312"/>
          <w:b/>
          <w:bCs/>
          <w:snapToGrid w:val="0"/>
          <w:kern w:val="0"/>
          <w:szCs w:val="21"/>
        </w:rPr>
      </w:pPr>
      <w:r>
        <w:rPr>
          <w:rFonts w:hint="eastAsia" w:ascii="楷体_GB2312" w:eastAsia="楷体_GB2312"/>
          <w:b/>
          <w:bCs/>
          <w:snapToGrid w:val="0"/>
          <w:kern w:val="0"/>
          <w:szCs w:val="21"/>
        </w:rPr>
        <w:t>注：供应商提供的以上资料若为复印件或扫描件需加盖公章</w:t>
      </w:r>
    </w:p>
    <w:p w14:paraId="6229FEBE">
      <w:pPr>
        <w:adjustRightInd w:val="0"/>
        <w:snapToGrid w:val="0"/>
        <w:spacing w:line="300" w:lineRule="auto"/>
        <w:jc w:val="right"/>
        <w:rPr>
          <w:snapToGrid w:val="0"/>
          <w:kern w:val="0"/>
        </w:rPr>
      </w:pPr>
    </w:p>
    <w:p w14:paraId="79B05772">
      <w:pPr>
        <w:adjustRightInd w:val="0"/>
        <w:snapToGrid w:val="0"/>
        <w:spacing w:line="300" w:lineRule="auto"/>
        <w:jc w:val="center"/>
        <w:rPr>
          <w:b/>
          <w:snapToGrid w:val="0"/>
          <w:sz w:val="32"/>
          <w:szCs w:val="32"/>
        </w:rPr>
      </w:pPr>
    </w:p>
    <w:p w14:paraId="4D913322">
      <w:pPr>
        <w:adjustRightInd w:val="0"/>
        <w:snapToGrid w:val="0"/>
        <w:spacing w:line="300" w:lineRule="auto"/>
        <w:jc w:val="center"/>
        <w:rPr>
          <w:b/>
          <w:snapToGrid w:val="0"/>
          <w:sz w:val="32"/>
          <w:szCs w:val="32"/>
        </w:rPr>
      </w:pPr>
    </w:p>
    <w:p w14:paraId="4FC5FA4E">
      <w:pPr>
        <w:adjustRightInd w:val="0"/>
        <w:snapToGrid w:val="0"/>
        <w:spacing w:line="300" w:lineRule="auto"/>
        <w:jc w:val="center"/>
        <w:rPr>
          <w:b/>
          <w:snapToGrid w:val="0"/>
          <w:sz w:val="32"/>
          <w:szCs w:val="32"/>
        </w:rPr>
      </w:pPr>
    </w:p>
    <w:p w14:paraId="1900CFE3">
      <w:pPr>
        <w:adjustRightInd w:val="0"/>
        <w:snapToGrid w:val="0"/>
        <w:spacing w:line="300" w:lineRule="auto"/>
        <w:jc w:val="center"/>
        <w:rPr>
          <w:b/>
          <w:snapToGrid w:val="0"/>
          <w:sz w:val="32"/>
          <w:szCs w:val="32"/>
        </w:rPr>
      </w:pPr>
    </w:p>
    <w:p w14:paraId="7D21F943">
      <w:pPr>
        <w:adjustRightInd w:val="0"/>
        <w:snapToGrid w:val="0"/>
        <w:spacing w:line="300" w:lineRule="auto"/>
        <w:jc w:val="center"/>
        <w:rPr>
          <w:b/>
          <w:snapToGrid w:val="0"/>
          <w:sz w:val="32"/>
          <w:szCs w:val="32"/>
        </w:rPr>
      </w:pPr>
    </w:p>
    <w:p w14:paraId="2F4A0F87">
      <w:pPr>
        <w:adjustRightInd w:val="0"/>
        <w:snapToGrid w:val="0"/>
        <w:spacing w:line="300" w:lineRule="auto"/>
        <w:jc w:val="center"/>
        <w:rPr>
          <w:b/>
          <w:snapToGrid w:val="0"/>
          <w:sz w:val="32"/>
          <w:szCs w:val="32"/>
        </w:rPr>
      </w:pPr>
    </w:p>
    <w:p w14:paraId="7B4555E3">
      <w:pPr>
        <w:adjustRightInd w:val="0"/>
        <w:snapToGrid w:val="0"/>
        <w:spacing w:line="300" w:lineRule="auto"/>
        <w:jc w:val="center"/>
        <w:rPr>
          <w:b/>
          <w:snapToGrid w:val="0"/>
          <w:sz w:val="32"/>
          <w:szCs w:val="32"/>
        </w:rPr>
      </w:pPr>
    </w:p>
    <w:p w14:paraId="15E7E08D">
      <w:pPr>
        <w:adjustRightInd w:val="0"/>
        <w:snapToGrid w:val="0"/>
        <w:spacing w:line="300" w:lineRule="auto"/>
        <w:jc w:val="center"/>
        <w:rPr>
          <w:b/>
          <w:snapToGrid w:val="0"/>
          <w:sz w:val="32"/>
          <w:szCs w:val="32"/>
        </w:rPr>
      </w:pPr>
    </w:p>
    <w:p w14:paraId="6A5B9532">
      <w:pPr>
        <w:adjustRightInd w:val="0"/>
        <w:snapToGrid w:val="0"/>
        <w:spacing w:line="300" w:lineRule="auto"/>
        <w:jc w:val="center"/>
        <w:rPr>
          <w:b/>
          <w:snapToGrid w:val="0"/>
          <w:sz w:val="32"/>
          <w:szCs w:val="32"/>
        </w:rPr>
      </w:pPr>
    </w:p>
    <w:p w14:paraId="3E658B1C">
      <w:pPr>
        <w:adjustRightInd w:val="0"/>
        <w:snapToGrid w:val="0"/>
        <w:spacing w:line="300" w:lineRule="auto"/>
        <w:jc w:val="center"/>
        <w:rPr>
          <w:b/>
          <w:snapToGrid w:val="0"/>
          <w:sz w:val="32"/>
          <w:szCs w:val="32"/>
        </w:rPr>
      </w:pPr>
    </w:p>
    <w:p w14:paraId="3CCCC40E">
      <w:pPr>
        <w:adjustRightInd w:val="0"/>
        <w:snapToGrid w:val="0"/>
        <w:spacing w:line="300" w:lineRule="auto"/>
        <w:jc w:val="center"/>
        <w:rPr>
          <w:b/>
          <w:snapToGrid w:val="0"/>
          <w:sz w:val="32"/>
          <w:szCs w:val="32"/>
        </w:rPr>
      </w:pPr>
    </w:p>
    <w:p w14:paraId="5E0D50F0">
      <w:pPr>
        <w:adjustRightInd w:val="0"/>
        <w:snapToGrid w:val="0"/>
        <w:spacing w:line="300" w:lineRule="auto"/>
        <w:jc w:val="center"/>
        <w:rPr>
          <w:b/>
          <w:snapToGrid w:val="0"/>
          <w:sz w:val="32"/>
          <w:szCs w:val="32"/>
        </w:rPr>
      </w:pPr>
    </w:p>
    <w:p w14:paraId="48D2830A">
      <w:pPr>
        <w:adjustRightInd w:val="0"/>
        <w:snapToGrid w:val="0"/>
        <w:spacing w:line="300" w:lineRule="auto"/>
        <w:jc w:val="center"/>
        <w:rPr>
          <w:b/>
          <w:snapToGrid w:val="0"/>
          <w:sz w:val="32"/>
          <w:szCs w:val="32"/>
        </w:rPr>
      </w:pPr>
    </w:p>
    <w:p w14:paraId="7FF5D696">
      <w:pPr>
        <w:adjustRightInd w:val="0"/>
        <w:snapToGrid w:val="0"/>
        <w:spacing w:line="300" w:lineRule="auto"/>
        <w:jc w:val="center"/>
        <w:rPr>
          <w:b/>
          <w:snapToGrid w:val="0"/>
          <w:sz w:val="32"/>
          <w:szCs w:val="32"/>
        </w:rPr>
      </w:pPr>
    </w:p>
    <w:p w14:paraId="058F64FE">
      <w:pPr>
        <w:adjustRightInd w:val="0"/>
        <w:snapToGrid w:val="0"/>
        <w:spacing w:line="300" w:lineRule="auto"/>
        <w:jc w:val="center"/>
        <w:rPr>
          <w:b/>
          <w:snapToGrid w:val="0"/>
          <w:sz w:val="32"/>
          <w:szCs w:val="32"/>
        </w:rPr>
      </w:pPr>
    </w:p>
    <w:p w14:paraId="18F68C75">
      <w:pPr>
        <w:adjustRightInd w:val="0"/>
        <w:snapToGrid w:val="0"/>
        <w:spacing w:line="300" w:lineRule="auto"/>
        <w:jc w:val="center"/>
        <w:rPr>
          <w:b/>
          <w:snapToGrid w:val="0"/>
          <w:sz w:val="32"/>
          <w:szCs w:val="32"/>
        </w:rPr>
      </w:pPr>
    </w:p>
    <w:p w14:paraId="00DE39B5">
      <w:pPr>
        <w:adjustRightInd w:val="0"/>
        <w:snapToGrid w:val="0"/>
        <w:spacing w:line="300" w:lineRule="auto"/>
        <w:jc w:val="center"/>
        <w:rPr>
          <w:b/>
          <w:snapToGrid w:val="0"/>
          <w:sz w:val="32"/>
          <w:szCs w:val="32"/>
        </w:rPr>
      </w:pPr>
    </w:p>
    <w:p w14:paraId="6FDBC61C">
      <w:pPr>
        <w:adjustRightInd w:val="0"/>
        <w:snapToGrid w:val="0"/>
        <w:spacing w:line="300" w:lineRule="auto"/>
        <w:jc w:val="center"/>
        <w:rPr>
          <w:b/>
          <w:snapToGrid w:val="0"/>
          <w:sz w:val="32"/>
          <w:szCs w:val="32"/>
        </w:rPr>
      </w:pPr>
    </w:p>
    <w:p w14:paraId="3EAE5874">
      <w:pPr>
        <w:adjustRightInd w:val="0"/>
        <w:snapToGrid w:val="0"/>
        <w:spacing w:line="300" w:lineRule="auto"/>
        <w:jc w:val="center"/>
        <w:rPr>
          <w:b/>
          <w:snapToGrid w:val="0"/>
          <w:sz w:val="32"/>
          <w:szCs w:val="32"/>
        </w:rPr>
      </w:pPr>
    </w:p>
    <w:p w14:paraId="045BD315">
      <w:pPr>
        <w:widowControl/>
        <w:jc w:val="left"/>
        <w:rPr>
          <w:b/>
          <w:snapToGrid w:val="0"/>
          <w:sz w:val="32"/>
          <w:szCs w:val="32"/>
        </w:rPr>
      </w:pPr>
      <w:r>
        <w:rPr>
          <w:b/>
          <w:snapToGrid w:val="0"/>
          <w:sz w:val="32"/>
          <w:szCs w:val="32"/>
        </w:rPr>
        <w:br w:type="page"/>
      </w:r>
    </w:p>
    <w:p w14:paraId="3E0F98D3">
      <w:pPr>
        <w:adjustRightInd w:val="0"/>
        <w:snapToGrid w:val="0"/>
        <w:spacing w:line="300" w:lineRule="auto"/>
        <w:jc w:val="center"/>
        <w:rPr>
          <w:b/>
          <w:snapToGrid w:val="0"/>
          <w:sz w:val="32"/>
          <w:szCs w:val="32"/>
        </w:rPr>
      </w:pPr>
    </w:p>
    <w:p w14:paraId="59E1A8E6">
      <w:pPr>
        <w:adjustRightInd w:val="0"/>
        <w:spacing w:line="300" w:lineRule="auto"/>
        <w:ind w:hanging="2"/>
        <w:jc w:val="center"/>
      </w:pPr>
      <w:r>
        <w:rPr>
          <w:rFonts w:hint="eastAsia"/>
          <w:b/>
          <w:snapToGrid w:val="0"/>
          <w:kern w:val="0"/>
          <w:sz w:val="28"/>
        </w:rPr>
        <w:t>参与政府采购活动及履约承诺函</w:t>
      </w:r>
    </w:p>
    <w:p w14:paraId="717CE3E9">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42E7FA89">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1773C361">
      <w:pPr>
        <w:numPr>
          <w:ilvl w:val="0"/>
          <w:numId w:val="0"/>
        </w:numPr>
        <w:spacing w:line="400" w:lineRule="exact"/>
        <w:ind w:left="0" w:leftChars="0" w:firstLine="420" w:firstLineChars="200"/>
        <w:rPr>
          <w:rFonts w:hint="eastAsia" w:asciiTheme="minorEastAsia" w:hAnsiTheme="minorEastAsia" w:eastAsiaTheme="minorEastAsia"/>
          <w:snapToGrid w:val="0"/>
          <w:color w:val="auto"/>
          <w:sz w:val="21"/>
          <w:lang w:eastAsia="zh-CN"/>
        </w:rPr>
      </w:pPr>
      <w:r>
        <w:rPr>
          <w:rFonts w:hint="eastAsia" w:ascii="宋体" w:hAnsi="宋体"/>
          <w:szCs w:val="21"/>
          <w:lang w:val="en-US" w:eastAsia="zh-CN"/>
        </w:rPr>
        <w:t>1.</w:t>
      </w:r>
      <w:r>
        <w:rPr>
          <w:rFonts w:hint="eastAsia" w:ascii="宋体" w:hAnsi="宋体"/>
          <w:szCs w:val="21"/>
        </w:rPr>
        <w:t>我单位</w:t>
      </w:r>
      <w:r>
        <w:rPr>
          <w:rFonts w:hint="eastAsia" w:asciiTheme="minorEastAsia" w:hAnsiTheme="minorEastAsia" w:eastAsiaTheme="minorEastAsia"/>
          <w:snapToGrid w:val="0"/>
          <w:color w:val="auto"/>
          <w:sz w:val="21"/>
        </w:rPr>
        <w:t>具备《中华人民共和国政府采购法》第二十二条第一款的条件</w:t>
      </w:r>
      <w:r>
        <w:rPr>
          <w:rFonts w:hint="eastAsia" w:asciiTheme="minorEastAsia" w:hAnsiTheme="minorEastAsia" w:eastAsiaTheme="minorEastAsia"/>
          <w:snapToGrid w:val="0"/>
          <w:color w:val="auto"/>
          <w:sz w:val="21"/>
          <w:lang w:eastAsia="zh-CN"/>
        </w:rPr>
        <w:t>。</w:t>
      </w:r>
    </w:p>
    <w:p w14:paraId="5BA7A5BA">
      <w:pPr>
        <w:numPr>
          <w:ilvl w:val="0"/>
          <w:numId w:val="0"/>
        </w:numPr>
        <w:spacing w:line="400" w:lineRule="exact"/>
        <w:ind w:left="0" w:leftChars="0" w:firstLine="420" w:firstLineChars="200"/>
        <w:rPr>
          <w:rFonts w:ascii="宋体" w:hAnsi="宋体"/>
          <w:szCs w:val="21"/>
        </w:rPr>
      </w:pPr>
      <w:r>
        <w:rPr>
          <w:rFonts w:hint="eastAsia" w:ascii="宋体" w:hAnsi="宋体"/>
          <w:szCs w:val="21"/>
          <w:lang w:val="en-US" w:eastAsia="zh-CN"/>
        </w:rPr>
        <w:t>2.</w:t>
      </w:r>
      <w:r>
        <w:rPr>
          <w:rFonts w:hint="eastAsia" w:ascii="宋体" w:hAnsi="宋体"/>
          <w:szCs w:val="21"/>
        </w:rPr>
        <w:t>我单位参与本项目</w:t>
      </w:r>
      <w:r>
        <w:rPr>
          <w:rFonts w:hint="eastAsia" w:asciiTheme="minorEastAsia" w:hAnsiTheme="minorEastAsia" w:eastAsiaTheme="minorEastAsia"/>
          <w:snapToGrid w:val="0"/>
        </w:rPr>
        <w:t>采购活动</w:t>
      </w:r>
      <w:r>
        <w:rPr>
          <w:rFonts w:hint="eastAsia" w:ascii="宋体" w:hAnsi="宋体"/>
          <w:szCs w:val="21"/>
        </w:rPr>
        <w:t>前三年内，在经营活动中没有重大违法记录。</w:t>
      </w:r>
    </w:p>
    <w:p w14:paraId="6DA00420">
      <w:pPr>
        <w:spacing w:line="400" w:lineRule="exact"/>
        <w:ind w:firstLine="420" w:firstLineChars="200"/>
      </w:pPr>
      <w:r>
        <w:rPr>
          <w:rFonts w:hint="eastAsia" w:ascii="宋体" w:hAnsi="宋体"/>
          <w:szCs w:val="21"/>
          <w:lang w:val="en-US" w:eastAsia="zh-CN"/>
        </w:rPr>
        <w:t>3</w:t>
      </w:r>
      <w:r>
        <w:rPr>
          <w:rFonts w:hint="eastAsia" w:ascii="宋体" w:hAnsi="宋体"/>
          <w:szCs w:val="21"/>
        </w:rPr>
        <w:t>.我单位参与本项目</w:t>
      </w:r>
      <w:r>
        <w:rPr>
          <w:rFonts w:hint="eastAsia"/>
        </w:rPr>
        <w:t>采购活动时不存在被有关部门禁止参与采购活动且在有效期内的情况。</w:t>
      </w:r>
    </w:p>
    <w:p w14:paraId="30B946C9">
      <w:pPr>
        <w:spacing w:line="400" w:lineRule="exact"/>
        <w:ind w:firstLine="420" w:firstLineChars="200"/>
        <w:rPr>
          <w:rFonts w:hint="eastAsia" w:ascii="宋体" w:hAnsi="宋体" w:cs="Courier New" w:eastAsiaTheme="minorEastAsia"/>
          <w:snapToGrid w:val="0"/>
          <w:szCs w:val="18"/>
          <w:lang w:val="en-US" w:eastAsia="zh-CN"/>
        </w:rPr>
      </w:pPr>
      <w:r>
        <w:rPr>
          <w:rFonts w:hint="eastAsia" w:ascii="宋体" w:hAnsi="宋体" w:cs="Courier New"/>
          <w:snapToGrid w:val="0"/>
          <w:szCs w:val="18"/>
          <w:lang w:val="en-US" w:eastAsia="zh-CN"/>
        </w:rPr>
        <w:t>4.我单位</w:t>
      </w:r>
      <w:r>
        <w:rPr>
          <w:rFonts w:hint="eastAsia" w:asciiTheme="minorEastAsia" w:hAnsiTheme="minorEastAsia" w:eastAsiaTheme="minorEastAsia"/>
          <w:snapToGrid w:val="0"/>
          <w:color w:val="auto"/>
          <w:sz w:val="21"/>
        </w:rPr>
        <w:t>未被列入失信被执行人、重大税收违法案件当事人名单、政府采购严重违法失信行为记录名单</w:t>
      </w:r>
      <w:r>
        <w:rPr>
          <w:rFonts w:hint="eastAsia" w:asciiTheme="minorEastAsia" w:hAnsiTheme="minorEastAsia" w:eastAsiaTheme="minorEastAsia"/>
          <w:snapToGrid w:val="0"/>
          <w:color w:val="auto"/>
          <w:sz w:val="21"/>
          <w:lang w:eastAsia="zh-CN"/>
        </w:rPr>
        <w:t>。</w:t>
      </w:r>
    </w:p>
    <w:p w14:paraId="5BF424DB">
      <w:pPr>
        <w:spacing w:line="400" w:lineRule="exact"/>
        <w:ind w:firstLine="420" w:firstLineChars="200"/>
        <w:rPr>
          <w:rFonts w:hint="eastAsia" w:asciiTheme="minorEastAsia" w:hAnsiTheme="minorEastAsia" w:eastAsiaTheme="minorEastAsia"/>
          <w:snapToGrid w:val="0"/>
          <w:color w:val="auto"/>
          <w:sz w:val="21"/>
          <w:lang w:eastAsia="zh-CN"/>
        </w:rPr>
      </w:pPr>
      <w:r>
        <w:rPr>
          <w:rFonts w:hint="eastAsia" w:ascii="宋体" w:hAnsi="宋体" w:cs="Courier New"/>
          <w:snapToGrid w:val="0"/>
          <w:szCs w:val="18"/>
          <w:lang w:val="en-US" w:eastAsia="zh-CN"/>
        </w:rPr>
        <w:t>5.我单位</w:t>
      </w:r>
      <w:r>
        <w:rPr>
          <w:rFonts w:hint="eastAsia" w:asciiTheme="minorEastAsia" w:hAnsiTheme="minorEastAsia" w:eastAsiaTheme="minorEastAsia"/>
          <w:snapToGrid w:val="0"/>
          <w:color w:val="auto"/>
          <w:sz w:val="21"/>
        </w:rPr>
        <w:t>不存在《深圳市财政局政府采购供应商信用信息管理办法》（深财规〔2023〕3号）列明的严重违法失信行为</w:t>
      </w:r>
      <w:r>
        <w:rPr>
          <w:rFonts w:hint="eastAsia" w:asciiTheme="minorEastAsia" w:hAnsiTheme="minorEastAsia" w:eastAsiaTheme="minorEastAsia"/>
          <w:snapToGrid w:val="0"/>
          <w:color w:val="auto"/>
          <w:sz w:val="21"/>
          <w:lang w:eastAsia="zh-CN"/>
        </w:rPr>
        <w:t>。</w:t>
      </w:r>
    </w:p>
    <w:p w14:paraId="230AF688">
      <w:pPr>
        <w:spacing w:line="400" w:lineRule="exact"/>
        <w:ind w:firstLine="420" w:firstLineChars="200"/>
        <w:rPr>
          <w:rFonts w:hint="eastAsia" w:asciiTheme="minorEastAsia" w:hAnsiTheme="minorEastAsia" w:eastAsiaTheme="minorEastAsia"/>
          <w:snapToGrid w:val="0"/>
          <w:color w:val="auto"/>
          <w:sz w:val="21"/>
          <w:lang w:eastAsia="zh-CN"/>
        </w:rPr>
      </w:pPr>
      <w:r>
        <w:rPr>
          <w:rFonts w:hint="eastAsia" w:asciiTheme="minorEastAsia" w:hAnsiTheme="minorEastAsia" w:eastAsiaTheme="minorEastAsia"/>
          <w:snapToGrid w:val="0"/>
          <w:color w:val="auto"/>
          <w:sz w:val="21"/>
          <w:lang w:val="en-US" w:eastAsia="zh-CN"/>
        </w:rPr>
        <w:t>6.我单位没有</w:t>
      </w:r>
      <w:r>
        <w:rPr>
          <w:rFonts w:hint="eastAsia" w:asciiTheme="minorEastAsia" w:hAnsiTheme="minorEastAsia" w:eastAsiaTheme="minorEastAsia"/>
          <w:snapToGrid w:val="0"/>
          <w:color w:val="auto"/>
          <w:sz w:val="21"/>
        </w:rPr>
        <w:t>为采购项目提供整体设计、规范编制或者项目管理、监理、检测等服务</w:t>
      </w:r>
      <w:r>
        <w:rPr>
          <w:rFonts w:hint="eastAsia" w:asciiTheme="minorEastAsia" w:hAnsiTheme="minorEastAsia" w:eastAsiaTheme="minorEastAsia"/>
          <w:snapToGrid w:val="0"/>
          <w:color w:val="auto"/>
          <w:sz w:val="21"/>
          <w:lang w:eastAsia="zh-CN"/>
        </w:rPr>
        <w:t>。</w:t>
      </w:r>
    </w:p>
    <w:p w14:paraId="28F41BBE">
      <w:pPr>
        <w:spacing w:line="400" w:lineRule="exact"/>
        <w:ind w:firstLine="420" w:firstLineChars="200"/>
        <w:rPr>
          <w:rFonts w:ascii="宋体" w:hAnsi="宋体"/>
          <w:szCs w:val="21"/>
        </w:rPr>
      </w:pPr>
      <w:r>
        <w:rPr>
          <w:rFonts w:hint="eastAsia" w:ascii="宋体" w:hAnsi="宋体"/>
          <w:szCs w:val="21"/>
          <w:lang w:val="en-US" w:eastAsia="zh-CN"/>
        </w:rPr>
        <w:t>7</w:t>
      </w:r>
      <w:r>
        <w:rPr>
          <w:rFonts w:hint="eastAsia" w:ascii="宋体" w:hAnsi="宋体"/>
          <w:szCs w:val="21"/>
        </w:rPr>
        <w:t>.我单位承诺非</w:t>
      </w:r>
      <w:r>
        <w:rPr>
          <w:rFonts w:hint="eastAsia" w:asciiTheme="minorEastAsia" w:hAnsiTheme="minorEastAsia" w:eastAsiaTheme="minorEastAsia"/>
          <w:snapToGrid w:val="0"/>
        </w:rPr>
        <w:t>联合体响应，</w:t>
      </w:r>
      <w:r>
        <w:rPr>
          <w:rFonts w:hint="eastAsia" w:ascii="宋体" w:hAnsi="宋体"/>
          <w:szCs w:val="21"/>
        </w:rPr>
        <w:t>不非法转包或分包。</w:t>
      </w:r>
    </w:p>
    <w:p w14:paraId="3E3D28C2">
      <w:pPr>
        <w:spacing w:line="400" w:lineRule="exact"/>
        <w:ind w:firstLine="420" w:firstLineChars="200"/>
        <w:rPr>
          <w:rFonts w:ascii="宋体" w:hAnsi="宋体"/>
          <w:szCs w:val="21"/>
        </w:rPr>
      </w:pPr>
      <w:r>
        <w:rPr>
          <w:rFonts w:hint="eastAsia" w:ascii="宋体" w:hAnsi="宋体"/>
          <w:szCs w:val="21"/>
          <w:lang w:val="en-US" w:eastAsia="zh-CN"/>
        </w:rPr>
        <w:t>8</w:t>
      </w:r>
      <w:r>
        <w:rPr>
          <w:rFonts w:hint="eastAsia" w:ascii="宋体" w:hAnsi="宋体"/>
          <w:szCs w:val="21"/>
        </w:rPr>
        <w:t>.我单位参与本项目所提供的货物或服务未侵犯知识产权。</w:t>
      </w:r>
    </w:p>
    <w:p w14:paraId="78140CD3">
      <w:pPr>
        <w:spacing w:line="400" w:lineRule="exact"/>
        <w:ind w:firstLine="420" w:firstLineChars="200"/>
        <w:rPr>
          <w:rFonts w:ascii="宋体" w:hAnsi="宋体"/>
          <w:szCs w:val="21"/>
        </w:rPr>
      </w:pPr>
      <w:r>
        <w:rPr>
          <w:rFonts w:hint="eastAsia" w:ascii="宋体" w:hAnsi="宋体"/>
          <w:szCs w:val="21"/>
          <w:lang w:val="en-US" w:eastAsia="zh-CN"/>
        </w:rPr>
        <w:t>9</w:t>
      </w:r>
      <w:r>
        <w:rPr>
          <w:rFonts w:hint="eastAsia" w:ascii="宋体" w:hAnsi="宋体"/>
          <w:szCs w:val="21"/>
        </w:rPr>
        <w:t>.我单位参与该项目响应，严格遵循公平竞争的原则，不妨碍其他</w:t>
      </w:r>
      <w:r>
        <w:rPr>
          <w:rFonts w:hint="eastAsia" w:ascii="宋体" w:hAnsi="宋体"/>
          <w:szCs w:val="21"/>
          <w:lang w:eastAsia="zh-CN"/>
        </w:rPr>
        <w:t>供应商</w:t>
      </w:r>
      <w:r>
        <w:rPr>
          <w:rFonts w:hint="eastAsia" w:ascii="宋体" w:hAnsi="宋体"/>
          <w:szCs w:val="21"/>
        </w:rPr>
        <w:t>的竞争行为，不损害采购人或者其他</w:t>
      </w:r>
      <w:r>
        <w:rPr>
          <w:rFonts w:hint="eastAsia" w:ascii="宋体" w:hAnsi="宋体"/>
          <w:szCs w:val="21"/>
          <w:lang w:eastAsia="zh-CN"/>
        </w:rPr>
        <w:t>供应商</w:t>
      </w:r>
      <w:r>
        <w:rPr>
          <w:rFonts w:hint="eastAsia" w:ascii="宋体" w:hAnsi="宋体"/>
          <w:szCs w:val="21"/>
        </w:rPr>
        <w:t>的合法权益，与其他采购参加人不存在串通投标情形：</w:t>
      </w:r>
    </w:p>
    <w:p w14:paraId="514944DB">
      <w:pPr>
        <w:spacing w:line="400" w:lineRule="exact"/>
        <w:ind w:firstLine="420" w:firstLineChars="200"/>
        <w:rPr>
          <w:rFonts w:ascii="宋体" w:hAnsi="宋体"/>
          <w:szCs w:val="21"/>
        </w:rPr>
      </w:pPr>
      <w:r>
        <w:rPr>
          <w:rFonts w:hint="eastAsia" w:ascii="宋体" w:hAnsi="宋体"/>
          <w:szCs w:val="21"/>
        </w:rPr>
        <w:t>（1）</w:t>
      </w:r>
      <w:r>
        <w:rPr>
          <w:rFonts w:hint="eastAsia" w:ascii="宋体" w:hAnsi="宋体"/>
          <w:szCs w:val="21"/>
          <w:lang w:eastAsia="zh-CN"/>
        </w:rPr>
        <w:t>供应商</w:t>
      </w:r>
      <w:r>
        <w:rPr>
          <w:rFonts w:hint="eastAsia" w:ascii="宋体" w:hAnsi="宋体"/>
          <w:szCs w:val="21"/>
        </w:rPr>
        <w:t>之间相互约定给予未中标的供应商利益补偿；</w:t>
      </w:r>
    </w:p>
    <w:p w14:paraId="5F209B19">
      <w:pPr>
        <w:spacing w:line="400" w:lineRule="exact"/>
        <w:ind w:firstLine="420" w:firstLineChars="200"/>
        <w:rPr>
          <w:rFonts w:ascii="宋体" w:hAnsi="宋体"/>
          <w:szCs w:val="21"/>
        </w:rPr>
      </w:pPr>
      <w:r>
        <w:rPr>
          <w:rFonts w:hint="eastAsia" w:ascii="宋体" w:hAnsi="宋体"/>
          <w:szCs w:val="21"/>
        </w:rPr>
        <w:t>（2）不同</w:t>
      </w:r>
      <w:r>
        <w:rPr>
          <w:rFonts w:hint="eastAsia" w:ascii="宋体" w:hAnsi="宋体"/>
          <w:szCs w:val="21"/>
          <w:lang w:eastAsia="zh-CN"/>
        </w:rPr>
        <w:t>供应商</w:t>
      </w:r>
      <w:r>
        <w:rPr>
          <w:rFonts w:hint="eastAsia" w:ascii="宋体" w:hAnsi="宋体"/>
          <w:szCs w:val="21"/>
        </w:rPr>
        <w:t>的法定代表人、主要经营负责人、项目投标授权代表人、项目负责人、主要技术人员为同一人、属同一单位或者在同一单位缴纳社会保险；</w:t>
      </w:r>
    </w:p>
    <w:p w14:paraId="61B7FDC4">
      <w:pPr>
        <w:spacing w:line="400" w:lineRule="exact"/>
        <w:ind w:firstLine="420" w:firstLineChars="200"/>
        <w:rPr>
          <w:rFonts w:ascii="宋体" w:hAnsi="宋体"/>
          <w:szCs w:val="21"/>
        </w:rPr>
      </w:pPr>
      <w:r>
        <w:rPr>
          <w:rFonts w:hint="eastAsia" w:ascii="宋体" w:hAnsi="宋体"/>
          <w:szCs w:val="21"/>
        </w:rPr>
        <w:t>（3）不同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由同一单位或者同一人编制，或者由同一人分阶段参与编制的；</w:t>
      </w:r>
    </w:p>
    <w:p w14:paraId="55024F24">
      <w:pPr>
        <w:spacing w:line="400" w:lineRule="exact"/>
        <w:ind w:firstLine="420" w:firstLineChars="200"/>
        <w:rPr>
          <w:rFonts w:ascii="宋体" w:hAnsi="宋体"/>
          <w:szCs w:val="21"/>
        </w:rPr>
      </w:pPr>
      <w:r>
        <w:rPr>
          <w:rFonts w:hint="eastAsia" w:ascii="宋体" w:hAnsi="宋体"/>
          <w:szCs w:val="21"/>
        </w:rPr>
        <w:t>（4）不同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或部分</w:t>
      </w:r>
      <w:r>
        <w:rPr>
          <w:rFonts w:hint="eastAsia" w:ascii="宋体" w:hAnsi="宋体"/>
          <w:szCs w:val="21"/>
          <w:lang w:eastAsia="zh-CN"/>
        </w:rPr>
        <w:t>响应文件</w:t>
      </w:r>
      <w:r>
        <w:rPr>
          <w:rFonts w:hint="eastAsia" w:ascii="宋体" w:hAnsi="宋体"/>
          <w:szCs w:val="21"/>
        </w:rPr>
        <w:t>相互混装；</w:t>
      </w:r>
    </w:p>
    <w:p w14:paraId="493FE03A">
      <w:pPr>
        <w:spacing w:line="400" w:lineRule="exact"/>
        <w:ind w:firstLine="420" w:firstLineChars="200"/>
        <w:rPr>
          <w:rFonts w:ascii="宋体" w:hAnsi="宋体"/>
          <w:szCs w:val="21"/>
        </w:rPr>
      </w:pPr>
      <w:r>
        <w:rPr>
          <w:rFonts w:hint="eastAsia" w:ascii="宋体" w:hAnsi="宋体"/>
          <w:szCs w:val="21"/>
        </w:rPr>
        <w:t>（5）不同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内容存在非正常一致；</w:t>
      </w:r>
    </w:p>
    <w:p w14:paraId="1DA20FE2">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47B3C364">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0E565DBB">
      <w:pPr>
        <w:spacing w:line="400" w:lineRule="exact"/>
        <w:ind w:firstLine="420" w:firstLineChars="200"/>
        <w:rPr>
          <w:rFonts w:ascii="宋体" w:hAnsi="宋体"/>
          <w:szCs w:val="21"/>
        </w:rPr>
      </w:pPr>
      <w:r>
        <w:rPr>
          <w:rFonts w:hint="eastAsia" w:ascii="宋体" w:hAnsi="宋体"/>
          <w:szCs w:val="21"/>
          <w:lang w:val="en-US" w:eastAsia="zh-CN"/>
        </w:rPr>
        <w:t>10</w:t>
      </w:r>
      <w:r>
        <w:rPr>
          <w:rFonts w:hint="eastAsia" w:ascii="宋体" w:hAnsi="宋体"/>
          <w:szCs w:val="21"/>
        </w:rPr>
        <w:t>.我单位如果成交，做到守信，不偷工减料，依照本项目采购文件需求内容、签署的采购合同及本单位在响应中所作的一切承诺履约。</w:t>
      </w:r>
    </w:p>
    <w:p w14:paraId="49B3CBD0">
      <w:pPr>
        <w:spacing w:line="400" w:lineRule="exact"/>
        <w:ind w:firstLine="420" w:firstLineChars="200"/>
        <w:rPr>
          <w:rFonts w:ascii="宋体" w:hAnsi="宋体"/>
          <w:szCs w:val="21"/>
        </w:rPr>
      </w:pPr>
      <w:r>
        <w:rPr>
          <w:rFonts w:hint="eastAsia" w:ascii="宋体" w:hAnsi="宋体"/>
          <w:szCs w:val="21"/>
          <w:lang w:val="en-US" w:eastAsia="zh-CN"/>
        </w:rPr>
        <w:t>11</w:t>
      </w:r>
      <w:r>
        <w:rPr>
          <w:rFonts w:hint="eastAsia" w:ascii="宋体" w:hAnsi="宋体"/>
          <w:szCs w:val="21"/>
        </w:rPr>
        <w:t>.我单位已认真核实了响应文件的全部内容，所有资料均为真实资料。我单位对响应文件中全部响应资料的真实性负责，如被证实我单位的响应文件中存在虚假资料的，则视为我单位隐瞒真实情况、提供虚假资料，我单位愿意接受主管部门作出的行政处罚。</w:t>
      </w:r>
    </w:p>
    <w:p w14:paraId="66226EC4">
      <w:pPr>
        <w:spacing w:line="400" w:lineRule="exact"/>
        <w:ind w:firstLine="420" w:firstLineChars="200"/>
        <w:rPr>
          <w:rFonts w:hint="default" w:ascii="宋体" w:hAnsi="宋体" w:eastAsia="宋体"/>
          <w:szCs w:val="21"/>
          <w:lang w:val="en-US" w:eastAsia="zh-CN"/>
        </w:rPr>
      </w:pPr>
      <w:r>
        <w:rPr>
          <w:rFonts w:hint="eastAsia" w:ascii="宋体" w:hAnsi="宋体"/>
          <w:szCs w:val="21"/>
          <w:lang w:val="en-US" w:eastAsia="zh-CN"/>
        </w:rPr>
        <w:t>12.我单位不存在有采购人临床医技科室负责人员和其他从事管理的人员及配偶、子女及其配偶，参与开办、入股（除上市公司非控制股东）或实际控制投标人单位的情形。</w:t>
      </w:r>
    </w:p>
    <w:p w14:paraId="132CFACE">
      <w:pPr>
        <w:spacing w:line="400" w:lineRule="exact"/>
        <w:ind w:firstLine="420" w:firstLineChars="200"/>
        <w:rPr>
          <w:rFonts w:ascii="宋体" w:hAnsi="宋体"/>
          <w:szCs w:val="21"/>
        </w:rPr>
      </w:pPr>
      <w:r>
        <w:rPr>
          <w:rFonts w:hint="eastAsia" w:ascii="宋体" w:hAnsi="宋体"/>
          <w:szCs w:val="21"/>
          <w:lang w:val="en-US" w:eastAsia="zh-CN"/>
        </w:rPr>
        <w:t>13.</w:t>
      </w:r>
      <w:r>
        <w:rPr>
          <w:rFonts w:hint="eastAsia" w:ascii="宋体" w:hAnsi="宋体"/>
          <w:szCs w:val="21"/>
        </w:rPr>
        <w:t>以上承诺，如有违反，愿依照相关法律法规处理，并承担由此给采购人带来的损失。</w:t>
      </w:r>
    </w:p>
    <w:p w14:paraId="072558B4">
      <w:pPr>
        <w:spacing w:line="360" w:lineRule="auto"/>
        <w:ind w:firstLine="600"/>
        <w:rPr>
          <w:rFonts w:cs="Courier New"/>
          <w:snapToGrid w:val="0"/>
          <w:szCs w:val="18"/>
        </w:rPr>
      </w:pPr>
    </w:p>
    <w:p w14:paraId="3179EAAC">
      <w:pPr>
        <w:adjustRightInd w:val="0"/>
        <w:snapToGrid w:val="0"/>
        <w:spacing w:line="300" w:lineRule="auto"/>
        <w:rPr>
          <w:snapToGrid w:val="0"/>
          <w:kern w:val="0"/>
        </w:rPr>
      </w:pPr>
      <w:r>
        <w:rPr>
          <w:rFonts w:hint="eastAsia"/>
          <w:snapToGrid w:val="0"/>
          <w:kern w:val="0"/>
        </w:rPr>
        <w:t>供应商：（盖章）</w:t>
      </w:r>
    </w:p>
    <w:p w14:paraId="02C6DC7E">
      <w:pPr>
        <w:adjustRightInd w:val="0"/>
        <w:snapToGrid w:val="0"/>
        <w:spacing w:line="300" w:lineRule="auto"/>
        <w:rPr>
          <w:snapToGrid w:val="0"/>
          <w:kern w:val="0"/>
        </w:rPr>
      </w:pPr>
    </w:p>
    <w:p w14:paraId="26BE48FC">
      <w:pPr>
        <w:adjustRightInd w:val="0"/>
        <w:snapToGrid w:val="0"/>
        <w:spacing w:line="300" w:lineRule="auto"/>
        <w:ind w:right="420"/>
        <w:rPr>
          <w:snapToGrid w:val="0"/>
          <w:kern w:val="0"/>
        </w:rPr>
      </w:pPr>
    </w:p>
    <w:p w14:paraId="54D50D37">
      <w:pPr>
        <w:adjustRightInd w:val="0"/>
        <w:snapToGrid w:val="0"/>
        <w:spacing w:line="360" w:lineRule="auto"/>
        <w:ind w:firstLine="600"/>
        <w:jc w:val="right"/>
        <w:rPr>
          <w:rFonts w:hint="eastAsia"/>
        </w:rPr>
      </w:pPr>
      <w:r>
        <w:rPr>
          <w:rFonts w:hint="eastAsia"/>
        </w:rPr>
        <w:t>年     月    日</w:t>
      </w:r>
    </w:p>
    <w:p w14:paraId="53047F2D">
      <w:pPr>
        <w:adjustRightInd w:val="0"/>
        <w:snapToGrid w:val="0"/>
        <w:spacing w:line="360" w:lineRule="auto"/>
        <w:ind w:firstLine="600"/>
        <w:jc w:val="right"/>
        <w:rPr>
          <w:rFonts w:hint="eastAsia"/>
        </w:rPr>
      </w:pPr>
    </w:p>
    <w:p w14:paraId="0A62F73E">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A5AEBDF">
      <w:pPr>
        <w:pStyle w:val="4"/>
        <w:adjustRightInd w:val="0"/>
        <w:spacing w:after="60" w:line="240" w:lineRule="auto"/>
        <w:textAlignment w:val="baseline"/>
        <w:rPr>
          <w:rFonts w:hint="eastAsia" w:ascii="宋体" w:hAnsi="宋体" w:eastAsia="宋体"/>
          <w:kern w:val="0"/>
          <w:sz w:val="24"/>
          <w:szCs w:val="20"/>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w:t>
      </w: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5714F672">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5A4C8989">
      <w:pPr>
        <w:spacing w:line="75" w:lineRule="exact"/>
        <w:rPr>
          <w:rFonts w:hint="eastAsia" w:ascii="宋体" w:hAnsi="宋体" w:eastAsia="宋体" w:cs="宋体"/>
          <w:sz w:val="21"/>
          <w:szCs w:val="21"/>
        </w:rPr>
      </w:pPr>
    </w:p>
    <w:tbl>
      <w:tblPr>
        <w:tblStyle w:val="515"/>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435C3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620A0922">
            <w:pPr>
              <w:pStyle w:val="514"/>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489B4F33">
            <w:pPr>
              <w:jc w:val="center"/>
              <w:rPr>
                <w:rFonts w:hint="eastAsia" w:ascii="宋体" w:hAnsi="宋体" w:eastAsia="宋体" w:cs="宋体"/>
                <w:sz w:val="21"/>
                <w:szCs w:val="21"/>
              </w:rPr>
            </w:pPr>
          </w:p>
        </w:tc>
        <w:tc>
          <w:tcPr>
            <w:tcW w:w="1990" w:type="dxa"/>
            <w:gridSpan w:val="2"/>
            <w:vAlign w:val="top"/>
          </w:tcPr>
          <w:p w14:paraId="17557824">
            <w:pPr>
              <w:pStyle w:val="514"/>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128ADB27">
            <w:pPr>
              <w:jc w:val="center"/>
              <w:rPr>
                <w:rFonts w:hint="eastAsia" w:ascii="宋体" w:hAnsi="宋体" w:eastAsia="宋体" w:cs="宋体"/>
                <w:sz w:val="21"/>
                <w:szCs w:val="21"/>
              </w:rPr>
            </w:pPr>
          </w:p>
        </w:tc>
      </w:tr>
      <w:tr w14:paraId="591F7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0719AC13">
            <w:pPr>
              <w:pStyle w:val="514"/>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7D92E3A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44965DF1">
            <w:pPr>
              <w:pStyle w:val="514"/>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7A3C00F9">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50F94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41F3078F">
            <w:pPr>
              <w:pStyle w:val="514"/>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42D51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FCF66C1">
            <w:pPr>
              <w:pStyle w:val="514"/>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2DA358F8">
            <w:pPr>
              <w:pStyle w:val="514"/>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2315FF05">
            <w:pPr>
              <w:pStyle w:val="514"/>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207AC81">
            <w:pPr>
              <w:pStyle w:val="514"/>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40436A4D">
            <w:pPr>
              <w:pStyle w:val="514"/>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4FC35F40">
            <w:pPr>
              <w:pStyle w:val="514"/>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19150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DB44C82">
            <w:pPr>
              <w:spacing w:line="252" w:lineRule="auto"/>
              <w:rPr>
                <w:rFonts w:hint="eastAsia" w:ascii="宋体" w:hAnsi="宋体" w:eastAsia="宋体" w:cs="宋体"/>
                <w:sz w:val="21"/>
                <w:szCs w:val="21"/>
              </w:rPr>
            </w:pPr>
          </w:p>
          <w:p w14:paraId="67FE9D4C">
            <w:pPr>
              <w:pStyle w:val="514"/>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BC83554">
            <w:pPr>
              <w:pStyle w:val="514"/>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04FFD620">
            <w:pPr>
              <w:jc w:val="center"/>
              <w:rPr>
                <w:rFonts w:hint="eastAsia" w:ascii="宋体" w:hAnsi="宋体" w:eastAsia="宋体" w:cs="宋体"/>
                <w:sz w:val="21"/>
                <w:szCs w:val="21"/>
              </w:rPr>
            </w:pPr>
          </w:p>
        </w:tc>
        <w:tc>
          <w:tcPr>
            <w:tcW w:w="1990" w:type="dxa"/>
            <w:gridSpan w:val="2"/>
            <w:vAlign w:val="center"/>
          </w:tcPr>
          <w:p w14:paraId="62FD9475">
            <w:pPr>
              <w:jc w:val="center"/>
              <w:rPr>
                <w:rFonts w:hint="eastAsia" w:ascii="宋体" w:hAnsi="宋体" w:eastAsia="宋体" w:cs="宋体"/>
                <w:sz w:val="21"/>
                <w:szCs w:val="21"/>
              </w:rPr>
            </w:pPr>
          </w:p>
        </w:tc>
        <w:tc>
          <w:tcPr>
            <w:tcW w:w="1499" w:type="dxa"/>
            <w:vAlign w:val="center"/>
          </w:tcPr>
          <w:p w14:paraId="60ADAA49">
            <w:pPr>
              <w:jc w:val="center"/>
              <w:rPr>
                <w:rFonts w:hint="eastAsia" w:ascii="宋体" w:hAnsi="宋体" w:eastAsia="宋体" w:cs="宋体"/>
                <w:sz w:val="21"/>
                <w:szCs w:val="21"/>
              </w:rPr>
            </w:pPr>
          </w:p>
        </w:tc>
        <w:tc>
          <w:tcPr>
            <w:tcW w:w="1489" w:type="dxa"/>
            <w:vAlign w:val="center"/>
          </w:tcPr>
          <w:p w14:paraId="33B1F13B">
            <w:pPr>
              <w:jc w:val="center"/>
              <w:rPr>
                <w:rFonts w:hint="eastAsia" w:ascii="宋体" w:hAnsi="宋体" w:eastAsia="宋体" w:cs="宋体"/>
                <w:sz w:val="21"/>
                <w:szCs w:val="21"/>
              </w:rPr>
            </w:pPr>
          </w:p>
        </w:tc>
      </w:tr>
      <w:tr w14:paraId="13BA6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66EE5373">
            <w:pPr>
              <w:pStyle w:val="514"/>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8346020">
            <w:pPr>
              <w:pStyle w:val="514"/>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02C57258">
            <w:pPr>
              <w:jc w:val="center"/>
              <w:rPr>
                <w:rFonts w:hint="eastAsia" w:ascii="宋体" w:hAnsi="宋体" w:eastAsia="宋体" w:cs="宋体"/>
                <w:sz w:val="21"/>
                <w:szCs w:val="21"/>
              </w:rPr>
            </w:pPr>
          </w:p>
        </w:tc>
        <w:tc>
          <w:tcPr>
            <w:tcW w:w="1990" w:type="dxa"/>
            <w:gridSpan w:val="2"/>
            <w:vAlign w:val="center"/>
          </w:tcPr>
          <w:p w14:paraId="736A76E7">
            <w:pPr>
              <w:jc w:val="center"/>
              <w:rPr>
                <w:rFonts w:hint="eastAsia" w:ascii="宋体" w:hAnsi="宋体" w:eastAsia="宋体" w:cs="宋体"/>
                <w:sz w:val="21"/>
                <w:szCs w:val="21"/>
              </w:rPr>
            </w:pPr>
          </w:p>
        </w:tc>
        <w:tc>
          <w:tcPr>
            <w:tcW w:w="1499" w:type="dxa"/>
            <w:vAlign w:val="center"/>
          </w:tcPr>
          <w:p w14:paraId="1E77BB68">
            <w:pPr>
              <w:jc w:val="center"/>
              <w:rPr>
                <w:rFonts w:hint="eastAsia" w:ascii="宋体" w:hAnsi="宋体" w:eastAsia="宋体" w:cs="宋体"/>
                <w:sz w:val="21"/>
                <w:szCs w:val="21"/>
              </w:rPr>
            </w:pPr>
          </w:p>
        </w:tc>
        <w:tc>
          <w:tcPr>
            <w:tcW w:w="1489" w:type="dxa"/>
            <w:vAlign w:val="center"/>
          </w:tcPr>
          <w:p w14:paraId="24E1CDFE">
            <w:pPr>
              <w:jc w:val="center"/>
              <w:rPr>
                <w:rFonts w:hint="eastAsia" w:ascii="宋体" w:hAnsi="宋体" w:eastAsia="宋体" w:cs="宋体"/>
                <w:sz w:val="21"/>
                <w:szCs w:val="21"/>
              </w:rPr>
            </w:pPr>
          </w:p>
        </w:tc>
      </w:tr>
      <w:tr w14:paraId="39AF4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61B64DEF">
            <w:pPr>
              <w:pStyle w:val="514"/>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85BEB48">
            <w:pPr>
              <w:pStyle w:val="514"/>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258C5DC1">
            <w:pPr>
              <w:jc w:val="center"/>
              <w:rPr>
                <w:rFonts w:hint="eastAsia" w:ascii="宋体" w:hAnsi="宋体" w:eastAsia="宋体" w:cs="宋体"/>
                <w:sz w:val="21"/>
                <w:szCs w:val="21"/>
              </w:rPr>
            </w:pPr>
          </w:p>
        </w:tc>
        <w:tc>
          <w:tcPr>
            <w:tcW w:w="1990" w:type="dxa"/>
            <w:gridSpan w:val="2"/>
            <w:vAlign w:val="center"/>
          </w:tcPr>
          <w:p w14:paraId="18AE053E">
            <w:pPr>
              <w:jc w:val="center"/>
              <w:rPr>
                <w:rFonts w:hint="eastAsia" w:ascii="宋体" w:hAnsi="宋体" w:eastAsia="宋体" w:cs="宋体"/>
                <w:sz w:val="21"/>
                <w:szCs w:val="21"/>
              </w:rPr>
            </w:pPr>
          </w:p>
        </w:tc>
        <w:tc>
          <w:tcPr>
            <w:tcW w:w="1499" w:type="dxa"/>
            <w:vAlign w:val="center"/>
          </w:tcPr>
          <w:p w14:paraId="666FED79">
            <w:pPr>
              <w:jc w:val="center"/>
              <w:rPr>
                <w:rFonts w:hint="eastAsia" w:ascii="宋体" w:hAnsi="宋体" w:eastAsia="宋体" w:cs="宋体"/>
                <w:sz w:val="21"/>
                <w:szCs w:val="21"/>
              </w:rPr>
            </w:pPr>
          </w:p>
        </w:tc>
        <w:tc>
          <w:tcPr>
            <w:tcW w:w="1489" w:type="dxa"/>
            <w:vAlign w:val="center"/>
          </w:tcPr>
          <w:p w14:paraId="57F2014C">
            <w:pPr>
              <w:jc w:val="center"/>
              <w:rPr>
                <w:rFonts w:hint="eastAsia" w:ascii="宋体" w:hAnsi="宋体" w:eastAsia="宋体" w:cs="宋体"/>
                <w:sz w:val="21"/>
                <w:szCs w:val="21"/>
              </w:rPr>
            </w:pPr>
          </w:p>
        </w:tc>
      </w:tr>
      <w:tr w14:paraId="6C54D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B1CBA41">
            <w:pPr>
              <w:pStyle w:val="514"/>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4B65B85">
            <w:pPr>
              <w:pStyle w:val="514"/>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2ED3DA36">
            <w:pPr>
              <w:jc w:val="center"/>
              <w:rPr>
                <w:rFonts w:hint="eastAsia" w:ascii="宋体" w:hAnsi="宋体" w:eastAsia="宋体" w:cs="宋体"/>
                <w:sz w:val="21"/>
                <w:szCs w:val="21"/>
              </w:rPr>
            </w:pPr>
          </w:p>
        </w:tc>
        <w:tc>
          <w:tcPr>
            <w:tcW w:w="1990" w:type="dxa"/>
            <w:gridSpan w:val="2"/>
            <w:vAlign w:val="center"/>
          </w:tcPr>
          <w:p w14:paraId="3C558477">
            <w:pPr>
              <w:jc w:val="center"/>
              <w:rPr>
                <w:rFonts w:hint="eastAsia" w:ascii="宋体" w:hAnsi="宋体" w:eastAsia="宋体" w:cs="宋体"/>
                <w:sz w:val="21"/>
                <w:szCs w:val="21"/>
              </w:rPr>
            </w:pPr>
          </w:p>
        </w:tc>
        <w:tc>
          <w:tcPr>
            <w:tcW w:w="1499" w:type="dxa"/>
            <w:vAlign w:val="center"/>
          </w:tcPr>
          <w:p w14:paraId="6901AE95">
            <w:pPr>
              <w:jc w:val="center"/>
              <w:rPr>
                <w:rFonts w:hint="eastAsia" w:ascii="宋体" w:hAnsi="宋体" w:eastAsia="宋体" w:cs="宋体"/>
                <w:sz w:val="21"/>
                <w:szCs w:val="21"/>
              </w:rPr>
            </w:pPr>
          </w:p>
        </w:tc>
        <w:tc>
          <w:tcPr>
            <w:tcW w:w="1489" w:type="dxa"/>
            <w:vAlign w:val="center"/>
          </w:tcPr>
          <w:p w14:paraId="32ABBFC6">
            <w:pPr>
              <w:jc w:val="center"/>
              <w:rPr>
                <w:rFonts w:hint="eastAsia" w:ascii="宋体" w:hAnsi="宋体" w:eastAsia="宋体" w:cs="宋体"/>
                <w:sz w:val="21"/>
                <w:szCs w:val="21"/>
              </w:rPr>
            </w:pPr>
          </w:p>
        </w:tc>
      </w:tr>
      <w:tr w14:paraId="771A8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F78468B">
            <w:pPr>
              <w:pStyle w:val="514"/>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148EA617">
            <w:pPr>
              <w:pStyle w:val="514"/>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3EA9A672">
            <w:pPr>
              <w:jc w:val="center"/>
              <w:rPr>
                <w:rFonts w:hint="eastAsia" w:ascii="宋体" w:hAnsi="宋体" w:eastAsia="宋体" w:cs="宋体"/>
                <w:sz w:val="21"/>
                <w:szCs w:val="21"/>
              </w:rPr>
            </w:pPr>
          </w:p>
        </w:tc>
        <w:tc>
          <w:tcPr>
            <w:tcW w:w="1990" w:type="dxa"/>
            <w:gridSpan w:val="2"/>
            <w:vAlign w:val="center"/>
          </w:tcPr>
          <w:p w14:paraId="30568362">
            <w:pPr>
              <w:jc w:val="center"/>
              <w:rPr>
                <w:rFonts w:hint="eastAsia" w:ascii="宋体" w:hAnsi="宋体" w:eastAsia="宋体" w:cs="宋体"/>
                <w:sz w:val="21"/>
                <w:szCs w:val="21"/>
              </w:rPr>
            </w:pPr>
          </w:p>
        </w:tc>
        <w:tc>
          <w:tcPr>
            <w:tcW w:w="1499" w:type="dxa"/>
            <w:vAlign w:val="center"/>
          </w:tcPr>
          <w:p w14:paraId="5C2C9A4D">
            <w:pPr>
              <w:jc w:val="center"/>
              <w:rPr>
                <w:rFonts w:hint="eastAsia" w:ascii="宋体" w:hAnsi="宋体" w:eastAsia="宋体" w:cs="宋体"/>
                <w:sz w:val="21"/>
                <w:szCs w:val="21"/>
              </w:rPr>
            </w:pPr>
          </w:p>
        </w:tc>
        <w:tc>
          <w:tcPr>
            <w:tcW w:w="1489" w:type="dxa"/>
            <w:vAlign w:val="center"/>
          </w:tcPr>
          <w:p w14:paraId="25BAACA6">
            <w:pPr>
              <w:jc w:val="center"/>
              <w:rPr>
                <w:rFonts w:hint="eastAsia" w:ascii="宋体" w:hAnsi="宋体" w:eastAsia="宋体" w:cs="宋体"/>
                <w:sz w:val="21"/>
                <w:szCs w:val="21"/>
              </w:rPr>
            </w:pPr>
          </w:p>
        </w:tc>
      </w:tr>
      <w:tr w14:paraId="1A244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E8BD589">
            <w:pPr>
              <w:pStyle w:val="514"/>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31BC997">
            <w:pPr>
              <w:pStyle w:val="514"/>
              <w:numPr>
                <w:ilvl w:val="0"/>
                <w:numId w:val="8"/>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p>
          <w:p w14:paraId="2B251A88">
            <w:pPr>
              <w:pStyle w:val="514"/>
              <w:numPr>
                <w:ilvl w:val="0"/>
                <w:numId w:val="8"/>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25E07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D0388C4">
            <w:pPr>
              <w:pStyle w:val="514"/>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C5FD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4ADF492">
            <w:pPr>
              <w:pStyle w:val="514"/>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0D1ED3BD">
            <w:pPr>
              <w:pStyle w:val="514"/>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EBB453A">
            <w:pPr>
              <w:pStyle w:val="514"/>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05110C39">
            <w:pPr>
              <w:pStyle w:val="514"/>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61B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6111AA51">
            <w:pPr>
              <w:spacing w:line="290" w:lineRule="auto"/>
              <w:rPr>
                <w:rFonts w:hint="eastAsia" w:ascii="宋体" w:hAnsi="宋体" w:eastAsia="宋体" w:cs="宋体"/>
                <w:sz w:val="21"/>
                <w:szCs w:val="21"/>
              </w:rPr>
            </w:pPr>
          </w:p>
          <w:p w14:paraId="59467292">
            <w:pPr>
              <w:spacing w:line="290" w:lineRule="auto"/>
              <w:rPr>
                <w:rFonts w:hint="eastAsia" w:ascii="宋体" w:hAnsi="宋体" w:eastAsia="宋体" w:cs="宋体"/>
                <w:sz w:val="21"/>
                <w:szCs w:val="21"/>
              </w:rPr>
            </w:pPr>
          </w:p>
          <w:p w14:paraId="1A27CB50">
            <w:pPr>
              <w:pStyle w:val="514"/>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86728CE">
            <w:pPr>
              <w:spacing w:line="274" w:lineRule="auto"/>
              <w:rPr>
                <w:rFonts w:hint="eastAsia" w:ascii="宋体" w:hAnsi="宋体" w:eastAsia="宋体" w:cs="宋体"/>
                <w:sz w:val="21"/>
                <w:szCs w:val="21"/>
              </w:rPr>
            </w:pPr>
          </w:p>
          <w:p w14:paraId="513BFDB2">
            <w:pPr>
              <w:spacing w:line="274" w:lineRule="auto"/>
              <w:rPr>
                <w:rFonts w:hint="eastAsia" w:ascii="宋体" w:hAnsi="宋体" w:eastAsia="宋体" w:cs="宋体"/>
                <w:sz w:val="21"/>
                <w:szCs w:val="21"/>
              </w:rPr>
            </w:pPr>
          </w:p>
          <w:p w14:paraId="7C598396">
            <w:pPr>
              <w:pStyle w:val="514"/>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4956A22E">
            <w:pPr>
              <w:jc w:val="center"/>
              <w:rPr>
                <w:rFonts w:hint="eastAsia" w:ascii="宋体" w:hAnsi="宋体" w:eastAsia="宋体" w:cs="宋体"/>
                <w:sz w:val="21"/>
                <w:szCs w:val="21"/>
              </w:rPr>
            </w:pPr>
          </w:p>
        </w:tc>
        <w:tc>
          <w:tcPr>
            <w:tcW w:w="4187" w:type="dxa"/>
            <w:gridSpan w:val="3"/>
            <w:vAlign w:val="center"/>
          </w:tcPr>
          <w:p w14:paraId="5898D36D">
            <w:pPr>
              <w:pStyle w:val="514"/>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48A9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64B45982">
            <w:pPr>
              <w:pStyle w:val="514"/>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BD3AAB7">
            <w:pPr>
              <w:pStyle w:val="514"/>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74A39F49">
            <w:pPr>
              <w:jc w:val="center"/>
              <w:rPr>
                <w:rFonts w:hint="eastAsia" w:ascii="宋体" w:hAnsi="宋体" w:eastAsia="宋体" w:cs="宋体"/>
                <w:sz w:val="21"/>
                <w:szCs w:val="21"/>
              </w:rPr>
            </w:pPr>
          </w:p>
        </w:tc>
        <w:tc>
          <w:tcPr>
            <w:tcW w:w="4187" w:type="dxa"/>
            <w:gridSpan w:val="3"/>
            <w:vAlign w:val="top"/>
          </w:tcPr>
          <w:p w14:paraId="21399270">
            <w:pPr>
              <w:pStyle w:val="514"/>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2861D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1FDF93A1">
            <w:pPr>
              <w:pStyle w:val="514"/>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8CCA10C">
      <w:pPr>
        <w:spacing w:line="360" w:lineRule="auto"/>
        <w:rPr>
          <w:rFonts w:ascii="宋体" w:hAnsi="宋体" w:cs="宋体"/>
          <w:b/>
          <w:bCs/>
        </w:rPr>
      </w:pPr>
      <w:r>
        <w:rPr>
          <w:rFonts w:hint="eastAsia" w:ascii="宋体" w:hAnsi="宋体" w:cs="宋体"/>
          <w:b/>
          <w:bCs/>
        </w:rPr>
        <w:t>填报要求：</w:t>
      </w:r>
    </w:p>
    <w:p w14:paraId="5FE12C80">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C3C413F">
      <w:pPr>
        <w:pStyle w:val="45"/>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（二）</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1F26F9A3">
      <w:pPr>
        <w:adjustRightInd w:val="0"/>
        <w:snapToGrid w:val="0"/>
        <w:spacing w:line="360" w:lineRule="auto"/>
        <w:ind w:firstLine="600"/>
        <w:jc w:val="right"/>
      </w:pPr>
      <w:r>
        <w:br w:type="page"/>
      </w:r>
    </w:p>
    <w:p w14:paraId="2EA5C9B7">
      <w:pPr>
        <w:adjustRightInd w:val="0"/>
        <w:snapToGrid w:val="0"/>
        <w:spacing w:line="300" w:lineRule="auto"/>
        <w:jc w:val="center"/>
        <w:rPr>
          <w:b/>
          <w:snapToGrid w:val="0"/>
          <w:sz w:val="32"/>
          <w:szCs w:val="32"/>
        </w:rPr>
      </w:pPr>
    </w:p>
    <w:p w14:paraId="674F8452">
      <w:pPr>
        <w:pStyle w:val="6"/>
        <w:numPr>
          <w:ilvl w:val="0"/>
          <w:numId w:val="0"/>
        </w:numPr>
        <w:tabs>
          <w:tab w:val="clear" w:pos="2111"/>
        </w:tabs>
        <w:spacing w:before="120" w:after="120"/>
        <w:ind w:left="-1" w:leftChars="-1" w:hanging="1"/>
        <w:jc w:val="center"/>
        <w:rPr>
          <w:rFonts w:ascii="宋体" w:hAnsi="宋体"/>
          <w:snapToGrid w:val="0"/>
          <w:kern w:val="0"/>
          <w:sz w:val="24"/>
        </w:rPr>
      </w:pPr>
      <w:r>
        <w:rPr>
          <w:rFonts w:hint="eastAsia" w:ascii="宋体" w:hAnsi="宋体"/>
          <w:sz w:val="24"/>
        </w:rPr>
        <w:t>格式2  法定代表人（负责人）证明书及授权委托书</w:t>
      </w:r>
    </w:p>
    <w:p w14:paraId="248C1A4E">
      <w:pPr>
        <w:adjustRightInd w:val="0"/>
        <w:snapToGrid w:val="0"/>
        <w:spacing w:line="300" w:lineRule="auto"/>
        <w:jc w:val="center"/>
        <w:rPr>
          <w:b/>
          <w:snapToGrid w:val="0"/>
          <w:sz w:val="32"/>
          <w:szCs w:val="32"/>
        </w:rPr>
      </w:pPr>
    </w:p>
    <w:p w14:paraId="204AE01B">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52CE22F9">
      <w:pPr>
        <w:spacing w:line="400" w:lineRule="exact"/>
        <w:rPr>
          <w:rFonts w:ascii="宋体" w:hAnsi="宋体"/>
          <w:bCs/>
          <w:sz w:val="28"/>
        </w:rPr>
      </w:pPr>
    </w:p>
    <w:p w14:paraId="646167E1">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36CBD24D">
      <w:pPr>
        <w:spacing w:line="480" w:lineRule="auto"/>
        <w:ind w:firstLine="420" w:firstLineChars="200"/>
        <w:rPr>
          <w:rFonts w:ascii="宋体" w:hAnsi="宋体"/>
        </w:rPr>
      </w:pPr>
      <w:r>
        <w:rPr>
          <w:rFonts w:hint="eastAsia" w:ascii="宋体" w:hAnsi="宋体"/>
        </w:rPr>
        <w:t>有效日期与本公司响应文件成交注的响应有效期相同。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495E8D38">
      <w:pPr>
        <w:spacing w:line="480" w:lineRule="auto"/>
        <w:ind w:firstLine="420" w:firstLineChars="200"/>
        <w:rPr>
          <w:rFonts w:ascii="宋体" w:hAnsi="宋体"/>
        </w:rPr>
      </w:pPr>
      <w:r>
        <w:rPr>
          <w:rFonts w:hint="eastAsia" w:ascii="宋体" w:hAnsi="宋体"/>
        </w:rPr>
        <w:t>附：</w:t>
      </w:r>
    </w:p>
    <w:p w14:paraId="6EFAE2CE">
      <w:pPr>
        <w:spacing w:line="480" w:lineRule="auto"/>
        <w:ind w:firstLine="840" w:firstLineChars="400"/>
        <w:rPr>
          <w:rFonts w:ascii="宋体" w:hAnsi="宋体"/>
        </w:rPr>
      </w:pPr>
      <w:r>
        <w:rPr>
          <w:rFonts w:hint="eastAsia" w:ascii="宋体" w:hAnsi="宋体"/>
        </w:rPr>
        <w:t xml:space="preserve">营业执照（注册号）：                       </w:t>
      </w:r>
    </w:p>
    <w:p w14:paraId="6988D673">
      <w:pPr>
        <w:spacing w:line="480" w:lineRule="auto"/>
        <w:ind w:firstLine="840" w:firstLineChars="400"/>
        <w:rPr>
          <w:rFonts w:ascii="宋体" w:hAnsi="宋体"/>
        </w:rPr>
      </w:pPr>
      <w:r>
        <w:rPr>
          <w:rFonts w:hint="eastAsia" w:ascii="宋体" w:hAnsi="宋体"/>
        </w:rPr>
        <w:t>经济性质：</w:t>
      </w:r>
    </w:p>
    <w:p w14:paraId="22695361">
      <w:pPr>
        <w:spacing w:line="480" w:lineRule="auto"/>
        <w:ind w:firstLine="840" w:firstLineChars="400"/>
        <w:rPr>
          <w:rFonts w:ascii="宋体" w:hAnsi="宋体"/>
        </w:rPr>
      </w:pPr>
      <w:r>
        <w:rPr>
          <w:rFonts w:hint="eastAsia" w:ascii="宋体" w:hAnsi="宋体"/>
        </w:rPr>
        <w:t>主营（产）：</w:t>
      </w:r>
    </w:p>
    <w:p w14:paraId="72CC1C38">
      <w:pPr>
        <w:spacing w:line="480" w:lineRule="auto"/>
        <w:ind w:firstLine="840" w:firstLineChars="400"/>
        <w:rPr>
          <w:rFonts w:ascii="宋体" w:hAnsi="宋体"/>
        </w:rPr>
      </w:pPr>
      <w:r>
        <w:rPr>
          <w:rFonts w:hint="eastAsia" w:ascii="宋体" w:hAnsi="宋体"/>
        </w:rPr>
        <w:t>兼营（产）：</w:t>
      </w:r>
    </w:p>
    <w:p w14:paraId="02F27D10">
      <w:pPr>
        <w:spacing w:line="480" w:lineRule="auto"/>
        <w:ind w:firstLine="960" w:firstLineChars="400"/>
        <w:rPr>
          <w:rFonts w:ascii="宋体" w:hAnsi="宋体"/>
          <w:sz w:val="24"/>
        </w:rPr>
      </w:pPr>
    </w:p>
    <w:p w14:paraId="642A6D40">
      <w:pPr>
        <w:spacing w:line="500" w:lineRule="exact"/>
        <w:rPr>
          <w:rFonts w:ascii="宋体"/>
          <w:b/>
          <w:bCs/>
        </w:rPr>
      </w:pPr>
      <w:r>
        <w:rPr>
          <w:rFonts w:ascii="宋体"/>
          <w:b/>
          <w:bCs/>
        </w:rPr>
        <w:pict>
          <v:rect id="1043" o:spid="_x0000_s2053" o:spt="1" style="position:absolute;left:0pt;margin-left:250.65pt;margin-top:10.75pt;height:156pt;width:243pt;z-index:251659264;mso-width-relative:page;mso-height-relative:page;" coordsize="21600,21600">
            <v:path/>
            <v:fill focussize="0,0"/>
            <v:stroke/>
            <v:imagedata o:title=""/>
            <o:lock v:ext="edit"/>
            <v:textbox>
              <w:txbxContent>
                <w:p w14:paraId="05D6D52A">
                  <w:pPr>
                    <w:ind w:firstLine="1260" w:firstLineChars="600"/>
                  </w:pPr>
                  <w:r>
                    <w:rPr>
                      <w:rFonts w:hint="eastAsia"/>
                    </w:rPr>
                    <w:t>法定代表人（负责人）</w:t>
                  </w:r>
                </w:p>
                <w:p w14:paraId="44125223">
                  <w:pPr>
                    <w:ind w:firstLine="1050" w:firstLineChars="500"/>
                  </w:pPr>
                  <w:r>
                    <w:rPr>
                      <w:rFonts w:hint="eastAsia"/>
                    </w:rPr>
                    <w:t xml:space="preserve"> 居民身份证复印件粘贴处</w:t>
                  </w:r>
                </w:p>
                <w:p w14:paraId="26F0866A">
                  <w:pPr>
                    <w:ind w:firstLine="1050" w:firstLineChars="500"/>
                  </w:pPr>
                </w:p>
                <w:p w14:paraId="7E8A966A">
                  <w:pPr>
                    <w:ind w:firstLine="1785" w:firstLineChars="850"/>
                  </w:pPr>
                  <w:r>
                    <w:rPr>
                      <w:rFonts w:hint="eastAsia"/>
                    </w:rPr>
                    <w:t>（反面）</w:t>
                  </w:r>
                </w:p>
                <w:p w14:paraId="023BAC51">
                  <w:pPr>
                    <w:ind w:firstLine="1050" w:firstLineChars="500"/>
                  </w:pPr>
                </w:p>
                <w:p w14:paraId="55AD4FB7"/>
              </w:txbxContent>
            </v:textbox>
          </v:rect>
        </w:pict>
      </w:r>
      <w:r>
        <w:rPr>
          <w:rFonts w:ascii="宋体"/>
          <w:b/>
          <w:bCs/>
        </w:rPr>
        <w:pict>
          <v:rect id="1044" o:spid="_x0000_s2052" o:spt="1" style="position:absolute;left:0pt;margin-left:-11.85pt;margin-top:10.75pt;height:156pt;width:243pt;z-index:251659264;mso-width-relative:page;mso-height-relative:page;" coordsize="21600,21600">
            <v:path/>
            <v:fill focussize="0,0"/>
            <v:stroke/>
            <v:imagedata o:title=""/>
            <o:lock v:ext="edit"/>
            <v:textbox>
              <w:txbxContent>
                <w:p w14:paraId="34F6DEB4">
                  <w:pPr>
                    <w:ind w:firstLine="1260" w:firstLineChars="600"/>
                    <w:jc w:val="left"/>
                  </w:pPr>
                  <w:r>
                    <w:rPr>
                      <w:rFonts w:hint="eastAsia"/>
                    </w:rPr>
                    <w:t xml:space="preserve"> 法定代表人（负责人）</w:t>
                  </w:r>
                </w:p>
                <w:p w14:paraId="7F24B7D6">
                  <w:pPr>
                    <w:ind w:firstLine="1050" w:firstLineChars="500"/>
                    <w:jc w:val="left"/>
                  </w:pPr>
                  <w:r>
                    <w:rPr>
                      <w:rFonts w:hint="eastAsia"/>
                    </w:rPr>
                    <w:t xml:space="preserve"> 居民身份证复印件粘贴处</w:t>
                  </w:r>
                </w:p>
                <w:p w14:paraId="22C24A90">
                  <w:pPr>
                    <w:ind w:firstLine="1050" w:firstLineChars="500"/>
                    <w:jc w:val="left"/>
                  </w:pPr>
                </w:p>
                <w:p w14:paraId="515377EE">
                  <w:pPr>
                    <w:ind w:firstLine="1785" w:firstLineChars="850"/>
                    <w:jc w:val="left"/>
                  </w:pPr>
                  <w:r>
                    <w:rPr>
                      <w:rFonts w:hint="eastAsia"/>
                    </w:rPr>
                    <w:t>（正面）</w:t>
                  </w:r>
                </w:p>
                <w:p w14:paraId="2BECDE8A">
                  <w:pPr>
                    <w:ind w:firstLine="1050" w:firstLineChars="500"/>
                    <w:jc w:val="left"/>
                  </w:pPr>
                </w:p>
                <w:p w14:paraId="607C02CC">
                  <w:pPr>
                    <w:jc w:val="left"/>
                  </w:pPr>
                </w:p>
              </w:txbxContent>
            </v:textbox>
          </v:rect>
        </w:pict>
      </w:r>
    </w:p>
    <w:p w14:paraId="0DDEF95E">
      <w:pPr>
        <w:spacing w:line="500" w:lineRule="exact"/>
        <w:rPr>
          <w:rFonts w:ascii="宋体"/>
          <w:b/>
          <w:bCs/>
        </w:rPr>
      </w:pPr>
    </w:p>
    <w:p w14:paraId="77C1838C">
      <w:pPr>
        <w:spacing w:line="500" w:lineRule="exact"/>
        <w:rPr>
          <w:rFonts w:ascii="宋体"/>
          <w:b/>
          <w:bCs/>
        </w:rPr>
      </w:pPr>
    </w:p>
    <w:p w14:paraId="647CDB06">
      <w:pPr>
        <w:spacing w:line="500" w:lineRule="exact"/>
        <w:rPr>
          <w:rFonts w:ascii="宋体"/>
          <w:b/>
          <w:bCs/>
        </w:rPr>
      </w:pPr>
    </w:p>
    <w:p w14:paraId="4EE9F97D">
      <w:pPr>
        <w:spacing w:line="500" w:lineRule="exact"/>
        <w:rPr>
          <w:rFonts w:ascii="宋体"/>
          <w:b/>
          <w:bCs/>
        </w:rPr>
      </w:pPr>
    </w:p>
    <w:p w14:paraId="2CA52E54">
      <w:pPr>
        <w:spacing w:line="500" w:lineRule="exact"/>
        <w:rPr>
          <w:rFonts w:ascii="宋体"/>
          <w:b/>
          <w:bCs/>
        </w:rPr>
      </w:pPr>
    </w:p>
    <w:p w14:paraId="5E033755">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注：供应商必须提供有效的身份证件（有效期限未过期）。</w:t>
      </w:r>
    </w:p>
    <w:p w14:paraId="72FD8404">
      <w:pPr>
        <w:spacing w:line="360" w:lineRule="auto"/>
        <w:ind w:firstLine="539" w:firstLineChars="257"/>
      </w:pPr>
    </w:p>
    <w:p w14:paraId="3CF3256D">
      <w:pPr>
        <w:spacing w:line="360" w:lineRule="auto"/>
        <w:ind w:firstLine="539" w:firstLineChars="257"/>
      </w:pPr>
      <w:r>
        <w:rPr>
          <w:rFonts w:hint="eastAsia"/>
        </w:rPr>
        <w:t>单位名称：（公章）：</w:t>
      </w:r>
      <w:r>
        <w:rPr>
          <w:rFonts w:hint="eastAsia"/>
          <w:u w:val="single"/>
        </w:rPr>
        <w:t xml:space="preserve">                                         </w:t>
      </w:r>
    </w:p>
    <w:p w14:paraId="01A7FB1F">
      <w:pPr>
        <w:spacing w:line="360" w:lineRule="auto"/>
        <w:ind w:firstLine="539" w:firstLineChars="257"/>
      </w:pPr>
    </w:p>
    <w:p w14:paraId="01F51868">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511FCBB4">
      <w:pPr>
        <w:widowControl/>
        <w:jc w:val="left"/>
        <w:rPr>
          <w:b/>
          <w:bCs/>
          <w:sz w:val="28"/>
        </w:rPr>
      </w:pPr>
      <w:r>
        <w:rPr>
          <w:b/>
          <w:bCs/>
          <w:sz w:val="28"/>
        </w:rPr>
        <w:br w:type="page"/>
      </w:r>
    </w:p>
    <w:p w14:paraId="19CF5C24">
      <w:pPr>
        <w:ind w:firstLine="2249" w:firstLineChars="800"/>
        <w:rPr>
          <w:b/>
          <w:bCs/>
          <w:sz w:val="28"/>
        </w:rPr>
      </w:pPr>
    </w:p>
    <w:p w14:paraId="3DC0F0D4">
      <w:pPr>
        <w:jc w:val="center"/>
        <w:rPr>
          <w:b/>
          <w:bCs/>
          <w:sz w:val="28"/>
        </w:rPr>
      </w:pPr>
      <w:r>
        <w:rPr>
          <w:rFonts w:hint="eastAsia"/>
          <w:b/>
          <w:bCs/>
          <w:sz w:val="28"/>
        </w:rPr>
        <w:t>法定代表人（负责人）授权委托书（参考）</w:t>
      </w:r>
    </w:p>
    <w:p w14:paraId="1D738C57"/>
    <w:p w14:paraId="33374CE6">
      <w:pPr>
        <w:rPr>
          <w:b/>
          <w:bCs/>
        </w:rPr>
      </w:pPr>
      <w:r>
        <w:rPr>
          <w:rFonts w:hint="eastAsia"/>
        </w:rPr>
        <w:t>深圳市中正招标有限公司</w:t>
      </w:r>
      <w:r>
        <w:rPr>
          <w:rFonts w:hint="eastAsia"/>
          <w:b/>
          <w:bCs/>
        </w:rPr>
        <w:t>：</w:t>
      </w:r>
    </w:p>
    <w:p w14:paraId="2CFA7178">
      <w:pPr>
        <w:ind w:firstLine="630"/>
      </w:pPr>
    </w:p>
    <w:p w14:paraId="36992777">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（项目名称、编号） </w:t>
      </w:r>
      <w:r>
        <w:rPr>
          <w:rFonts w:hint="eastAsia"/>
        </w:rPr>
        <w:t>采购响应活动，全权代表我单位处理响应的有关事宜。</w:t>
      </w:r>
    </w:p>
    <w:p w14:paraId="3A1CC686">
      <w:pPr>
        <w:adjustRightInd w:val="0"/>
        <w:snapToGrid w:val="0"/>
        <w:spacing w:line="360" w:lineRule="auto"/>
        <w:ind w:firstLine="629"/>
      </w:pPr>
    </w:p>
    <w:p w14:paraId="794D50F0">
      <w:pPr>
        <w:adjustRightInd w:val="0"/>
        <w:snapToGrid w:val="0"/>
        <w:spacing w:line="360" w:lineRule="auto"/>
        <w:ind w:firstLine="629"/>
        <w:rPr>
          <w:b/>
          <w:bCs/>
        </w:rPr>
      </w:pPr>
      <w:r>
        <w:rPr>
          <w:rFonts w:hint="eastAsia"/>
          <w:b/>
          <w:bCs/>
        </w:rPr>
        <w:t>附授权代表情况：</w:t>
      </w:r>
    </w:p>
    <w:p w14:paraId="1D059F56">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33D81239">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2DB02D07">
      <w:pPr>
        <w:adjustRightInd w:val="0"/>
        <w:snapToGrid w:val="0"/>
        <w:spacing w:line="360" w:lineRule="auto"/>
        <w:ind w:firstLine="629"/>
      </w:pPr>
      <w:r>
        <w:rPr>
          <w:rFonts w:hint="eastAsia"/>
        </w:rPr>
        <w:t>职务：</w:t>
      </w:r>
    </w:p>
    <w:p w14:paraId="030F93F6">
      <w:pPr>
        <w:adjustRightInd w:val="0"/>
        <w:snapToGrid w:val="0"/>
        <w:spacing w:line="360" w:lineRule="auto"/>
        <w:ind w:firstLine="629"/>
      </w:pPr>
      <w:r>
        <w:rPr>
          <w:rFonts w:hint="eastAsia"/>
        </w:rPr>
        <w:t>身份证号码：</w:t>
      </w:r>
    </w:p>
    <w:p w14:paraId="09051298">
      <w:pPr>
        <w:adjustRightInd w:val="0"/>
        <w:snapToGrid w:val="0"/>
        <w:spacing w:line="360" w:lineRule="auto"/>
        <w:ind w:firstLine="629"/>
        <w:rPr>
          <w:b/>
          <w:bCs/>
        </w:rPr>
      </w:pPr>
      <w:r>
        <w:rPr>
          <w:rFonts w:hint="eastAsia"/>
        </w:rPr>
        <w:t>邮编：</w:t>
      </w:r>
      <w:r>
        <w:rPr>
          <w:rFonts w:hint="eastAsia"/>
          <w:b/>
          <w:bCs/>
        </w:rPr>
        <w:t xml:space="preserve"> </w:t>
      </w:r>
    </w:p>
    <w:p w14:paraId="67DE379E">
      <w:pPr>
        <w:adjustRightInd w:val="0"/>
        <w:snapToGrid w:val="0"/>
        <w:spacing w:line="360" w:lineRule="auto"/>
        <w:ind w:firstLine="629"/>
      </w:pPr>
      <w:r>
        <w:rPr>
          <w:rFonts w:hint="eastAsia"/>
        </w:rPr>
        <w:t>通讯地址：</w:t>
      </w:r>
      <w:r>
        <w:rPr>
          <w:rFonts w:hint="eastAsia"/>
          <w:b/>
          <w:bCs/>
        </w:rPr>
        <w:t xml:space="preserve"> </w:t>
      </w:r>
    </w:p>
    <w:p w14:paraId="5AAC5982">
      <w:pPr>
        <w:adjustRightInd w:val="0"/>
        <w:snapToGrid w:val="0"/>
        <w:spacing w:line="360" w:lineRule="auto"/>
        <w:ind w:firstLine="629"/>
      </w:pPr>
      <w:r>
        <w:rPr>
          <w:rFonts w:hint="eastAsia"/>
        </w:rPr>
        <w:t>电话：</w:t>
      </w:r>
    </w:p>
    <w:p w14:paraId="1D288367">
      <w:pPr>
        <w:adjustRightInd w:val="0"/>
        <w:snapToGrid w:val="0"/>
        <w:spacing w:line="360" w:lineRule="auto"/>
        <w:ind w:firstLine="629"/>
      </w:pPr>
      <w:r>
        <w:rPr>
          <w:rFonts w:hint="eastAsia"/>
        </w:rPr>
        <w:t xml:space="preserve"> </w:t>
      </w:r>
    </w:p>
    <w:p w14:paraId="5E7CCB7F">
      <w:pPr>
        <w:ind w:firstLine="630"/>
      </w:pPr>
      <w:r>
        <w:rPr>
          <w:rFonts w:hint="eastAsia"/>
        </w:rPr>
        <w:t>单位名称：（公章）</w:t>
      </w:r>
    </w:p>
    <w:p w14:paraId="0B311EBA">
      <w:pPr>
        <w:ind w:firstLine="630"/>
      </w:pPr>
    </w:p>
    <w:p w14:paraId="47442AD3">
      <w:pPr>
        <w:ind w:firstLine="630"/>
      </w:pPr>
      <w:r>
        <w:rPr>
          <w:rFonts w:hint="eastAsia"/>
        </w:rPr>
        <w:t>法定代表人（</w:t>
      </w:r>
      <w:r>
        <w:rPr>
          <w:rFonts w:hint="eastAsia"/>
          <w:lang w:eastAsia="zh-CN"/>
        </w:rPr>
        <w:t>单位</w:t>
      </w:r>
      <w:r>
        <w:rPr>
          <w:rFonts w:hint="eastAsia"/>
        </w:rPr>
        <w:t>负责人）：（签字）</w:t>
      </w:r>
    </w:p>
    <w:p w14:paraId="5B8A4EEF">
      <w:pPr>
        <w:ind w:firstLine="630"/>
      </w:pPr>
    </w:p>
    <w:p w14:paraId="56BFB207">
      <w:pPr>
        <w:ind w:firstLine="630"/>
      </w:pPr>
      <w:r>
        <w:rPr>
          <w:rFonts w:hint="eastAsia"/>
        </w:rPr>
        <w:t>授权代表：（</w:t>
      </w:r>
      <w:r>
        <w:rPr>
          <w:snapToGrid w:val="0"/>
          <w:kern w:val="0"/>
        </w:rPr>
        <w:t>签字</w:t>
      </w:r>
      <w:r>
        <w:rPr>
          <w:rFonts w:hint="eastAsia"/>
        </w:rPr>
        <w:t>）</w:t>
      </w:r>
    </w:p>
    <w:p w14:paraId="2DAE4FFE">
      <w:pPr>
        <w:ind w:firstLine="630"/>
      </w:pPr>
    </w:p>
    <w:p w14:paraId="2304F1AF">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182C2F3E">
      <w:pPr>
        <w:spacing w:line="440" w:lineRule="exact"/>
        <w:rPr>
          <w:rFonts w:ascii="黑体" w:eastAsia="黑体"/>
        </w:rPr>
      </w:pPr>
      <w:bookmarkStart w:id="56" w:name="_Toc226217114"/>
      <w:r>
        <w:rPr>
          <w:rFonts w:ascii="宋体"/>
        </w:rPr>
        <w:pict>
          <v:rect id="1045" o:spid="_x0000_s2051" o:spt="1" style="position:absolute;left:0pt;margin-left:-10.35pt;margin-top:5.6pt;height:156pt;width:243pt;z-index:251659264;mso-width-relative:page;mso-height-relative:page;" coordsize="21600,21600">
            <v:path/>
            <v:fill focussize="0,0"/>
            <v:stroke/>
            <v:imagedata o:title=""/>
            <o:lock v:ext="edit"/>
            <v:textbox>
              <w:txbxContent>
                <w:p w14:paraId="10FB3550">
                  <w:pPr>
                    <w:ind w:firstLine="1260" w:firstLineChars="600"/>
                  </w:pPr>
                  <w:r>
                    <w:rPr>
                      <w:rFonts w:hint="eastAsia"/>
                    </w:rPr>
                    <w:t>被授权人（授权代表）</w:t>
                  </w:r>
                </w:p>
                <w:p w14:paraId="49229800">
                  <w:pPr>
                    <w:ind w:firstLine="1050" w:firstLineChars="500"/>
                  </w:pPr>
                  <w:r>
                    <w:rPr>
                      <w:rFonts w:hint="eastAsia"/>
                    </w:rPr>
                    <w:t>居民身份证复印件粘贴处</w:t>
                  </w:r>
                </w:p>
                <w:p w14:paraId="4437AF51">
                  <w:pPr>
                    <w:ind w:firstLine="1050" w:firstLineChars="500"/>
                  </w:pPr>
                </w:p>
                <w:p w14:paraId="7B6B92CE">
                  <w:pPr>
                    <w:jc w:val="center"/>
                  </w:pPr>
                  <w:r>
                    <w:rPr>
                      <w:rFonts w:hint="eastAsia"/>
                    </w:rPr>
                    <w:t>（正面）</w:t>
                  </w:r>
                </w:p>
              </w:txbxContent>
            </v:textbox>
          </v:rect>
        </w:pict>
      </w:r>
      <w:r>
        <w:rPr>
          <w:rFonts w:ascii="黑体" w:eastAsia="黑体"/>
        </w:rPr>
        <w:pict>
          <v:rect id="1046" o:spid="_x0000_s2050" o:spt="1" style="position:absolute;left:0pt;margin-left:249.9pt;margin-top:5.6pt;height:156pt;width:243pt;z-index:251659264;mso-width-relative:page;mso-height-relative:page;" coordsize="21600,21600">
            <v:path/>
            <v:fill focussize="0,0"/>
            <v:stroke/>
            <v:imagedata o:title=""/>
            <o:lock v:ext="edit"/>
            <v:textbox>
              <w:txbxContent>
                <w:p w14:paraId="1298B6E1">
                  <w:pPr>
                    <w:ind w:firstLine="1260" w:firstLineChars="600"/>
                  </w:pPr>
                  <w:r>
                    <w:rPr>
                      <w:rFonts w:hint="eastAsia"/>
                    </w:rPr>
                    <w:t>被授权人（授权代表）</w:t>
                  </w:r>
                </w:p>
                <w:p w14:paraId="77334AEF">
                  <w:pPr>
                    <w:ind w:firstLine="1050" w:firstLineChars="500"/>
                  </w:pPr>
                  <w:r>
                    <w:rPr>
                      <w:rFonts w:hint="eastAsia"/>
                    </w:rPr>
                    <w:t>居民身份证复印件粘贴处</w:t>
                  </w:r>
                </w:p>
                <w:p w14:paraId="3A1A8A21">
                  <w:pPr>
                    <w:ind w:firstLine="1050" w:firstLineChars="500"/>
                  </w:pPr>
                </w:p>
                <w:p w14:paraId="29ECFB5D">
                  <w:pPr>
                    <w:ind w:firstLine="1785" w:firstLineChars="850"/>
                  </w:pPr>
                  <w:r>
                    <w:rPr>
                      <w:rFonts w:hint="eastAsia"/>
                    </w:rPr>
                    <w:t>（反面）</w:t>
                  </w:r>
                </w:p>
                <w:p w14:paraId="17FC9B76"/>
              </w:txbxContent>
            </v:textbox>
          </v:rect>
        </w:pict>
      </w:r>
      <w:bookmarkEnd w:id="56"/>
    </w:p>
    <w:p w14:paraId="126F764C">
      <w:pPr>
        <w:spacing w:line="440" w:lineRule="exact"/>
        <w:rPr>
          <w:rFonts w:ascii="黑体" w:eastAsia="黑体"/>
        </w:rPr>
      </w:pPr>
    </w:p>
    <w:p w14:paraId="7D5C387D">
      <w:pPr>
        <w:spacing w:line="440" w:lineRule="exact"/>
        <w:rPr>
          <w:rFonts w:ascii="黑体" w:eastAsia="黑体"/>
        </w:rPr>
      </w:pPr>
    </w:p>
    <w:p w14:paraId="2DC209F8">
      <w:pPr>
        <w:spacing w:line="440" w:lineRule="exact"/>
        <w:rPr>
          <w:rFonts w:ascii="黑体" w:eastAsia="黑体"/>
        </w:rPr>
      </w:pPr>
    </w:p>
    <w:p w14:paraId="21E3C9DE">
      <w:pPr>
        <w:spacing w:line="440" w:lineRule="exact"/>
        <w:rPr>
          <w:rFonts w:ascii="黑体" w:eastAsia="黑体"/>
        </w:rPr>
      </w:pPr>
    </w:p>
    <w:p w14:paraId="15FA6734">
      <w:pPr>
        <w:tabs>
          <w:tab w:val="left" w:pos="5115"/>
        </w:tabs>
        <w:spacing w:line="440" w:lineRule="exact"/>
        <w:rPr>
          <w:rFonts w:ascii="黑体" w:eastAsia="黑体"/>
        </w:rPr>
      </w:pPr>
      <w:r>
        <w:rPr>
          <w:rFonts w:ascii="黑体" w:eastAsia="黑体"/>
        </w:rPr>
        <w:tab/>
      </w:r>
    </w:p>
    <w:p w14:paraId="580468E6">
      <w:pPr>
        <w:spacing w:line="440" w:lineRule="exact"/>
        <w:rPr>
          <w:rFonts w:ascii="黑体" w:eastAsia="黑体"/>
        </w:rPr>
      </w:pPr>
    </w:p>
    <w:p w14:paraId="71F53657">
      <w:pPr>
        <w:adjustRightInd w:val="0"/>
        <w:snapToGrid w:val="0"/>
        <w:spacing w:line="300" w:lineRule="auto"/>
        <w:ind w:firstLine="5008" w:firstLineChars="2385"/>
      </w:pPr>
    </w:p>
    <w:p w14:paraId="1285635F">
      <w:pPr>
        <w:spacing w:line="360" w:lineRule="auto"/>
        <w:ind w:firstLine="539" w:firstLineChars="257"/>
      </w:pPr>
      <w:r>
        <w:rPr>
          <w:rFonts w:hint="eastAsia"/>
          <w:highlight w:val="yellow"/>
          <w:lang w:eastAsia="zh-CN"/>
        </w:rPr>
        <w:t>注：供应商必须提供有效的身份证件（有效期限未过期）。</w:t>
      </w:r>
    </w:p>
    <w:p w14:paraId="49B2E9C1">
      <w:pPr>
        <w:adjustRightInd w:val="0"/>
        <w:snapToGrid w:val="0"/>
        <w:spacing w:line="300" w:lineRule="auto"/>
      </w:pPr>
    </w:p>
    <w:p w14:paraId="6E995941">
      <w:pPr>
        <w:adjustRightInd w:val="0"/>
        <w:snapToGrid w:val="0"/>
        <w:spacing w:line="300" w:lineRule="auto"/>
      </w:pPr>
      <w:r>
        <w:rPr>
          <w:rFonts w:hint="eastAsia" w:ascii="宋体" w:hAnsi="宋体"/>
          <w:b/>
          <w:sz w:val="24"/>
        </w:rPr>
        <w:t>注：法定代表人（负责人）证明书和法定代表人（负责人）授权委托书除装订于响应文件中外，还须另置一份按“供应商须知”18.4项要求单独密封。</w:t>
      </w:r>
    </w:p>
    <w:p w14:paraId="09CA7D3D">
      <w:pPr>
        <w:widowControl/>
        <w:jc w:val="left"/>
      </w:pPr>
    </w:p>
    <w:p w14:paraId="1F033D82"/>
    <w:p w14:paraId="69A473BC">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格式3  声</w:t>
      </w:r>
      <w:r>
        <w:rPr>
          <w:rFonts w:ascii="宋体" w:hAnsi="宋体"/>
          <w:sz w:val="24"/>
        </w:rPr>
        <w:t xml:space="preserve"> </w:t>
      </w:r>
      <w:r>
        <w:rPr>
          <w:rFonts w:hint="eastAsia" w:ascii="宋体" w:hAnsi="宋体"/>
          <w:sz w:val="24"/>
        </w:rPr>
        <w:t>明</w:t>
      </w:r>
      <w:r>
        <w:rPr>
          <w:rFonts w:ascii="宋体" w:hAnsi="宋体"/>
          <w:sz w:val="24"/>
        </w:rPr>
        <w:t xml:space="preserve"> </w:t>
      </w:r>
      <w:r>
        <w:rPr>
          <w:rFonts w:hint="eastAsia" w:ascii="宋体" w:hAnsi="宋体"/>
          <w:sz w:val="24"/>
        </w:rPr>
        <w:t>函</w:t>
      </w:r>
    </w:p>
    <w:p w14:paraId="0769EC68">
      <w:pPr>
        <w:adjustRightInd w:val="0"/>
        <w:snapToGrid w:val="0"/>
        <w:spacing w:line="312" w:lineRule="auto"/>
      </w:pPr>
    </w:p>
    <w:p w14:paraId="0F3E0512">
      <w:pPr>
        <w:adjustRightInd w:val="0"/>
        <w:snapToGrid w:val="0"/>
        <w:spacing w:line="360" w:lineRule="auto"/>
        <w:rPr>
          <w:rFonts w:ascii="宋体" w:hAnsi="宋体"/>
          <w:b/>
          <w:bCs/>
        </w:rPr>
      </w:pPr>
      <w:r>
        <w:rPr>
          <w:rFonts w:ascii="宋体" w:hAnsi="宋体"/>
        </w:rPr>
        <w:t>深圳市中正招标有限公司：</w:t>
      </w:r>
    </w:p>
    <w:p w14:paraId="1E9C20D7">
      <w:pPr>
        <w:adjustRightInd w:val="0"/>
        <w:snapToGrid w:val="0"/>
        <w:spacing w:line="360" w:lineRule="auto"/>
        <w:rPr>
          <w:rFonts w:ascii="宋体" w:hAnsi="宋体"/>
        </w:rPr>
      </w:pPr>
      <w:r>
        <w:rPr>
          <w:rFonts w:ascii="宋体" w:hAnsi="宋体"/>
        </w:rPr>
        <w:t xml:space="preserve">    我</w:t>
      </w:r>
      <w:r>
        <w:rPr>
          <w:rFonts w:hint="eastAsia" w:ascii="宋体" w:hAnsi="宋体" w:cs="Courier New"/>
          <w:snapToGrid w:val="0"/>
          <w:szCs w:val="18"/>
        </w:rPr>
        <w:t>单位</w:t>
      </w:r>
      <w:r>
        <w:rPr>
          <w:rFonts w:ascii="宋体" w:hAnsi="宋体"/>
        </w:rPr>
        <w:t>收到</w:t>
      </w:r>
      <w:r>
        <w:rPr>
          <w:rFonts w:hint="eastAsia" w:ascii="宋体" w:hAnsi="宋体"/>
        </w:rPr>
        <w:t>贵单位</w:t>
      </w:r>
      <w:r>
        <w:rPr>
          <w:rFonts w:ascii="宋体" w:hAnsi="宋体"/>
        </w:rPr>
        <w:t>组织的</w:t>
      </w:r>
      <w:r>
        <w:rPr>
          <w:rFonts w:ascii="宋体" w:hAnsi="宋体"/>
          <w:b/>
          <w:bCs/>
          <w:u w:val="single"/>
        </w:rPr>
        <w:t xml:space="preserve"> </w:t>
      </w:r>
      <w:r>
        <w:rPr>
          <w:rFonts w:ascii="宋体" w:hAnsi="宋体"/>
          <w:u w:val="single"/>
        </w:rPr>
        <w:t xml:space="preserve">（项目名称） </w:t>
      </w:r>
      <w:r>
        <w:rPr>
          <w:rFonts w:ascii="宋体" w:hAnsi="宋体"/>
        </w:rPr>
        <w:t>采购文件，经详细研究，我</w:t>
      </w:r>
      <w:r>
        <w:rPr>
          <w:rFonts w:hint="eastAsia" w:ascii="宋体" w:hAnsi="宋体" w:cs="Courier New"/>
          <w:snapToGrid w:val="0"/>
          <w:szCs w:val="18"/>
        </w:rPr>
        <w:t>单位</w:t>
      </w:r>
      <w:r>
        <w:rPr>
          <w:rFonts w:ascii="宋体" w:hAnsi="宋体"/>
        </w:rPr>
        <w:t>决定参加该项目</w:t>
      </w:r>
      <w:r>
        <w:rPr>
          <w:rFonts w:ascii="宋体" w:hAnsi="宋体"/>
          <w:u w:val="single"/>
        </w:rPr>
        <w:t xml:space="preserve"> （项目编号）  </w:t>
      </w:r>
      <w:r>
        <w:rPr>
          <w:rFonts w:hint="eastAsia" w:ascii="宋体" w:hAnsi="宋体"/>
        </w:rPr>
        <w:t>采购</w:t>
      </w:r>
      <w:r>
        <w:rPr>
          <w:rFonts w:ascii="宋体" w:hAnsi="宋体"/>
        </w:rPr>
        <w:t>的有关活动，并响应。为此，我</w:t>
      </w:r>
      <w:r>
        <w:rPr>
          <w:rFonts w:hint="eastAsia" w:ascii="宋体" w:hAnsi="宋体" w:cs="Courier New"/>
          <w:snapToGrid w:val="0"/>
          <w:szCs w:val="18"/>
        </w:rPr>
        <w:t>单位</w:t>
      </w:r>
      <w:r>
        <w:rPr>
          <w:rFonts w:ascii="宋体" w:hAnsi="宋体"/>
        </w:rPr>
        <w:t>谨郑重声明以下诸点，并对之负法律责任。</w:t>
      </w:r>
    </w:p>
    <w:p w14:paraId="1C6C985A">
      <w:pPr>
        <w:spacing w:line="360" w:lineRule="auto"/>
        <w:ind w:firstLine="424" w:firstLineChars="202"/>
        <w:jc w:val="left"/>
        <w:rPr>
          <w:rFonts w:ascii="宋体" w:hAnsi="宋体" w:cs="Courier New"/>
          <w:snapToGrid w:val="0"/>
          <w:szCs w:val="18"/>
        </w:rPr>
      </w:pPr>
      <w:r>
        <w:rPr>
          <w:rFonts w:hint="eastAsia" w:ascii="宋体" w:hAnsi="宋体" w:cs="Courier New"/>
          <w:snapToGrid w:val="0"/>
          <w:szCs w:val="18"/>
        </w:rPr>
        <w:t>1．</w:t>
      </w:r>
      <w:r>
        <w:rPr>
          <w:rFonts w:hint="eastAsia" w:ascii="宋体" w:hAnsi="宋体"/>
          <w:szCs w:val="21"/>
        </w:rPr>
        <w:t>我</w:t>
      </w:r>
      <w:r>
        <w:rPr>
          <w:rFonts w:hint="eastAsia" w:ascii="宋体" w:hAnsi="宋体" w:cs="Courier New"/>
          <w:snapToGrid w:val="0"/>
          <w:szCs w:val="18"/>
        </w:rPr>
        <w:t>单位</w:t>
      </w:r>
      <w:r>
        <w:rPr>
          <w:rFonts w:hint="eastAsia" w:ascii="宋体" w:hAnsi="宋体"/>
          <w:szCs w:val="21"/>
        </w:rPr>
        <w:t>愿以《开标一览表》中填写的响应报价并</w:t>
      </w:r>
      <w:r>
        <w:rPr>
          <w:rFonts w:hint="eastAsia" w:ascii="宋体" w:hAnsi="宋体" w:cs="Courier New"/>
          <w:snapToGrid w:val="0"/>
          <w:szCs w:val="18"/>
        </w:rPr>
        <w:t>按照采购文件中的一切要求，承担上述项目的全部工作。</w:t>
      </w:r>
    </w:p>
    <w:p w14:paraId="0FF4DDB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2．我单位提交的响应文件为：响应文件正本一份，副本五份，电子备份光盘（或U盘）一份（含响应文件正本盖章扫描件）。</w:t>
      </w:r>
    </w:p>
    <w:p w14:paraId="1C5F6A75">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3．如果我单位响应文件被接受，我单位将履行采购文件中规定的每一项要求，按期、按质、按量完成任务。</w:t>
      </w:r>
    </w:p>
    <w:p w14:paraId="5E2D727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4．我单位愿意提供采购代理机构在采购文件中要求的所有资料，且</w:t>
      </w:r>
      <w:r>
        <w:rPr>
          <w:rFonts w:hint="eastAsia" w:ascii="宋体" w:hAnsi="宋体"/>
        </w:rPr>
        <w:t>所递交的响应文件在响应有效期（即</w:t>
      </w:r>
      <w:r>
        <w:rPr>
          <w:rFonts w:hint="eastAsia" w:ascii="宋体" w:hAnsi="宋体"/>
          <w:u w:val="single"/>
        </w:rPr>
        <w:t>90</w:t>
      </w:r>
      <w:r>
        <w:rPr>
          <w:rFonts w:hint="eastAsia" w:ascii="宋体" w:hAnsi="宋体"/>
        </w:rPr>
        <w:t>日历天）内有效，在此期间内我</w:t>
      </w:r>
      <w:r>
        <w:rPr>
          <w:rFonts w:hint="eastAsia" w:ascii="宋体" w:hAnsi="宋体" w:cs="Courier New"/>
          <w:snapToGrid w:val="0"/>
          <w:szCs w:val="18"/>
        </w:rPr>
        <w:t>单位</w:t>
      </w:r>
      <w:r>
        <w:rPr>
          <w:rFonts w:hint="eastAsia" w:ascii="宋体" w:hAnsi="宋体"/>
        </w:rPr>
        <w:t>的响应有可能成交，我</w:t>
      </w:r>
      <w:r>
        <w:rPr>
          <w:rFonts w:hint="eastAsia" w:ascii="宋体" w:hAnsi="宋体" w:cs="Courier New"/>
          <w:snapToGrid w:val="0"/>
          <w:szCs w:val="18"/>
        </w:rPr>
        <w:t>单位</w:t>
      </w:r>
      <w:r>
        <w:rPr>
          <w:rFonts w:hint="eastAsia" w:ascii="宋体" w:hAnsi="宋体"/>
        </w:rPr>
        <w:t>将受此约束。</w:t>
      </w:r>
    </w:p>
    <w:p w14:paraId="2412DE12">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5．我单位理解，最低报价不是成交的唯一条件。</w:t>
      </w:r>
    </w:p>
    <w:p w14:paraId="291BB1EB">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6．我单位愿按《中华人民共和国民法典》履行自己的全部责任。</w:t>
      </w:r>
    </w:p>
    <w:p w14:paraId="06D71497">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7．我单位同意采购文件之规定，遵守有关各项规定。</w:t>
      </w:r>
    </w:p>
    <w:p w14:paraId="1059BCA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8</w:t>
      </w:r>
      <w:r>
        <w:rPr>
          <w:rFonts w:ascii="宋体" w:hAnsi="宋体" w:cs="Courier New"/>
          <w:snapToGrid w:val="0"/>
          <w:szCs w:val="18"/>
        </w:rPr>
        <w:t>.</w:t>
      </w:r>
      <w:r>
        <w:rPr>
          <w:rFonts w:hint="eastAsia" w:ascii="宋体" w:hAnsi="宋体" w:cs="Courier New"/>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w:t>
      </w:r>
      <w:r>
        <w:rPr>
          <w:rFonts w:hint="eastAsia" w:ascii="宋体" w:hAnsi="宋体"/>
        </w:rPr>
        <w:t>。</w:t>
      </w:r>
    </w:p>
    <w:p w14:paraId="34DB619B">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9．所有有关本标书的函电，请按下列地址联系：</w:t>
      </w:r>
    </w:p>
    <w:p w14:paraId="60955A04">
      <w:pPr>
        <w:adjustRightInd w:val="0"/>
        <w:snapToGrid w:val="0"/>
        <w:spacing w:line="360" w:lineRule="auto"/>
        <w:ind w:firstLine="600"/>
      </w:pPr>
    </w:p>
    <w:p w14:paraId="41CB2877">
      <w:pPr>
        <w:adjustRightInd w:val="0"/>
        <w:snapToGrid w:val="0"/>
        <w:spacing w:line="360" w:lineRule="auto"/>
        <w:ind w:firstLine="426"/>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t>： （盖</w:t>
      </w:r>
      <w:r>
        <w:rPr>
          <w:rFonts w:hint="eastAsia"/>
          <w:lang w:eastAsia="zh-CN"/>
        </w:rPr>
        <w:t>公</w:t>
      </w:r>
      <w:r>
        <w:t>章）</w:t>
      </w:r>
    </w:p>
    <w:p w14:paraId="1DF5711E">
      <w:pPr>
        <w:adjustRightInd w:val="0"/>
        <w:snapToGrid w:val="0"/>
        <w:spacing w:line="360" w:lineRule="auto"/>
        <w:ind w:firstLine="426"/>
      </w:pPr>
      <w:r>
        <w:t xml:space="preserve">地    址： </w:t>
      </w:r>
    </w:p>
    <w:p w14:paraId="1FC76FEC">
      <w:pPr>
        <w:adjustRightInd w:val="0"/>
        <w:snapToGrid w:val="0"/>
        <w:spacing w:line="360" w:lineRule="auto"/>
        <w:ind w:firstLine="426"/>
      </w:pPr>
      <w:r>
        <w:t xml:space="preserve">电    话：     </w:t>
      </w:r>
    </w:p>
    <w:p w14:paraId="128ECBE4">
      <w:pPr>
        <w:adjustRightInd w:val="0"/>
        <w:snapToGrid w:val="0"/>
        <w:spacing w:line="360" w:lineRule="auto"/>
        <w:ind w:firstLine="426"/>
      </w:pPr>
      <w:r>
        <w:t>传    真：</w:t>
      </w:r>
    </w:p>
    <w:p w14:paraId="7E5BD4D9">
      <w:pPr>
        <w:adjustRightInd w:val="0"/>
        <w:snapToGrid w:val="0"/>
        <w:spacing w:line="360" w:lineRule="auto"/>
        <w:ind w:firstLine="426"/>
      </w:pPr>
      <w:r>
        <w:t>邮    编：</w:t>
      </w:r>
    </w:p>
    <w:p w14:paraId="55C11E78">
      <w:pPr>
        <w:adjustRightInd w:val="0"/>
        <w:snapToGrid w:val="0"/>
        <w:spacing w:line="360" w:lineRule="auto"/>
        <w:ind w:firstLine="426"/>
      </w:pPr>
      <w:r>
        <w:t xml:space="preserve">联 系 人： </w:t>
      </w:r>
    </w:p>
    <w:p w14:paraId="0F21CA28">
      <w:pPr>
        <w:adjustRightInd w:val="0"/>
        <w:snapToGrid w:val="0"/>
        <w:spacing w:line="360" w:lineRule="auto"/>
        <w:ind w:firstLine="600"/>
      </w:pPr>
    </w:p>
    <w:p w14:paraId="3166D915">
      <w:pPr>
        <w:adjustRightInd w:val="0"/>
        <w:snapToGrid w:val="0"/>
        <w:spacing w:line="360" w:lineRule="auto"/>
        <w:ind w:firstLine="600"/>
        <w:jc w:val="right"/>
      </w:pPr>
      <w:r>
        <w:rPr>
          <w:rFonts w:hint="eastAsia"/>
        </w:rPr>
        <w:t>年     月    日</w:t>
      </w:r>
    </w:p>
    <w:p w14:paraId="40EA7D2B">
      <w:pPr>
        <w:adjustRightInd w:val="0"/>
        <w:snapToGrid w:val="0"/>
        <w:spacing w:line="360" w:lineRule="auto"/>
        <w:ind w:firstLine="600"/>
        <w:jc w:val="right"/>
      </w:pPr>
    </w:p>
    <w:p w14:paraId="4F3E41AA">
      <w:pPr>
        <w:adjustRightInd w:val="0"/>
        <w:spacing w:line="300" w:lineRule="auto"/>
        <w:ind w:hanging="2"/>
        <w:jc w:val="center"/>
        <w:rPr>
          <w:b/>
          <w:snapToGrid w:val="0"/>
          <w:kern w:val="0"/>
          <w:sz w:val="28"/>
        </w:rPr>
      </w:pPr>
    </w:p>
    <w:p w14:paraId="60CAED2B">
      <w:pPr>
        <w:tabs>
          <w:tab w:val="left" w:pos="450"/>
        </w:tabs>
        <w:adjustRightInd w:val="0"/>
        <w:spacing w:line="300" w:lineRule="auto"/>
        <w:ind w:hanging="2"/>
        <w:rPr>
          <w:rFonts w:ascii="宋体" w:hAnsi="宋体"/>
          <w:sz w:val="24"/>
        </w:rPr>
      </w:pPr>
      <w:r>
        <w:rPr>
          <w:b/>
          <w:snapToGrid w:val="0"/>
          <w:kern w:val="0"/>
          <w:sz w:val="28"/>
        </w:rPr>
        <w:tab/>
      </w:r>
    </w:p>
    <w:p w14:paraId="7F02B3B4">
      <w:pPr>
        <w:pStyle w:val="6"/>
        <w:numPr>
          <w:ilvl w:val="0"/>
          <w:numId w:val="0"/>
        </w:numPr>
        <w:tabs>
          <w:tab w:val="clear" w:pos="2111"/>
        </w:tabs>
        <w:spacing w:before="120" w:after="120"/>
        <w:ind w:left="-1" w:leftChars="-1" w:hanging="1"/>
        <w:jc w:val="center"/>
        <w:rPr>
          <w:rFonts w:hint="eastAsia" w:ascii="宋体" w:hAnsi="宋体" w:eastAsia="宋体"/>
          <w:sz w:val="24"/>
          <w:lang w:eastAsia="zh-CN"/>
        </w:rPr>
      </w:pPr>
      <w:r>
        <w:rPr>
          <w:rFonts w:hint="eastAsia" w:ascii="宋体" w:hAnsi="宋体"/>
          <w:sz w:val="24"/>
        </w:rPr>
        <w:t xml:space="preserve">格式4  </w:t>
      </w:r>
      <w:r>
        <w:rPr>
          <w:rFonts w:hint="eastAsia" w:ascii="宋体" w:hAnsi="宋体"/>
          <w:sz w:val="24"/>
          <w:lang w:eastAsia="zh-CN"/>
        </w:rPr>
        <w:t>符合政府采购扶持政策的证明材料</w:t>
      </w:r>
    </w:p>
    <w:p w14:paraId="03BBB23E">
      <w:pPr>
        <w:pStyle w:val="416"/>
        <w:keepNext w:val="0"/>
        <w:adjustRightInd/>
        <w:spacing w:before="0" w:after="0" w:line="240" w:lineRule="auto"/>
        <w:outlineLvl w:val="2"/>
        <w:rPr>
          <w:rFonts w:hAnsi="宋体"/>
          <w:szCs w:val="24"/>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57" w:name="_Hlk71925120"/>
      <w:r>
        <w:rPr>
          <w:rFonts w:hint="eastAsia" w:asciiTheme="minorEastAsia" w:hAnsiTheme="minorEastAsia" w:eastAsiaTheme="minorEastAsia"/>
          <w:kern w:val="0"/>
          <w:szCs w:val="21"/>
        </w:rPr>
        <w:t>《关于印发中小企业划型标准规定的通知》（工信部联企业〔2011〕300 号</w:t>
      </w:r>
      <w:bookmarkEnd w:id="57"/>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3、请依照招标文件提供的格式和内容填写声明函，不要随意变更格式；满足多项优惠政策的投标人，不重复享受多项价格扣除政策。不符合要求的供应商可以不填写。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（详见评审方法和标准/2、政府采购扶持政策）</w:t>
      </w:r>
      <w:r>
        <w:rPr>
          <w:rFonts w:hint="eastAsia" w:asciiTheme="minorEastAsia" w:hAnsiTheme="minorEastAsia" w:eastAsiaTheme="minorEastAsia"/>
          <w:kern w:val="0"/>
          <w:szCs w:val="21"/>
        </w:rPr>
        <w:t>；</w:t>
      </w:r>
    </w:p>
    <w:p w14:paraId="2E232F85">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04463A3A">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62FE980B">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45C8571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7410D2C">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775DB129">
      <w:pPr>
        <w:pStyle w:val="5"/>
        <w:tabs>
          <w:tab w:val="left" w:pos="0"/>
        </w:tabs>
        <w:jc w:val="center"/>
        <w:rPr>
          <w:rFonts w:ascii="宋体" w:hAnsi="宋体" w:eastAsia="宋体"/>
        </w:rPr>
      </w:pPr>
      <w:r>
        <w:rPr>
          <w:rFonts w:hint="eastAsia" w:ascii="宋体" w:hAnsi="宋体" w:eastAsia="宋体"/>
        </w:rPr>
        <w:t>中小企业声明函</w:t>
      </w:r>
    </w:p>
    <w:p w14:paraId="793EBC56">
      <w:pPr>
        <w:pStyle w:val="22"/>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2"/>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2"/>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5"/>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5"/>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5"/>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2"/>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ascii="宋体" w:hAnsi="宋体"/>
          <w:b/>
          <w:szCs w:val="21"/>
        </w:rPr>
        <w:t>国家确定的认证机构出具的、处于有效期之内的节能产品、环境标志产品认证证书，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“投标产品报价”栏中须准确填报该投标产品的投标单价、数量及投标合计报价；投标产品名称、规格型号、价格应与“分项价格表”一致，如不一致，以“分项价格表”为准。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56570EA3">
      <w:pPr>
        <w:adjustRightInd w:val="0"/>
        <w:snapToGrid w:val="0"/>
        <w:spacing w:line="360" w:lineRule="auto"/>
        <w:ind w:firstLine="600"/>
        <w:jc w:val="left"/>
      </w:pPr>
    </w:p>
    <w:p w14:paraId="608E35F2">
      <w:pPr>
        <w:adjustRightInd w:val="0"/>
        <w:snapToGrid w:val="0"/>
        <w:spacing w:line="360" w:lineRule="auto"/>
        <w:ind w:firstLine="600"/>
        <w:jc w:val="left"/>
      </w:pPr>
    </w:p>
    <w:p w14:paraId="22DA3DE5">
      <w:pPr>
        <w:rPr>
          <w:rFonts w:hint="eastAsia" w:ascii="宋体" w:hAnsi="宋体"/>
          <w:sz w:val="24"/>
        </w:rPr>
      </w:pPr>
      <w:bookmarkStart w:id="58" w:name="_Toc44691397"/>
      <w:bookmarkStart w:id="59" w:name="_Toc44690706"/>
      <w:bookmarkStart w:id="60" w:name="_Toc44691165"/>
      <w:bookmarkStart w:id="61" w:name="_Toc44690433"/>
      <w:r>
        <w:rPr>
          <w:rFonts w:hint="eastAsia" w:ascii="宋体" w:hAnsi="宋体"/>
          <w:sz w:val="24"/>
        </w:rPr>
        <w:br w:type="page"/>
      </w:r>
    </w:p>
    <w:p w14:paraId="51A877FF">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格式5  开标一览表</w:t>
      </w:r>
      <w:bookmarkEnd w:id="58"/>
      <w:bookmarkEnd w:id="59"/>
      <w:bookmarkEnd w:id="60"/>
      <w:bookmarkEnd w:id="61"/>
    </w:p>
    <w:p w14:paraId="0AD8C6BF">
      <w:pPr>
        <w:adjustRightInd w:val="0"/>
        <w:snapToGrid w:val="0"/>
        <w:spacing w:line="360" w:lineRule="auto"/>
        <w:rPr>
          <w:bCs/>
          <w:snapToGrid w:val="0"/>
          <w:kern w:val="0"/>
        </w:rPr>
      </w:pPr>
    </w:p>
    <w:p w14:paraId="4FCFD59C">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08354930">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6"/>
        <w:gridCol w:w="4396"/>
        <w:gridCol w:w="2261"/>
      </w:tblGrid>
      <w:tr w14:paraId="56A51B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976" w:type="dxa"/>
            <w:tcBorders>
              <w:top w:val="double" w:color="auto" w:sz="4" w:space="0"/>
              <w:bottom w:val="single" w:color="auto" w:sz="4" w:space="0"/>
            </w:tcBorders>
            <w:vAlign w:val="center"/>
          </w:tcPr>
          <w:p w14:paraId="5897C604">
            <w:pPr>
              <w:adjustRightInd w:val="0"/>
              <w:snapToGrid w:val="0"/>
              <w:spacing w:line="360" w:lineRule="auto"/>
              <w:jc w:val="center"/>
              <w:rPr>
                <w:snapToGrid w:val="0"/>
                <w:kern w:val="0"/>
              </w:rPr>
            </w:pPr>
            <w:r>
              <w:rPr>
                <w:snapToGrid w:val="0"/>
                <w:kern w:val="0"/>
              </w:rPr>
              <w:t>项目名称</w:t>
            </w:r>
          </w:p>
        </w:tc>
        <w:tc>
          <w:tcPr>
            <w:tcW w:w="4396" w:type="dxa"/>
            <w:tcBorders>
              <w:top w:val="double" w:color="auto" w:sz="4" w:space="0"/>
              <w:bottom w:val="single" w:color="auto" w:sz="4" w:space="0"/>
            </w:tcBorders>
            <w:vAlign w:val="center"/>
          </w:tcPr>
          <w:p w14:paraId="1CFE3B30">
            <w:pPr>
              <w:adjustRightInd w:val="0"/>
              <w:snapToGrid w:val="0"/>
              <w:spacing w:line="360" w:lineRule="auto"/>
              <w:jc w:val="center"/>
              <w:rPr>
                <w:snapToGrid w:val="0"/>
                <w:kern w:val="0"/>
              </w:rPr>
            </w:pPr>
            <w:r>
              <w:rPr>
                <w:snapToGrid w:val="0"/>
                <w:kern w:val="0"/>
              </w:rPr>
              <w:t>响应报价</w:t>
            </w:r>
          </w:p>
          <w:p w14:paraId="40E3B11C">
            <w:pPr>
              <w:adjustRightInd w:val="0"/>
              <w:snapToGrid w:val="0"/>
              <w:spacing w:line="360" w:lineRule="auto"/>
              <w:jc w:val="center"/>
              <w:rPr>
                <w:snapToGrid w:val="0"/>
                <w:kern w:val="0"/>
              </w:rPr>
            </w:pPr>
            <w:r>
              <w:rPr>
                <w:snapToGrid w:val="0"/>
                <w:kern w:val="0"/>
              </w:rPr>
              <w:t>（人民币元）</w:t>
            </w:r>
          </w:p>
        </w:tc>
        <w:tc>
          <w:tcPr>
            <w:tcW w:w="2261" w:type="dxa"/>
            <w:tcBorders>
              <w:top w:val="double" w:color="auto" w:sz="4" w:space="0"/>
              <w:bottom w:val="single" w:color="auto" w:sz="4" w:space="0"/>
            </w:tcBorders>
            <w:vAlign w:val="center"/>
          </w:tcPr>
          <w:p w14:paraId="06C4A0B9">
            <w:pPr>
              <w:adjustRightInd w:val="0"/>
              <w:snapToGrid w:val="0"/>
              <w:spacing w:line="360" w:lineRule="auto"/>
              <w:jc w:val="center"/>
              <w:rPr>
                <w:snapToGrid w:val="0"/>
                <w:kern w:val="0"/>
              </w:rPr>
            </w:pPr>
            <w:r>
              <w:rPr>
                <w:rFonts w:hint="eastAsia"/>
                <w:snapToGrid w:val="0"/>
                <w:kern w:val="0"/>
              </w:rPr>
              <w:t>备注</w:t>
            </w:r>
          </w:p>
        </w:tc>
      </w:tr>
      <w:tr w14:paraId="3572DE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2976" w:type="dxa"/>
            <w:tcBorders>
              <w:top w:val="single" w:color="auto" w:sz="4" w:space="0"/>
            </w:tcBorders>
            <w:vAlign w:val="center"/>
          </w:tcPr>
          <w:p w14:paraId="21C89E23">
            <w:pPr>
              <w:adjustRightInd w:val="0"/>
              <w:snapToGrid w:val="0"/>
              <w:spacing w:line="360" w:lineRule="auto"/>
              <w:jc w:val="center"/>
              <w:rPr>
                <w:rFonts w:hint="eastAsia" w:eastAsia="宋体"/>
                <w:lang w:eastAsia="zh-CN"/>
              </w:rPr>
            </w:pPr>
            <w:r>
              <w:rPr>
                <w:rFonts w:hint="eastAsia"/>
                <w:lang w:eastAsia="zh-CN"/>
              </w:rPr>
              <w:t>2026年度医疗责任保险（重新采购第1次）</w:t>
            </w:r>
          </w:p>
        </w:tc>
        <w:tc>
          <w:tcPr>
            <w:tcW w:w="4396" w:type="dxa"/>
            <w:tcBorders>
              <w:top w:val="single" w:color="auto" w:sz="4" w:space="0"/>
            </w:tcBorders>
            <w:vAlign w:val="center"/>
          </w:tcPr>
          <w:p w14:paraId="1565031A">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793CDD83">
            <w:pPr>
              <w:adjustRightInd w:val="0"/>
              <w:snapToGrid w:val="0"/>
              <w:spacing w:line="360" w:lineRule="auto"/>
              <w:jc w:val="center"/>
              <w:rPr>
                <w:snapToGrid w:val="0"/>
                <w:kern w:val="0"/>
              </w:rPr>
            </w:pPr>
          </w:p>
        </w:tc>
      </w:tr>
    </w:tbl>
    <w:p w14:paraId="6F023EA0">
      <w:pPr>
        <w:adjustRightInd w:val="0"/>
        <w:snapToGrid w:val="0"/>
        <w:spacing w:line="360" w:lineRule="auto"/>
        <w:rPr>
          <w:snapToGrid w:val="0"/>
          <w:kern w:val="0"/>
        </w:rPr>
      </w:pPr>
    </w:p>
    <w:p w14:paraId="082AA1BC">
      <w:pPr>
        <w:adjustRightInd w:val="0"/>
        <w:snapToGrid w:val="0"/>
        <w:spacing w:line="360" w:lineRule="auto"/>
        <w:rPr>
          <w:rFonts w:hint="eastAsia"/>
          <w:snapToGrid w:val="0"/>
          <w:kern w:val="0"/>
          <w:lang w:val="en-US" w:eastAsia="zh-CN"/>
        </w:rPr>
      </w:pPr>
    </w:p>
    <w:p w14:paraId="39D38096">
      <w:pPr>
        <w:adjustRightInd w:val="0"/>
        <w:snapToGrid w:val="0"/>
        <w:spacing w:line="360" w:lineRule="auto"/>
        <w:rPr>
          <w:snapToGrid w:val="0"/>
          <w:kern w:val="0"/>
        </w:rPr>
      </w:pPr>
      <w:r>
        <w:rPr>
          <w:rFonts w:hint="eastAsia"/>
          <w:snapToGrid w:val="0"/>
          <w:kern w:val="0"/>
          <w:lang w:val="en-US" w:eastAsia="zh-CN"/>
        </w:rPr>
        <w:t>签字：</w:t>
      </w:r>
    </w:p>
    <w:p w14:paraId="205C4ED4">
      <w:pPr>
        <w:adjustRightInd w:val="0"/>
        <w:snapToGrid w:val="0"/>
        <w:spacing w:line="360" w:lineRule="auto"/>
        <w:rPr>
          <w:snapToGrid w:val="0"/>
          <w:kern w:val="0"/>
        </w:rPr>
      </w:pPr>
      <w:r>
        <w:rPr>
          <w:snapToGrid w:val="0"/>
          <w:kern w:val="0"/>
        </w:rPr>
        <w:t>供应商：（盖</w:t>
      </w:r>
      <w:r>
        <w:rPr>
          <w:rFonts w:hint="eastAsia"/>
          <w:snapToGrid w:val="0"/>
          <w:kern w:val="0"/>
          <w:lang w:eastAsia="zh-CN"/>
        </w:rPr>
        <w:t>公</w:t>
      </w:r>
      <w:r>
        <w:rPr>
          <w:snapToGrid w:val="0"/>
          <w:kern w:val="0"/>
        </w:rPr>
        <w:t>章）</w:t>
      </w:r>
    </w:p>
    <w:p w14:paraId="78EABCD2">
      <w:pPr>
        <w:adjustRightInd w:val="0"/>
        <w:snapToGrid w:val="0"/>
        <w:spacing w:line="360" w:lineRule="auto"/>
        <w:rPr>
          <w:snapToGrid w:val="0"/>
          <w:kern w:val="0"/>
        </w:rPr>
      </w:pPr>
    </w:p>
    <w:p w14:paraId="56B9E650">
      <w:pPr>
        <w:adjustRightInd w:val="0"/>
        <w:snapToGrid w:val="0"/>
        <w:spacing w:line="360" w:lineRule="auto"/>
        <w:rPr>
          <w:snapToGrid w:val="0"/>
          <w:kern w:val="0"/>
        </w:rPr>
      </w:pPr>
    </w:p>
    <w:p w14:paraId="11E9B160">
      <w:pPr>
        <w:adjustRightInd w:val="0"/>
        <w:snapToGrid w:val="0"/>
        <w:spacing w:line="360" w:lineRule="auto"/>
        <w:ind w:firstLine="6825" w:firstLineChars="3250"/>
        <w:rPr>
          <w:snapToGrid w:val="0"/>
          <w:kern w:val="0"/>
        </w:rPr>
      </w:pPr>
      <w:r>
        <w:rPr>
          <w:snapToGrid w:val="0"/>
          <w:kern w:val="0"/>
        </w:rPr>
        <w:t>年    月    日</w:t>
      </w:r>
    </w:p>
    <w:p w14:paraId="1D0BBAC0">
      <w:pPr>
        <w:adjustRightInd w:val="0"/>
        <w:snapToGrid w:val="0"/>
        <w:spacing w:line="360" w:lineRule="auto"/>
        <w:ind w:firstLine="1050" w:firstLineChars="500"/>
        <w:rPr>
          <w:snapToGrid w:val="0"/>
          <w:kern w:val="0"/>
        </w:rPr>
      </w:pPr>
    </w:p>
    <w:p w14:paraId="357B1F1A">
      <w:pPr>
        <w:keepNext w:val="0"/>
        <w:keepLines w:val="0"/>
        <w:pageBreakBefore w:val="0"/>
        <w:kinsoku/>
        <w:wordWrap/>
        <w:overflowPunct/>
        <w:topLinePunct w:val="0"/>
        <w:autoSpaceDE/>
        <w:autoSpaceDN/>
        <w:bidi w:val="0"/>
        <w:adjustRightInd w:val="0"/>
        <w:spacing w:line="312" w:lineRule="auto"/>
        <w:ind w:left="0" w:firstLine="424" w:firstLineChars="202"/>
        <w:textAlignment w:val="auto"/>
        <w:rPr>
          <w:rFonts w:hint="eastAsia" w:ascii="宋体" w:hAnsi="宋体" w:eastAsia="宋体" w:cs="Times New Roman"/>
          <w:szCs w:val="21"/>
          <w:highlight w:val="none"/>
        </w:rPr>
      </w:pPr>
      <w:r>
        <w:rPr>
          <w:rFonts w:hint="eastAsia" w:ascii="宋体" w:hAnsi="宋体" w:eastAsia="宋体" w:cs="宋体"/>
          <w:bCs/>
          <w:color w:val="000000" w:themeColor="text1"/>
          <w:szCs w:val="21"/>
          <w:highlight w:val="none"/>
        </w:rPr>
        <w:t>注：</w:t>
      </w:r>
      <w:r>
        <w:rPr>
          <w:rFonts w:hint="eastAsia" w:ascii="宋体" w:hAnsi="宋体" w:eastAsia="宋体" w:cs="宋体"/>
          <w:bCs/>
          <w:color w:val="000000" w:themeColor="text1"/>
          <w:szCs w:val="21"/>
          <w:highlight w:val="none"/>
          <w:lang w:val="en-US" w:eastAsia="zh-CN"/>
        </w:rPr>
        <w:t>1.</w:t>
      </w:r>
      <w:r>
        <w:rPr>
          <w:rFonts w:hint="eastAsia" w:ascii="宋体" w:hAnsi="宋体"/>
          <w:szCs w:val="21"/>
          <w:highlight w:val="none"/>
        </w:rPr>
        <w:t>投标</w:t>
      </w:r>
      <w:r>
        <w:rPr>
          <w:rFonts w:hint="eastAsia" w:eastAsia="宋体"/>
          <w:snapToGrid w:val="0"/>
          <w:kern w:val="0"/>
          <w:highlight w:val="none"/>
          <w:lang w:eastAsia="zh-CN"/>
        </w:rPr>
        <w:t>报</w:t>
      </w:r>
      <w:r>
        <w:rPr>
          <w:rFonts w:hint="eastAsia" w:ascii="宋体" w:hAnsi="宋体"/>
          <w:szCs w:val="21"/>
          <w:highlight w:val="none"/>
        </w:rPr>
        <w:t>价</w:t>
      </w:r>
      <w:r>
        <w:rPr>
          <w:rFonts w:hint="eastAsia" w:ascii="宋体" w:hAnsi="宋体"/>
          <w:szCs w:val="21"/>
          <w:highlight w:val="none"/>
          <w:lang w:eastAsia="zh-CN"/>
        </w:rPr>
        <w:t>应符合“第二章  项目需求”中的报价要求，</w:t>
      </w:r>
      <w:r>
        <w:rPr>
          <w:rFonts w:hint="eastAsia" w:ascii="宋体" w:hAnsi="宋体"/>
          <w:szCs w:val="21"/>
          <w:highlight w:val="none"/>
        </w:rPr>
        <w:t>包含完成本项目所需的全部费用</w:t>
      </w:r>
      <w:r>
        <w:rPr>
          <w:rFonts w:hint="eastAsia" w:ascii="宋体" w:hAnsi="宋体" w:eastAsia="宋体" w:cs="Times New Roman"/>
          <w:szCs w:val="21"/>
          <w:highlight w:val="none"/>
        </w:rPr>
        <w:t>。</w:t>
      </w:r>
    </w:p>
    <w:p w14:paraId="36BFFB3C">
      <w:pPr>
        <w:adjustRightInd w:val="0"/>
        <w:spacing w:line="312" w:lineRule="auto"/>
        <w:ind w:left="2" w:firstLine="424" w:firstLineChars="202"/>
        <w:rPr>
          <w:rFonts w:ascii="宋体" w:hAnsi="宋体"/>
          <w:bCs/>
        </w:rPr>
      </w:pPr>
      <w:r>
        <w:rPr>
          <w:rFonts w:hint="eastAsia" w:ascii="宋体" w:hAnsi="宋体"/>
          <w:szCs w:val="21"/>
          <w:highlight w:val="none"/>
          <w:lang w:val="en-US" w:eastAsia="zh-CN"/>
        </w:rPr>
        <w:t>2</w:t>
      </w:r>
      <w:r>
        <w:rPr>
          <w:rFonts w:hint="eastAsia" w:ascii="宋体" w:hAnsi="宋体"/>
          <w:szCs w:val="21"/>
          <w:highlight w:val="none"/>
        </w:rPr>
        <w:t>、评</w:t>
      </w:r>
      <w:r>
        <w:rPr>
          <w:rFonts w:hint="eastAsia" w:ascii="宋体" w:hAnsi="宋体"/>
          <w:szCs w:val="21"/>
        </w:rPr>
        <w:t>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10AE456A">
      <w:pPr>
        <w:adjustRightInd w:val="0"/>
        <w:spacing w:line="312" w:lineRule="auto"/>
        <w:ind w:left="2" w:firstLine="420" w:firstLineChars="200"/>
        <w:rPr>
          <w:rFonts w:ascii="宋体" w:hAnsi="宋体"/>
          <w:szCs w:val="21"/>
        </w:rPr>
      </w:pPr>
      <w:r>
        <w:rPr>
          <w:rFonts w:hint="eastAsia" w:ascii="宋体" w:hAnsi="宋体"/>
          <w:szCs w:val="21"/>
          <w:lang w:val="en-US" w:eastAsia="zh-CN"/>
        </w:rPr>
        <w:t>3</w:t>
      </w:r>
      <w:r>
        <w:rPr>
          <w:rFonts w:hint="eastAsia" w:ascii="宋体" w:hAnsi="宋体"/>
          <w:szCs w:val="21"/>
        </w:rPr>
        <w:t>、</w:t>
      </w:r>
      <w:r>
        <w:rPr>
          <w:rFonts w:ascii="宋体" w:hAnsi="宋体"/>
          <w:snapToGrid w:val="0"/>
          <w:kern w:val="0"/>
        </w:rPr>
        <w:t>此表应经法定代表人或其授权委托人签名，并加盖公章。</w:t>
      </w:r>
    </w:p>
    <w:p w14:paraId="331EB538">
      <w:pPr>
        <w:adjustRightInd w:val="0"/>
        <w:spacing w:line="312" w:lineRule="auto"/>
        <w:ind w:firstLine="437"/>
      </w:pPr>
      <w:r>
        <w:rPr>
          <w:rFonts w:hint="eastAsia" w:ascii="宋体" w:hAnsi="宋体"/>
          <w:b/>
          <w:snapToGrid w:val="0"/>
          <w:kern w:val="0"/>
          <w:sz w:val="24"/>
          <w:lang w:val="en-US" w:eastAsia="zh-CN"/>
        </w:rPr>
        <w:t>4</w:t>
      </w:r>
      <w:r>
        <w:rPr>
          <w:rFonts w:hint="eastAsia" w:ascii="宋体" w:hAnsi="宋体"/>
          <w:b/>
          <w:snapToGrid w:val="0"/>
          <w:kern w:val="0"/>
          <w:sz w:val="24"/>
        </w:rPr>
        <w:t>、</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需装订于正副本内，应按“供应商须知”18.</w:t>
      </w:r>
      <w:r>
        <w:rPr>
          <w:rFonts w:hint="eastAsia" w:ascii="宋体" w:hAnsi="宋体"/>
          <w:b/>
          <w:snapToGrid w:val="0"/>
          <w:kern w:val="0"/>
          <w:sz w:val="24"/>
        </w:rPr>
        <w:t>4</w:t>
      </w:r>
      <w:r>
        <w:rPr>
          <w:rFonts w:ascii="宋体" w:hAnsi="宋体"/>
          <w:b/>
          <w:snapToGrid w:val="0"/>
          <w:kern w:val="0"/>
          <w:sz w:val="24"/>
        </w:rPr>
        <w:t>项要求单独密封。</w:t>
      </w:r>
    </w:p>
    <w:p w14:paraId="793BF0C2">
      <w:pPr>
        <w:widowControl/>
        <w:jc w:val="left"/>
      </w:pPr>
    </w:p>
    <w:p w14:paraId="045D7F46"/>
    <w:p w14:paraId="469683AD">
      <w:pPr>
        <w:rPr>
          <w:rFonts w:hint="eastAsia" w:ascii="宋体" w:hAnsi="宋体"/>
          <w:sz w:val="24"/>
        </w:rPr>
      </w:pPr>
      <w:bookmarkStart w:id="62" w:name="_Toc44690707"/>
      <w:bookmarkStart w:id="63" w:name="_Toc44690434"/>
      <w:bookmarkStart w:id="64" w:name="_Toc44691398"/>
      <w:bookmarkStart w:id="65" w:name="_Toc44691166"/>
      <w:r>
        <w:rPr>
          <w:rFonts w:hint="eastAsia" w:ascii="宋体" w:hAnsi="宋体"/>
          <w:sz w:val="24"/>
        </w:rPr>
        <w:br w:type="page"/>
      </w:r>
    </w:p>
    <w:p w14:paraId="6F2850F7">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格式6  报价表</w:t>
      </w:r>
      <w:bookmarkEnd w:id="62"/>
      <w:bookmarkEnd w:id="63"/>
      <w:bookmarkEnd w:id="64"/>
      <w:bookmarkEnd w:id="65"/>
    </w:p>
    <w:p w14:paraId="4745A79B">
      <w:pPr>
        <w:spacing w:line="300" w:lineRule="auto"/>
        <w:rPr>
          <w:rFonts w:ascii="楷体_GB2312" w:eastAsia="楷体_GB2312"/>
          <w:b/>
          <w:sz w:val="24"/>
        </w:rPr>
      </w:pPr>
      <w:r>
        <w:rPr>
          <w:rFonts w:hint="eastAsia" w:ascii="楷体_GB2312" w:eastAsia="楷体_GB2312"/>
          <w:b/>
          <w:sz w:val="24"/>
        </w:rPr>
        <w:t>1   报价要求</w:t>
      </w:r>
    </w:p>
    <w:p w14:paraId="473FE83B">
      <w:pPr>
        <w:spacing w:line="300" w:lineRule="auto"/>
        <w:rPr>
          <w:rFonts w:ascii="宋体" w:hAnsi="宋体"/>
          <w:snapToGrid w:val="0"/>
          <w:kern w:val="0"/>
        </w:rPr>
      </w:pPr>
      <w:r>
        <w:rPr>
          <w:rFonts w:hint="eastAsia" w:ascii="宋体" w:hAnsi="宋体"/>
          <w:snapToGrid w:val="0"/>
          <w:kern w:val="0"/>
        </w:rPr>
        <w:t xml:space="preserve">1.1  </w:t>
      </w:r>
      <w:r>
        <w:rPr>
          <w:rFonts w:hint="eastAsia" w:ascii="宋体" w:hAnsi="宋体"/>
          <w:szCs w:val="21"/>
        </w:rPr>
        <w:t>投标</w:t>
      </w:r>
      <w:r>
        <w:rPr>
          <w:rFonts w:hint="eastAsia" w:eastAsia="宋体"/>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snapToGrid w:val="0"/>
          <w:kern w:val="0"/>
        </w:rPr>
        <w:t>。</w:t>
      </w:r>
    </w:p>
    <w:p w14:paraId="138A66F6">
      <w:pPr>
        <w:adjustRightInd w:val="0"/>
        <w:snapToGrid w:val="0"/>
        <w:spacing w:line="300" w:lineRule="auto"/>
        <w:rPr>
          <w:snapToGrid w:val="0"/>
          <w:kern w:val="0"/>
        </w:rPr>
      </w:pPr>
    </w:p>
    <w:p w14:paraId="24244935">
      <w:pPr>
        <w:spacing w:line="300" w:lineRule="auto"/>
        <w:rPr>
          <w:rFonts w:eastAsia="楷体_GB2312"/>
          <w:b/>
          <w:sz w:val="24"/>
        </w:rPr>
      </w:pPr>
      <w:r>
        <w:rPr>
          <w:rFonts w:hint="eastAsia" w:eastAsia="楷体_GB2312"/>
          <w:b/>
          <w:sz w:val="24"/>
        </w:rPr>
        <w:t>2   报价表</w:t>
      </w:r>
    </w:p>
    <w:p w14:paraId="061673E4">
      <w:pPr>
        <w:adjustRightInd w:val="0"/>
        <w:snapToGrid w:val="0"/>
        <w:spacing w:line="300" w:lineRule="auto"/>
        <w:rPr>
          <w:snapToGrid w:val="0"/>
          <w:kern w:val="0"/>
        </w:rPr>
      </w:pP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485"/>
        <w:gridCol w:w="876"/>
        <w:gridCol w:w="909"/>
        <w:gridCol w:w="1643"/>
        <w:gridCol w:w="1701"/>
        <w:gridCol w:w="1125"/>
      </w:tblGrid>
      <w:tr w14:paraId="37BB9C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28" w:type="dxa"/>
            <w:vAlign w:val="center"/>
          </w:tcPr>
          <w:p w14:paraId="2B3AB78B">
            <w:pPr>
              <w:adjustRightInd w:val="0"/>
              <w:snapToGrid w:val="0"/>
              <w:spacing w:line="300" w:lineRule="auto"/>
              <w:jc w:val="center"/>
              <w:rPr>
                <w:b/>
                <w:snapToGrid w:val="0"/>
                <w:kern w:val="0"/>
              </w:rPr>
            </w:pPr>
            <w:r>
              <w:rPr>
                <w:rFonts w:hint="eastAsia"/>
                <w:b/>
                <w:snapToGrid w:val="0"/>
                <w:kern w:val="0"/>
              </w:rPr>
              <w:t>序号</w:t>
            </w:r>
          </w:p>
        </w:tc>
        <w:tc>
          <w:tcPr>
            <w:tcW w:w="2485" w:type="dxa"/>
            <w:vAlign w:val="center"/>
          </w:tcPr>
          <w:p w14:paraId="7A5E9069">
            <w:pPr>
              <w:adjustRightInd w:val="0"/>
              <w:snapToGrid w:val="0"/>
              <w:spacing w:line="300" w:lineRule="auto"/>
              <w:jc w:val="center"/>
              <w:rPr>
                <w:b/>
                <w:snapToGrid w:val="0"/>
                <w:kern w:val="0"/>
              </w:rPr>
            </w:pPr>
            <w:r>
              <w:rPr>
                <w:rFonts w:hint="eastAsia"/>
                <w:b/>
                <w:snapToGrid w:val="0"/>
                <w:kern w:val="0"/>
              </w:rPr>
              <w:t>项目内容</w:t>
            </w:r>
          </w:p>
        </w:tc>
        <w:tc>
          <w:tcPr>
            <w:tcW w:w="876" w:type="dxa"/>
            <w:vAlign w:val="center"/>
          </w:tcPr>
          <w:p w14:paraId="71F65013">
            <w:pPr>
              <w:adjustRightInd w:val="0"/>
              <w:snapToGrid w:val="0"/>
              <w:spacing w:line="300" w:lineRule="auto"/>
              <w:jc w:val="center"/>
              <w:rPr>
                <w:b/>
                <w:snapToGrid w:val="0"/>
                <w:kern w:val="0"/>
              </w:rPr>
            </w:pPr>
            <w:r>
              <w:rPr>
                <w:rFonts w:hint="eastAsia"/>
                <w:b/>
                <w:snapToGrid w:val="0"/>
                <w:kern w:val="0"/>
              </w:rPr>
              <w:t>数量</w:t>
            </w:r>
          </w:p>
        </w:tc>
        <w:tc>
          <w:tcPr>
            <w:tcW w:w="909" w:type="dxa"/>
            <w:vAlign w:val="center"/>
          </w:tcPr>
          <w:p w14:paraId="73A4DD69">
            <w:pPr>
              <w:adjustRightInd w:val="0"/>
              <w:snapToGrid w:val="0"/>
              <w:spacing w:line="300" w:lineRule="auto"/>
              <w:jc w:val="center"/>
              <w:rPr>
                <w:b/>
                <w:snapToGrid w:val="0"/>
                <w:kern w:val="0"/>
              </w:rPr>
            </w:pPr>
            <w:r>
              <w:rPr>
                <w:rFonts w:hint="eastAsia"/>
                <w:b/>
                <w:snapToGrid w:val="0"/>
                <w:kern w:val="0"/>
              </w:rPr>
              <w:t>单位</w:t>
            </w:r>
          </w:p>
        </w:tc>
        <w:tc>
          <w:tcPr>
            <w:tcW w:w="1643" w:type="dxa"/>
            <w:vAlign w:val="center"/>
          </w:tcPr>
          <w:p w14:paraId="0C198A1C">
            <w:pPr>
              <w:adjustRightInd w:val="0"/>
              <w:snapToGrid w:val="0"/>
              <w:spacing w:line="300" w:lineRule="auto"/>
              <w:jc w:val="center"/>
              <w:rPr>
                <w:b/>
                <w:snapToGrid w:val="0"/>
                <w:kern w:val="0"/>
              </w:rPr>
            </w:pPr>
            <w:r>
              <w:rPr>
                <w:rFonts w:hint="eastAsia"/>
                <w:b/>
                <w:snapToGrid w:val="0"/>
                <w:kern w:val="0"/>
              </w:rPr>
              <w:t>单价（单位：元）</w:t>
            </w:r>
          </w:p>
        </w:tc>
        <w:tc>
          <w:tcPr>
            <w:tcW w:w="1701" w:type="dxa"/>
            <w:vAlign w:val="center"/>
          </w:tcPr>
          <w:p w14:paraId="688F6165">
            <w:pPr>
              <w:adjustRightInd w:val="0"/>
              <w:snapToGrid w:val="0"/>
              <w:spacing w:line="300" w:lineRule="auto"/>
              <w:jc w:val="center"/>
              <w:rPr>
                <w:b/>
                <w:snapToGrid w:val="0"/>
                <w:kern w:val="0"/>
              </w:rPr>
            </w:pPr>
            <w:r>
              <w:rPr>
                <w:rFonts w:hint="eastAsia"/>
                <w:b/>
                <w:snapToGrid w:val="0"/>
                <w:kern w:val="0"/>
              </w:rPr>
              <w:t>总价（单位：元）</w:t>
            </w:r>
          </w:p>
        </w:tc>
        <w:tc>
          <w:tcPr>
            <w:tcW w:w="1125" w:type="dxa"/>
            <w:vAlign w:val="center"/>
          </w:tcPr>
          <w:p w14:paraId="0CF411A6">
            <w:pPr>
              <w:adjustRightInd w:val="0"/>
              <w:snapToGrid w:val="0"/>
              <w:spacing w:line="300" w:lineRule="auto"/>
              <w:jc w:val="center"/>
              <w:rPr>
                <w:b/>
                <w:snapToGrid w:val="0"/>
                <w:kern w:val="0"/>
              </w:rPr>
            </w:pPr>
            <w:r>
              <w:rPr>
                <w:rFonts w:hint="eastAsia"/>
                <w:b/>
                <w:snapToGrid w:val="0"/>
                <w:kern w:val="0"/>
              </w:rPr>
              <w:t>备注</w:t>
            </w:r>
          </w:p>
        </w:tc>
      </w:tr>
      <w:tr w14:paraId="071CF2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471DBFE9">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1</w:t>
            </w:r>
          </w:p>
        </w:tc>
        <w:tc>
          <w:tcPr>
            <w:tcW w:w="2485" w:type="dxa"/>
            <w:vAlign w:val="center"/>
          </w:tcPr>
          <w:p w14:paraId="3392709A">
            <w:pPr>
              <w:adjustRightInd w:val="0"/>
              <w:snapToGrid w:val="0"/>
              <w:spacing w:line="300" w:lineRule="auto"/>
              <w:jc w:val="center"/>
              <w:rPr>
                <w:rFonts w:ascii="宋体" w:hAnsi="宋体"/>
                <w:szCs w:val="21"/>
                <w:lang w:val="zh-CN"/>
              </w:rPr>
            </w:pPr>
          </w:p>
        </w:tc>
        <w:tc>
          <w:tcPr>
            <w:tcW w:w="876" w:type="dxa"/>
            <w:vAlign w:val="center"/>
          </w:tcPr>
          <w:p w14:paraId="627DF6CF">
            <w:pPr>
              <w:adjustRightInd w:val="0"/>
              <w:snapToGrid w:val="0"/>
              <w:spacing w:line="300" w:lineRule="auto"/>
              <w:jc w:val="center"/>
              <w:rPr>
                <w:snapToGrid w:val="0"/>
                <w:kern w:val="0"/>
              </w:rPr>
            </w:pPr>
          </w:p>
        </w:tc>
        <w:tc>
          <w:tcPr>
            <w:tcW w:w="909" w:type="dxa"/>
            <w:vAlign w:val="center"/>
          </w:tcPr>
          <w:p w14:paraId="6FEA0B64">
            <w:pPr>
              <w:adjustRightInd w:val="0"/>
              <w:snapToGrid w:val="0"/>
              <w:spacing w:line="300" w:lineRule="auto"/>
              <w:jc w:val="center"/>
              <w:rPr>
                <w:snapToGrid w:val="0"/>
                <w:kern w:val="0"/>
              </w:rPr>
            </w:pPr>
          </w:p>
        </w:tc>
        <w:tc>
          <w:tcPr>
            <w:tcW w:w="1643" w:type="dxa"/>
            <w:vAlign w:val="center"/>
          </w:tcPr>
          <w:p w14:paraId="344FC280">
            <w:pPr>
              <w:adjustRightInd w:val="0"/>
              <w:snapToGrid w:val="0"/>
              <w:spacing w:line="300" w:lineRule="auto"/>
              <w:jc w:val="center"/>
              <w:rPr>
                <w:snapToGrid w:val="0"/>
                <w:kern w:val="0"/>
              </w:rPr>
            </w:pPr>
          </w:p>
        </w:tc>
        <w:tc>
          <w:tcPr>
            <w:tcW w:w="1701" w:type="dxa"/>
            <w:vAlign w:val="center"/>
          </w:tcPr>
          <w:p w14:paraId="6C1F0573">
            <w:pPr>
              <w:adjustRightInd w:val="0"/>
              <w:snapToGrid w:val="0"/>
              <w:spacing w:line="300" w:lineRule="auto"/>
              <w:jc w:val="center"/>
              <w:rPr>
                <w:snapToGrid w:val="0"/>
                <w:kern w:val="0"/>
              </w:rPr>
            </w:pPr>
          </w:p>
        </w:tc>
        <w:tc>
          <w:tcPr>
            <w:tcW w:w="1125" w:type="dxa"/>
            <w:vAlign w:val="center"/>
          </w:tcPr>
          <w:p w14:paraId="1498E4BA">
            <w:pPr>
              <w:adjustRightInd w:val="0"/>
              <w:snapToGrid w:val="0"/>
              <w:spacing w:line="300" w:lineRule="auto"/>
              <w:jc w:val="center"/>
              <w:rPr>
                <w:snapToGrid w:val="0"/>
                <w:kern w:val="0"/>
              </w:rPr>
            </w:pPr>
          </w:p>
        </w:tc>
      </w:tr>
      <w:tr w14:paraId="7B7CA4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0937082D">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2</w:t>
            </w:r>
          </w:p>
        </w:tc>
        <w:tc>
          <w:tcPr>
            <w:tcW w:w="2485" w:type="dxa"/>
            <w:vAlign w:val="center"/>
          </w:tcPr>
          <w:p w14:paraId="3DEA871D">
            <w:pPr>
              <w:adjustRightInd w:val="0"/>
              <w:snapToGrid w:val="0"/>
              <w:spacing w:line="300" w:lineRule="auto"/>
              <w:jc w:val="center"/>
              <w:rPr>
                <w:rFonts w:ascii="宋体" w:hAnsi="宋体"/>
                <w:szCs w:val="21"/>
                <w:lang w:val="zh-CN"/>
              </w:rPr>
            </w:pPr>
          </w:p>
        </w:tc>
        <w:tc>
          <w:tcPr>
            <w:tcW w:w="876" w:type="dxa"/>
            <w:vAlign w:val="center"/>
          </w:tcPr>
          <w:p w14:paraId="5E2C66AC">
            <w:pPr>
              <w:adjustRightInd w:val="0"/>
              <w:snapToGrid w:val="0"/>
              <w:spacing w:line="300" w:lineRule="auto"/>
              <w:jc w:val="center"/>
              <w:rPr>
                <w:snapToGrid w:val="0"/>
                <w:kern w:val="0"/>
              </w:rPr>
            </w:pPr>
          </w:p>
        </w:tc>
        <w:tc>
          <w:tcPr>
            <w:tcW w:w="909" w:type="dxa"/>
            <w:vAlign w:val="center"/>
          </w:tcPr>
          <w:p w14:paraId="217C9B55">
            <w:pPr>
              <w:adjustRightInd w:val="0"/>
              <w:snapToGrid w:val="0"/>
              <w:spacing w:line="300" w:lineRule="auto"/>
              <w:jc w:val="center"/>
              <w:rPr>
                <w:snapToGrid w:val="0"/>
                <w:kern w:val="0"/>
              </w:rPr>
            </w:pPr>
          </w:p>
        </w:tc>
        <w:tc>
          <w:tcPr>
            <w:tcW w:w="1643" w:type="dxa"/>
            <w:vAlign w:val="center"/>
          </w:tcPr>
          <w:p w14:paraId="273B7A57">
            <w:pPr>
              <w:adjustRightInd w:val="0"/>
              <w:snapToGrid w:val="0"/>
              <w:spacing w:line="300" w:lineRule="auto"/>
              <w:jc w:val="center"/>
              <w:rPr>
                <w:snapToGrid w:val="0"/>
                <w:kern w:val="0"/>
              </w:rPr>
            </w:pPr>
          </w:p>
        </w:tc>
        <w:tc>
          <w:tcPr>
            <w:tcW w:w="1701" w:type="dxa"/>
            <w:vAlign w:val="center"/>
          </w:tcPr>
          <w:p w14:paraId="5FE37BB0">
            <w:pPr>
              <w:adjustRightInd w:val="0"/>
              <w:snapToGrid w:val="0"/>
              <w:spacing w:line="300" w:lineRule="auto"/>
              <w:jc w:val="center"/>
              <w:rPr>
                <w:snapToGrid w:val="0"/>
                <w:kern w:val="0"/>
              </w:rPr>
            </w:pPr>
          </w:p>
        </w:tc>
        <w:tc>
          <w:tcPr>
            <w:tcW w:w="1125" w:type="dxa"/>
            <w:vAlign w:val="center"/>
          </w:tcPr>
          <w:p w14:paraId="2E2401C8">
            <w:pPr>
              <w:adjustRightInd w:val="0"/>
              <w:snapToGrid w:val="0"/>
              <w:spacing w:line="300" w:lineRule="auto"/>
              <w:jc w:val="center"/>
              <w:rPr>
                <w:snapToGrid w:val="0"/>
                <w:kern w:val="0"/>
              </w:rPr>
            </w:pPr>
          </w:p>
        </w:tc>
      </w:tr>
      <w:tr w14:paraId="70E575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2C7E7DB3">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 xml:space="preserve">3 </w:t>
            </w:r>
          </w:p>
        </w:tc>
        <w:tc>
          <w:tcPr>
            <w:tcW w:w="2485" w:type="dxa"/>
            <w:vAlign w:val="center"/>
          </w:tcPr>
          <w:p w14:paraId="1F24CB58">
            <w:pPr>
              <w:adjustRightInd w:val="0"/>
              <w:snapToGrid w:val="0"/>
              <w:spacing w:line="300" w:lineRule="auto"/>
              <w:jc w:val="center"/>
              <w:rPr>
                <w:rFonts w:ascii="宋体" w:hAnsi="宋体"/>
                <w:szCs w:val="21"/>
                <w:lang w:val="zh-CN"/>
              </w:rPr>
            </w:pPr>
          </w:p>
        </w:tc>
        <w:tc>
          <w:tcPr>
            <w:tcW w:w="876" w:type="dxa"/>
            <w:vAlign w:val="center"/>
          </w:tcPr>
          <w:p w14:paraId="5AF15863">
            <w:pPr>
              <w:adjustRightInd w:val="0"/>
              <w:snapToGrid w:val="0"/>
              <w:spacing w:line="300" w:lineRule="auto"/>
              <w:jc w:val="center"/>
              <w:rPr>
                <w:snapToGrid w:val="0"/>
                <w:kern w:val="0"/>
              </w:rPr>
            </w:pPr>
          </w:p>
        </w:tc>
        <w:tc>
          <w:tcPr>
            <w:tcW w:w="909" w:type="dxa"/>
            <w:vAlign w:val="center"/>
          </w:tcPr>
          <w:p w14:paraId="03BECD98">
            <w:pPr>
              <w:adjustRightInd w:val="0"/>
              <w:snapToGrid w:val="0"/>
              <w:spacing w:line="300" w:lineRule="auto"/>
              <w:jc w:val="center"/>
              <w:rPr>
                <w:snapToGrid w:val="0"/>
                <w:kern w:val="0"/>
              </w:rPr>
            </w:pPr>
          </w:p>
        </w:tc>
        <w:tc>
          <w:tcPr>
            <w:tcW w:w="1643" w:type="dxa"/>
            <w:vAlign w:val="center"/>
          </w:tcPr>
          <w:p w14:paraId="598E5C6A">
            <w:pPr>
              <w:adjustRightInd w:val="0"/>
              <w:snapToGrid w:val="0"/>
              <w:spacing w:line="300" w:lineRule="auto"/>
              <w:jc w:val="center"/>
              <w:rPr>
                <w:snapToGrid w:val="0"/>
                <w:kern w:val="0"/>
              </w:rPr>
            </w:pPr>
          </w:p>
        </w:tc>
        <w:tc>
          <w:tcPr>
            <w:tcW w:w="1701" w:type="dxa"/>
            <w:vAlign w:val="center"/>
          </w:tcPr>
          <w:p w14:paraId="6F86A5C3">
            <w:pPr>
              <w:adjustRightInd w:val="0"/>
              <w:snapToGrid w:val="0"/>
              <w:spacing w:line="300" w:lineRule="auto"/>
              <w:jc w:val="center"/>
              <w:rPr>
                <w:snapToGrid w:val="0"/>
                <w:kern w:val="0"/>
              </w:rPr>
            </w:pPr>
          </w:p>
        </w:tc>
        <w:tc>
          <w:tcPr>
            <w:tcW w:w="1125" w:type="dxa"/>
            <w:vAlign w:val="center"/>
          </w:tcPr>
          <w:p w14:paraId="6C86078B">
            <w:pPr>
              <w:adjustRightInd w:val="0"/>
              <w:snapToGrid w:val="0"/>
              <w:spacing w:line="300" w:lineRule="auto"/>
              <w:jc w:val="center"/>
              <w:rPr>
                <w:snapToGrid w:val="0"/>
                <w:kern w:val="0"/>
              </w:rPr>
            </w:pPr>
          </w:p>
        </w:tc>
      </w:tr>
      <w:tr w14:paraId="453DDC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31D29264">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4</w:t>
            </w:r>
          </w:p>
        </w:tc>
        <w:tc>
          <w:tcPr>
            <w:tcW w:w="2485" w:type="dxa"/>
            <w:vAlign w:val="center"/>
          </w:tcPr>
          <w:p w14:paraId="0F0D4574">
            <w:pPr>
              <w:adjustRightInd w:val="0"/>
              <w:snapToGrid w:val="0"/>
              <w:spacing w:line="300" w:lineRule="auto"/>
              <w:jc w:val="center"/>
              <w:rPr>
                <w:rFonts w:ascii="宋体" w:hAnsi="宋体"/>
                <w:szCs w:val="21"/>
                <w:lang w:val="zh-CN"/>
              </w:rPr>
            </w:pPr>
          </w:p>
        </w:tc>
        <w:tc>
          <w:tcPr>
            <w:tcW w:w="876" w:type="dxa"/>
            <w:vAlign w:val="center"/>
          </w:tcPr>
          <w:p w14:paraId="3633DFF5">
            <w:pPr>
              <w:adjustRightInd w:val="0"/>
              <w:snapToGrid w:val="0"/>
              <w:spacing w:line="300" w:lineRule="auto"/>
              <w:jc w:val="center"/>
              <w:rPr>
                <w:snapToGrid w:val="0"/>
                <w:kern w:val="0"/>
              </w:rPr>
            </w:pPr>
          </w:p>
        </w:tc>
        <w:tc>
          <w:tcPr>
            <w:tcW w:w="909" w:type="dxa"/>
            <w:vAlign w:val="center"/>
          </w:tcPr>
          <w:p w14:paraId="4BE2AEE9">
            <w:pPr>
              <w:adjustRightInd w:val="0"/>
              <w:snapToGrid w:val="0"/>
              <w:spacing w:line="300" w:lineRule="auto"/>
              <w:jc w:val="center"/>
              <w:rPr>
                <w:snapToGrid w:val="0"/>
                <w:kern w:val="0"/>
              </w:rPr>
            </w:pPr>
          </w:p>
        </w:tc>
        <w:tc>
          <w:tcPr>
            <w:tcW w:w="1643" w:type="dxa"/>
            <w:vAlign w:val="center"/>
          </w:tcPr>
          <w:p w14:paraId="70C004CA">
            <w:pPr>
              <w:adjustRightInd w:val="0"/>
              <w:snapToGrid w:val="0"/>
              <w:spacing w:line="300" w:lineRule="auto"/>
              <w:jc w:val="center"/>
              <w:rPr>
                <w:snapToGrid w:val="0"/>
                <w:kern w:val="0"/>
              </w:rPr>
            </w:pPr>
          </w:p>
        </w:tc>
        <w:tc>
          <w:tcPr>
            <w:tcW w:w="1701" w:type="dxa"/>
            <w:vAlign w:val="center"/>
          </w:tcPr>
          <w:p w14:paraId="76C0E003">
            <w:pPr>
              <w:adjustRightInd w:val="0"/>
              <w:snapToGrid w:val="0"/>
              <w:spacing w:line="300" w:lineRule="auto"/>
              <w:jc w:val="center"/>
              <w:rPr>
                <w:snapToGrid w:val="0"/>
                <w:kern w:val="0"/>
              </w:rPr>
            </w:pPr>
          </w:p>
        </w:tc>
        <w:tc>
          <w:tcPr>
            <w:tcW w:w="1125" w:type="dxa"/>
            <w:vAlign w:val="center"/>
          </w:tcPr>
          <w:p w14:paraId="334479BD">
            <w:pPr>
              <w:adjustRightInd w:val="0"/>
              <w:snapToGrid w:val="0"/>
              <w:spacing w:line="300" w:lineRule="auto"/>
              <w:jc w:val="center"/>
              <w:rPr>
                <w:snapToGrid w:val="0"/>
                <w:kern w:val="0"/>
              </w:rPr>
            </w:pPr>
          </w:p>
        </w:tc>
      </w:tr>
      <w:tr w14:paraId="70296F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bottom w:val="single" w:color="auto" w:sz="4" w:space="0"/>
            </w:tcBorders>
            <w:vAlign w:val="center"/>
          </w:tcPr>
          <w:p w14:paraId="3DF76380">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5</w:t>
            </w:r>
          </w:p>
        </w:tc>
        <w:tc>
          <w:tcPr>
            <w:tcW w:w="2485" w:type="dxa"/>
            <w:tcBorders>
              <w:bottom w:val="single" w:color="auto" w:sz="4" w:space="0"/>
            </w:tcBorders>
            <w:vAlign w:val="center"/>
          </w:tcPr>
          <w:p w14:paraId="7FDDC148">
            <w:pPr>
              <w:adjustRightInd w:val="0"/>
              <w:snapToGrid w:val="0"/>
              <w:spacing w:line="300" w:lineRule="auto"/>
              <w:jc w:val="center"/>
              <w:rPr>
                <w:rFonts w:ascii="宋体" w:hAnsi="宋体"/>
                <w:szCs w:val="21"/>
                <w:lang w:val="zh-CN"/>
              </w:rPr>
            </w:pPr>
          </w:p>
        </w:tc>
        <w:tc>
          <w:tcPr>
            <w:tcW w:w="876" w:type="dxa"/>
            <w:tcBorders>
              <w:bottom w:val="single" w:color="auto" w:sz="4" w:space="0"/>
            </w:tcBorders>
            <w:vAlign w:val="center"/>
          </w:tcPr>
          <w:p w14:paraId="32549283">
            <w:pPr>
              <w:adjustRightInd w:val="0"/>
              <w:snapToGrid w:val="0"/>
              <w:spacing w:line="300" w:lineRule="auto"/>
              <w:jc w:val="center"/>
              <w:rPr>
                <w:snapToGrid w:val="0"/>
                <w:kern w:val="0"/>
              </w:rPr>
            </w:pPr>
          </w:p>
        </w:tc>
        <w:tc>
          <w:tcPr>
            <w:tcW w:w="909" w:type="dxa"/>
            <w:tcBorders>
              <w:bottom w:val="single" w:color="auto" w:sz="4" w:space="0"/>
            </w:tcBorders>
            <w:vAlign w:val="center"/>
          </w:tcPr>
          <w:p w14:paraId="28E704A3">
            <w:pPr>
              <w:adjustRightInd w:val="0"/>
              <w:snapToGrid w:val="0"/>
              <w:spacing w:line="300" w:lineRule="auto"/>
              <w:jc w:val="center"/>
              <w:rPr>
                <w:snapToGrid w:val="0"/>
                <w:kern w:val="0"/>
              </w:rPr>
            </w:pPr>
          </w:p>
        </w:tc>
        <w:tc>
          <w:tcPr>
            <w:tcW w:w="1643" w:type="dxa"/>
            <w:tcBorders>
              <w:bottom w:val="single" w:color="auto" w:sz="4" w:space="0"/>
            </w:tcBorders>
            <w:vAlign w:val="center"/>
          </w:tcPr>
          <w:p w14:paraId="5063FA40">
            <w:pPr>
              <w:adjustRightInd w:val="0"/>
              <w:snapToGrid w:val="0"/>
              <w:spacing w:line="300" w:lineRule="auto"/>
              <w:jc w:val="center"/>
              <w:rPr>
                <w:snapToGrid w:val="0"/>
                <w:kern w:val="0"/>
              </w:rPr>
            </w:pPr>
          </w:p>
        </w:tc>
        <w:tc>
          <w:tcPr>
            <w:tcW w:w="1701" w:type="dxa"/>
            <w:tcBorders>
              <w:bottom w:val="single" w:color="auto" w:sz="4" w:space="0"/>
            </w:tcBorders>
            <w:vAlign w:val="center"/>
          </w:tcPr>
          <w:p w14:paraId="187AC7A4">
            <w:pPr>
              <w:adjustRightInd w:val="0"/>
              <w:snapToGrid w:val="0"/>
              <w:spacing w:line="300" w:lineRule="auto"/>
              <w:jc w:val="center"/>
              <w:rPr>
                <w:snapToGrid w:val="0"/>
                <w:kern w:val="0"/>
              </w:rPr>
            </w:pPr>
          </w:p>
        </w:tc>
        <w:tc>
          <w:tcPr>
            <w:tcW w:w="1125" w:type="dxa"/>
            <w:tcBorders>
              <w:bottom w:val="single" w:color="auto" w:sz="4" w:space="0"/>
            </w:tcBorders>
            <w:vAlign w:val="center"/>
          </w:tcPr>
          <w:p w14:paraId="093A4524">
            <w:pPr>
              <w:adjustRightInd w:val="0"/>
              <w:snapToGrid w:val="0"/>
              <w:spacing w:line="300" w:lineRule="auto"/>
              <w:jc w:val="center"/>
              <w:rPr>
                <w:snapToGrid w:val="0"/>
                <w:kern w:val="0"/>
              </w:rPr>
            </w:pPr>
          </w:p>
        </w:tc>
      </w:tr>
      <w:tr w14:paraId="0D15F3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3EDC810A">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6</w:t>
            </w:r>
          </w:p>
        </w:tc>
        <w:tc>
          <w:tcPr>
            <w:tcW w:w="2485" w:type="dxa"/>
            <w:tcBorders>
              <w:top w:val="single" w:color="auto" w:sz="4" w:space="0"/>
              <w:bottom w:val="single" w:color="auto" w:sz="4" w:space="0"/>
            </w:tcBorders>
            <w:vAlign w:val="center"/>
          </w:tcPr>
          <w:p w14:paraId="3709584D">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4E7D951A">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7D0D4AAA">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4248D8E0">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623B0C68">
            <w:pPr>
              <w:adjustRightInd w:val="0"/>
              <w:snapToGrid w:val="0"/>
              <w:spacing w:line="300" w:lineRule="auto"/>
              <w:jc w:val="center"/>
              <w:rPr>
                <w:snapToGrid w:val="0"/>
                <w:kern w:val="0"/>
              </w:rPr>
            </w:pPr>
          </w:p>
        </w:tc>
        <w:tc>
          <w:tcPr>
            <w:tcW w:w="1125" w:type="dxa"/>
            <w:tcBorders>
              <w:bottom w:val="single" w:color="auto" w:sz="4" w:space="0"/>
            </w:tcBorders>
            <w:vAlign w:val="center"/>
          </w:tcPr>
          <w:p w14:paraId="18586337">
            <w:pPr>
              <w:adjustRightInd w:val="0"/>
              <w:snapToGrid w:val="0"/>
              <w:spacing w:line="300" w:lineRule="auto"/>
              <w:jc w:val="center"/>
              <w:rPr>
                <w:snapToGrid w:val="0"/>
                <w:kern w:val="0"/>
              </w:rPr>
            </w:pPr>
          </w:p>
        </w:tc>
      </w:tr>
      <w:tr w14:paraId="251BD8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6C83A99A">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7</w:t>
            </w:r>
          </w:p>
        </w:tc>
        <w:tc>
          <w:tcPr>
            <w:tcW w:w="2485" w:type="dxa"/>
            <w:tcBorders>
              <w:top w:val="single" w:color="auto" w:sz="4" w:space="0"/>
              <w:bottom w:val="single" w:color="auto" w:sz="4" w:space="0"/>
            </w:tcBorders>
            <w:vAlign w:val="center"/>
          </w:tcPr>
          <w:p w14:paraId="4C59E9B3">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449884AB">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74675EAB">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7DC7C96E">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6222E4C2">
            <w:pPr>
              <w:adjustRightInd w:val="0"/>
              <w:snapToGrid w:val="0"/>
              <w:spacing w:line="300" w:lineRule="auto"/>
              <w:jc w:val="center"/>
              <w:rPr>
                <w:snapToGrid w:val="0"/>
                <w:kern w:val="0"/>
              </w:rPr>
            </w:pPr>
          </w:p>
        </w:tc>
        <w:tc>
          <w:tcPr>
            <w:tcW w:w="1125" w:type="dxa"/>
            <w:tcBorders>
              <w:bottom w:val="single" w:color="auto" w:sz="4" w:space="0"/>
            </w:tcBorders>
            <w:vAlign w:val="center"/>
          </w:tcPr>
          <w:p w14:paraId="21833648">
            <w:pPr>
              <w:adjustRightInd w:val="0"/>
              <w:snapToGrid w:val="0"/>
              <w:spacing w:line="300" w:lineRule="auto"/>
              <w:jc w:val="center"/>
              <w:rPr>
                <w:snapToGrid w:val="0"/>
                <w:kern w:val="0"/>
              </w:rPr>
            </w:pPr>
          </w:p>
        </w:tc>
      </w:tr>
      <w:tr w14:paraId="7EA9E8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741" w:type="dxa"/>
            <w:gridSpan w:val="5"/>
            <w:tcBorders>
              <w:top w:val="single" w:color="auto" w:sz="4" w:space="0"/>
            </w:tcBorders>
            <w:vAlign w:val="center"/>
          </w:tcPr>
          <w:p w14:paraId="0075D3DC">
            <w:pPr>
              <w:adjustRightInd w:val="0"/>
              <w:snapToGrid w:val="0"/>
              <w:spacing w:line="300" w:lineRule="auto"/>
              <w:jc w:val="center"/>
              <w:rPr>
                <w:snapToGrid w:val="0"/>
                <w:kern w:val="0"/>
              </w:rPr>
            </w:pPr>
            <w:r>
              <w:rPr>
                <w:rFonts w:hint="eastAsia"/>
                <w:snapToGrid w:val="0"/>
                <w:kern w:val="0"/>
              </w:rPr>
              <w:t>合</w:t>
            </w:r>
            <w:r>
              <w:rPr>
                <w:snapToGrid w:val="0"/>
                <w:kern w:val="0"/>
              </w:rPr>
              <w:t xml:space="preserve">   </w:t>
            </w:r>
            <w:r>
              <w:rPr>
                <w:rFonts w:hint="eastAsia"/>
                <w:snapToGrid w:val="0"/>
                <w:kern w:val="0"/>
              </w:rPr>
              <w:t>计（即投标总价，单位：元）</w:t>
            </w:r>
          </w:p>
        </w:tc>
        <w:tc>
          <w:tcPr>
            <w:tcW w:w="1701" w:type="dxa"/>
            <w:tcBorders>
              <w:top w:val="single" w:color="auto" w:sz="4" w:space="0"/>
            </w:tcBorders>
            <w:vAlign w:val="center"/>
          </w:tcPr>
          <w:p w14:paraId="029FD3F4">
            <w:pPr>
              <w:adjustRightInd w:val="0"/>
              <w:snapToGrid w:val="0"/>
              <w:spacing w:line="300" w:lineRule="auto"/>
              <w:jc w:val="center"/>
              <w:rPr>
                <w:snapToGrid w:val="0"/>
                <w:kern w:val="0"/>
              </w:rPr>
            </w:pPr>
          </w:p>
        </w:tc>
        <w:tc>
          <w:tcPr>
            <w:tcW w:w="1125" w:type="dxa"/>
            <w:tcBorders>
              <w:top w:val="single" w:color="auto" w:sz="4" w:space="0"/>
            </w:tcBorders>
            <w:vAlign w:val="center"/>
          </w:tcPr>
          <w:p w14:paraId="7F12E420">
            <w:pPr>
              <w:adjustRightInd w:val="0"/>
              <w:snapToGrid w:val="0"/>
              <w:spacing w:line="300" w:lineRule="auto"/>
              <w:jc w:val="center"/>
              <w:rPr>
                <w:snapToGrid w:val="0"/>
                <w:kern w:val="0"/>
              </w:rPr>
            </w:pPr>
          </w:p>
        </w:tc>
      </w:tr>
    </w:tbl>
    <w:p w14:paraId="2606B3E0">
      <w:pPr>
        <w:spacing w:beforeLines="50" w:afterLines="50"/>
        <w:rPr>
          <w:rFonts w:ascii="宋体" w:hAnsi="宋体"/>
          <w:szCs w:val="21"/>
        </w:rPr>
      </w:pPr>
      <w:bookmarkStart w:id="66" w:name="_Toc44691399"/>
      <w:bookmarkStart w:id="67" w:name="_Toc44691167"/>
      <w:bookmarkStart w:id="68" w:name="_Toc44690435"/>
      <w:bookmarkStart w:id="69" w:name="_Toc44690708"/>
      <w:r>
        <w:rPr>
          <w:rFonts w:hint="eastAsia" w:ascii="宋体" w:hAnsi="宋体"/>
          <w:szCs w:val="21"/>
        </w:rPr>
        <w:t>备注：1、</w:t>
      </w:r>
      <w:r>
        <w:rPr>
          <w:rFonts w:hint="eastAsia" w:ascii="宋体" w:hAnsi="宋体"/>
          <w:bCs/>
          <w:szCs w:val="21"/>
        </w:rPr>
        <w:t>本表格仅为指导性范本，供应商可根据项目具体情况对各分项内容进行调整。</w:t>
      </w:r>
    </w:p>
    <w:p w14:paraId="3728BD7F">
      <w:pPr>
        <w:adjustRightInd w:val="0"/>
        <w:snapToGrid w:val="0"/>
        <w:spacing w:line="300" w:lineRule="auto"/>
        <w:ind w:firstLine="630" w:firstLineChars="300"/>
        <w:jc w:val="both"/>
        <w:rPr>
          <w:rFonts w:hint="eastAsia" w:ascii="宋体" w:hAnsi="宋体" w:eastAsia="宋体"/>
          <w:snapToGrid w:val="0"/>
          <w:kern w:val="0"/>
          <w:lang w:eastAsia="zh-CN"/>
        </w:rPr>
      </w:pPr>
      <w:r>
        <w:rPr>
          <w:rFonts w:hint="eastAsia" w:ascii="宋体" w:hAnsi="宋体"/>
          <w:szCs w:val="21"/>
        </w:rPr>
        <w:t>2、</w:t>
      </w:r>
      <w:r>
        <w:rPr>
          <w:rFonts w:hint="eastAsia" w:ascii="宋体" w:hAnsi="宋体" w:eastAsia="宋体"/>
        </w:rPr>
        <w:t>开标一览表中的投标</w:t>
      </w:r>
      <w:r>
        <w:rPr>
          <w:rFonts w:hint="eastAsia" w:eastAsia="宋体"/>
          <w:snapToGrid w:val="0"/>
          <w:kern w:val="0"/>
          <w:lang w:eastAsia="zh-CN"/>
        </w:rPr>
        <w:t>报</w:t>
      </w:r>
      <w:r>
        <w:rPr>
          <w:rFonts w:hint="eastAsia" w:ascii="宋体" w:hAnsi="宋体" w:eastAsia="宋体"/>
        </w:rPr>
        <w:t>价应与本表中的报价合计金额一致</w:t>
      </w:r>
      <w:r>
        <w:rPr>
          <w:rFonts w:hint="eastAsia" w:ascii="宋体" w:hAnsi="宋体"/>
          <w:lang w:eastAsia="zh-CN"/>
        </w:rPr>
        <w:t>。</w:t>
      </w:r>
    </w:p>
    <w:p w14:paraId="6EA30D2C">
      <w:pPr>
        <w:adjustRightInd w:val="0"/>
        <w:snapToGrid w:val="0"/>
        <w:spacing w:line="300" w:lineRule="auto"/>
        <w:rPr>
          <w:snapToGrid w:val="0"/>
          <w:kern w:val="0"/>
        </w:rPr>
      </w:pPr>
    </w:p>
    <w:p w14:paraId="0599C84D">
      <w:pPr>
        <w:adjustRightInd w:val="0"/>
        <w:snapToGrid w:val="0"/>
        <w:spacing w:line="300" w:lineRule="auto"/>
        <w:rPr>
          <w:snapToGrid w:val="0"/>
          <w:kern w:val="0"/>
        </w:rPr>
      </w:pPr>
    </w:p>
    <w:p w14:paraId="6774AF5E">
      <w:pPr>
        <w:adjustRightInd w:val="0"/>
        <w:snapToGrid w:val="0"/>
        <w:spacing w:line="300" w:lineRule="auto"/>
        <w:rPr>
          <w:snapToGrid w:val="0"/>
          <w:kern w:val="0"/>
        </w:rPr>
      </w:pPr>
      <w:r>
        <w:rPr>
          <w:rFonts w:hint="eastAsia"/>
          <w:snapToGrid w:val="0"/>
          <w:kern w:val="0"/>
        </w:rPr>
        <w:t>供应商：（</w:t>
      </w:r>
      <w:r>
        <w:rPr>
          <w:snapToGrid w:val="0"/>
          <w:kern w:val="0"/>
        </w:rPr>
        <w:t>盖</w:t>
      </w:r>
      <w:r>
        <w:rPr>
          <w:rFonts w:hint="eastAsia"/>
          <w:snapToGrid w:val="0"/>
          <w:kern w:val="0"/>
          <w:lang w:eastAsia="zh-CN"/>
        </w:rPr>
        <w:t>公</w:t>
      </w:r>
      <w:r>
        <w:rPr>
          <w:snapToGrid w:val="0"/>
          <w:kern w:val="0"/>
        </w:rPr>
        <w:t>章</w:t>
      </w:r>
      <w:r>
        <w:rPr>
          <w:rFonts w:hint="eastAsia"/>
          <w:snapToGrid w:val="0"/>
          <w:kern w:val="0"/>
        </w:rPr>
        <w:t>）</w:t>
      </w:r>
    </w:p>
    <w:p w14:paraId="7F7015DA">
      <w:pPr>
        <w:adjustRightInd w:val="0"/>
        <w:snapToGrid w:val="0"/>
        <w:spacing w:line="300" w:lineRule="auto"/>
        <w:rPr>
          <w:snapToGrid w:val="0"/>
          <w:kern w:val="0"/>
        </w:rPr>
      </w:pPr>
    </w:p>
    <w:p w14:paraId="3C37D369">
      <w:pPr>
        <w:adjustRightInd w:val="0"/>
        <w:snapToGrid w:val="0"/>
        <w:spacing w:line="300" w:lineRule="auto"/>
        <w:rPr>
          <w:snapToGrid w:val="0"/>
          <w:kern w:val="0"/>
        </w:rPr>
      </w:pPr>
    </w:p>
    <w:p w14:paraId="7F4788B0">
      <w:pPr>
        <w:adjustRightInd w:val="0"/>
        <w:snapToGrid w:val="0"/>
        <w:spacing w:line="300" w:lineRule="auto"/>
        <w:rPr>
          <w:snapToGrid w:val="0"/>
          <w:kern w:val="0"/>
        </w:rPr>
      </w:pPr>
    </w:p>
    <w:p w14:paraId="1886D2F1">
      <w:pPr>
        <w:wordWrap w:val="0"/>
        <w:adjustRightInd w:val="0"/>
        <w:snapToGrid w:val="0"/>
        <w:spacing w:line="300" w:lineRule="auto"/>
        <w:jc w:val="right"/>
        <w:rPr>
          <w:rFonts w:ascii="宋体" w:hAnsi="宋体"/>
          <w:sz w:val="24"/>
        </w:rPr>
      </w:pPr>
      <w:r>
        <w:rPr>
          <w:rFonts w:hint="eastAsia"/>
          <w:snapToGrid w:val="0"/>
          <w:kern w:val="0"/>
        </w:rPr>
        <w:t>年    月   日</w:t>
      </w:r>
    </w:p>
    <w:p w14:paraId="036132A1">
      <w:pPr>
        <w:pStyle w:val="6"/>
        <w:numPr>
          <w:ilvl w:val="0"/>
          <w:numId w:val="0"/>
        </w:numPr>
        <w:tabs>
          <w:tab w:val="clear" w:pos="2111"/>
        </w:tabs>
        <w:spacing w:before="120" w:after="120"/>
        <w:ind w:left="-1" w:leftChars="-1" w:hanging="1"/>
        <w:jc w:val="center"/>
        <w:rPr>
          <w:rFonts w:ascii="宋体" w:hAnsi="宋体"/>
          <w:sz w:val="24"/>
        </w:rPr>
      </w:pPr>
    </w:p>
    <w:p w14:paraId="7E0F4E9C">
      <w:pPr>
        <w:rPr>
          <w:rFonts w:hint="eastAsia" w:ascii="宋体" w:hAnsi="宋体"/>
          <w:sz w:val="24"/>
        </w:rPr>
      </w:pPr>
      <w:r>
        <w:rPr>
          <w:rFonts w:hint="eastAsia" w:ascii="宋体" w:hAnsi="宋体"/>
          <w:sz w:val="24"/>
        </w:rPr>
        <w:br w:type="page"/>
      </w:r>
    </w:p>
    <w:bookmarkEnd w:id="66"/>
    <w:bookmarkEnd w:id="67"/>
    <w:bookmarkEnd w:id="68"/>
    <w:bookmarkEnd w:id="69"/>
    <w:p w14:paraId="71DE00E9">
      <w:pPr>
        <w:keepNext/>
        <w:keepLines/>
        <w:widowControl w:val="0"/>
        <w:tabs>
          <w:tab w:val="left" w:pos="371"/>
        </w:tabs>
        <w:spacing w:before="120" w:after="120" w:line="416" w:lineRule="auto"/>
        <w:ind w:left="-1" w:leftChars="-1" w:hanging="1"/>
        <w:jc w:val="center"/>
        <w:outlineLvl w:val="4"/>
        <w:rPr>
          <w:rFonts w:ascii="宋体" w:hAnsi="宋体" w:eastAsia="宋体" w:cs="Times New Roman"/>
          <w:b/>
          <w:bCs/>
          <w:kern w:val="2"/>
          <w:sz w:val="24"/>
          <w:szCs w:val="32"/>
          <w:lang w:val="en-US" w:eastAsia="zh-CN" w:bidi="ar-SA"/>
        </w:rPr>
      </w:pPr>
      <w:r>
        <w:rPr>
          <w:rFonts w:hint="eastAsia" w:ascii="宋体" w:hAnsi="宋体" w:eastAsia="宋体" w:cs="Times New Roman"/>
          <w:b/>
          <w:bCs/>
          <w:kern w:val="2"/>
          <w:sz w:val="24"/>
          <w:szCs w:val="32"/>
          <w:lang w:val="en-US" w:eastAsia="zh-CN" w:bidi="ar-SA"/>
        </w:rPr>
        <w:t>格式7  服务方案</w:t>
      </w:r>
    </w:p>
    <w:p w14:paraId="0A7D5FA6">
      <w:pPr>
        <w:widowControl w:val="0"/>
        <w:ind w:firstLine="420" w:firstLineChars="200"/>
        <w:jc w:val="both"/>
        <w:rPr>
          <w:rFonts w:ascii="Times New Roman" w:hAnsi="Times New Roman" w:eastAsia="宋体" w:cs="Times New Roman"/>
          <w:kern w:val="2"/>
          <w:sz w:val="21"/>
          <w:szCs w:val="24"/>
          <w:lang w:val="en-US" w:eastAsia="zh-CN" w:bidi="ar-SA"/>
        </w:rPr>
      </w:pPr>
    </w:p>
    <w:p w14:paraId="2BBEC6CC">
      <w:pPr>
        <w:spacing w:line="400" w:lineRule="exact"/>
        <w:ind w:firstLine="422" w:firstLineChars="200"/>
        <w:rPr>
          <w:rFonts w:ascii="宋体" w:hAnsi="宋体"/>
          <w:b/>
          <w:szCs w:val="21"/>
        </w:rPr>
      </w:pPr>
      <w:r>
        <w:rPr>
          <w:rFonts w:hint="eastAsia" w:ascii="宋体" w:hAnsi="宋体"/>
          <w:b/>
          <w:szCs w:val="21"/>
        </w:rPr>
        <w:t>本部分内容是</w:t>
      </w:r>
      <w:r>
        <w:rPr>
          <w:rFonts w:hint="eastAsia" w:ascii="宋体" w:hAnsi="宋体"/>
          <w:b/>
          <w:szCs w:val="21"/>
          <w:lang w:eastAsia="zh-CN"/>
        </w:rPr>
        <w:t>供应商</w:t>
      </w:r>
      <w:r>
        <w:rPr>
          <w:rFonts w:hint="eastAsia" w:ascii="宋体" w:hAnsi="宋体"/>
          <w:b/>
          <w:szCs w:val="21"/>
        </w:rPr>
        <w:t>根据项目需求对其投标服务方案的详细描述，主要包括服务方案及拟投入本项目的人员配置等，投标单位自主编写，但应包含下列内容：</w:t>
      </w:r>
    </w:p>
    <w:p w14:paraId="418D83DB">
      <w:pPr>
        <w:spacing w:line="400" w:lineRule="exact"/>
        <w:ind w:firstLine="420" w:firstLineChars="200"/>
        <w:rPr>
          <w:rFonts w:ascii="宋体" w:hAnsi="宋体"/>
          <w:szCs w:val="21"/>
        </w:rPr>
      </w:pPr>
    </w:p>
    <w:p w14:paraId="1D995E01">
      <w:pPr>
        <w:spacing w:line="360" w:lineRule="auto"/>
        <w:ind w:firstLine="420" w:firstLineChars="200"/>
        <w:rPr>
          <w:rFonts w:ascii="宋体" w:hAnsi="宋体"/>
          <w:szCs w:val="21"/>
        </w:rPr>
      </w:pPr>
      <w:r>
        <w:rPr>
          <w:rFonts w:hint="eastAsia" w:ascii="宋体" w:hAnsi="宋体"/>
          <w:szCs w:val="21"/>
        </w:rPr>
        <w:t>1、</w:t>
      </w:r>
      <w:r>
        <w:rPr>
          <w:rFonts w:hint="eastAsia" w:ascii="宋体" w:hAnsi="宋体" w:eastAsia="宋体" w:cs="宋体"/>
          <w:color w:val="000000"/>
          <w:sz w:val="21"/>
          <w:szCs w:val="21"/>
          <w:highlight w:val="none"/>
          <w:lang w:val="en-US" w:eastAsia="zh-CN"/>
        </w:rPr>
        <w:t>保险额度</w:t>
      </w:r>
    </w:p>
    <w:p w14:paraId="2671A5B9">
      <w:pPr>
        <w:spacing w:line="360" w:lineRule="auto"/>
        <w:ind w:firstLine="420" w:firstLineChars="200"/>
        <w:rPr>
          <w:rFonts w:ascii="宋体" w:hAnsi="宋体" w:cs="宋体"/>
          <w:szCs w:val="21"/>
        </w:rPr>
      </w:pPr>
      <w:r>
        <w:rPr>
          <w:rFonts w:hint="eastAsia" w:ascii="宋体" w:hAnsi="宋体"/>
          <w:szCs w:val="21"/>
        </w:rPr>
        <w:t>2、</w:t>
      </w:r>
      <w:r>
        <w:rPr>
          <w:rFonts w:hint="eastAsia" w:ascii="宋体" w:hAnsi="宋体" w:eastAsia="宋体" w:cs="宋体"/>
          <w:color w:val="000000"/>
          <w:sz w:val="21"/>
          <w:szCs w:val="21"/>
          <w:highlight w:val="none"/>
          <w:lang w:val="en-US" w:eastAsia="zh-CN"/>
        </w:rPr>
        <w:t>整体实施方案</w:t>
      </w:r>
    </w:p>
    <w:p w14:paraId="1455898F">
      <w:pPr>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eastAsia="宋体"/>
          <w:color w:val="000000"/>
          <w:szCs w:val="21"/>
          <w:highlight w:val="none"/>
          <w:lang w:val="en-US" w:eastAsia="zh-CN"/>
        </w:rPr>
        <w:t>拟投入项目团队成员情况</w:t>
      </w:r>
    </w:p>
    <w:p w14:paraId="0577CB55">
      <w:pPr>
        <w:spacing w:line="360" w:lineRule="auto"/>
        <w:ind w:firstLine="420" w:firstLineChars="200"/>
        <w:rPr>
          <w:rFonts w:ascii="宋体" w:hAnsi="宋体" w:cs="宋体"/>
          <w:szCs w:val="21"/>
        </w:rPr>
      </w:pPr>
      <w:r>
        <w:rPr>
          <w:rFonts w:hint="eastAsia" w:ascii="宋体" w:hAnsi="宋体" w:cs="宋体"/>
          <w:szCs w:val="21"/>
        </w:rPr>
        <w:t>4、</w:t>
      </w:r>
      <w:r>
        <w:rPr>
          <w:rFonts w:hint="eastAsia" w:ascii="宋体" w:hAnsi="宋体" w:eastAsia="宋体" w:cs="宋体"/>
          <w:color w:val="000000"/>
          <w:sz w:val="21"/>
          <w:szCs w:val="21"/>
          <w:highlight w:val="none"/>
        </w:rPr>
        <w:t>综合偿付能力充足率</w:t>
      </w:r>
    </w:p>
    <w:p w14:paraId="245808B0">
      <w:pPr>
        <w:spacing w:line="360" w:lineRule="auto"/>
        <w:ind w:left="420"/>
        <w:rPr>
          <w:rFonts w:hint="eastAsia" w:ascii="宋体" w:hAnsi="宋体" w:eastAsia="宋体" w:cs="宋体"/>
          <w:color w:val="000000"/>
          <w:highlight w:val="none"/>
          <w:lang w:eastAsia="zh-CN"/>
        </w:rPr>
      </w:pPr>
      <w:r>
        <w:rPr>
          <w:rFonts w:hint="eastAsia" w:ascii="宋体" w:hAnsi="宋体"/>
          <w:szCs w:val="21"/>
        </w:rPr>
        <w:t>5、</w:t>
      </w:r>
      <w:r>
        <w:rPr>
          <w:rFonts w:hint="eastAsia" w:ascii="宋体" w:hAnsi="宋体" w:eastAsia="宋体" w:cs="宋体"/>
          <w:color w:val="000000"/>
          <w:highlight w:val="none"/>
          <w:lang w:eastAsia="zh-CN"/>
        </w:rPr>
        <w:t>同类项目业绩</w:t>
      </w:r>
    </w:p>
    <w:p w14:paraId="302382D2">
      <w:pPr>
        <w:spacing w:line="360" w:lineRule="auto"/>
        <w:ind w:firstLine="420" w:firstLineChars="200"/>
        <w:rPr>
          <w:rFonts w:hint="default" w:ascii="宋体" w:hAnsi="宋体" w:eastAsia="宋体" w:cs="宋体"/>
          <w:color w:val="000000"/>
          <w:sz w:val="21"/>
          <w:szCs w:val="21"/>
          <w:highlight w:val="none"/>
          <w:lang w:val="en-US"/>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履约评价</w:t>
      </w:r>
    </w:p>
    <w:p w14:paraId="0557A958">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认为必要的其他方案</w:t>
      </w:r>
    </w:p>
    <w:p w14:paraId="089E85D3">
      <w:pPr>
        <w:adjustRightInd w:val="0"/>
        <w:snapToGrid w:val="0"/>
        <w:spacing w:line="300" w:lineRule="auto"/>
        <w:rPr>
          <w:snapToGrid w:val="0"/>
          <w:kern w:val="0"/>
        </w:rPr>
      </w:pPr>
    </w:p>
    <w:p w14:paraId="0FC739C0">
      <w:pPr>
        <w:adjustRightInd w:val="0"/>
        <w:snapToGrid w:val="0"/>
        <w:spacing w:line="300" w:lineRule="auto"/>
        <w:rPr>
          <w:snapToGrid w:val="0"/>
          <w:kern w:val="0"/>
        </w:rPr>
      </w:pPr>
    </w:p>
    <w:p w14:paraId="0DB425F0">
      <w:pPr>
        <w:adjustRightInd w:val="0"/>
        <w:snapToGrid w:val="0"/>
        <w:spacing w:line="300" w:lineRule="auto"/>
        <w:jc w:val="right"/>
        <w:rPr>
          <w:snapToGrid w:val="0"/>
          <w:kern w:val="0"/>
        </w:rPr>
      </w:pPr>
    </w:p>
    <w:p w14:paraId="78B3620C">
      <w:pPr>
        <w:rPr>
          <w:rFonts w:hint="eastAsia"/>
        </w:rPr>
      </w:pPr>
      <w:r>
        <w:rPr>
          <w:rFonts w:hint="eastAsia"/>
        </w:rPr>
        <w:br w:type="page"/>
      </w:r>
    </w:p>
    <w:p w14:paraId="20F04DE5">
      <w:pPr>
        <w:tabs>
          <w:tab w:val="left" w:pos="8248"/>
          <w:tab w:val="left" w:pos="9368"/>
        </w:tabs>
        <w:spacing w:line="360" w:lineRule="auto"/>
      </w:pPr>
      <w:r>
        <w:rPr>
          <w:rFonts w:hint="eastAsia"/>
        </w:rPr>
        <w:t>附表：</w:t>
      </w:r>
    </w:p>
    <w:p w14:paraId="2BFEBBF2">
      <w:pPr>
        <w:widowControl w:val="0"/>
        <w:jc w:val="center"/>
        <w:rPr>
          <w:rFonts w:ascii="仿宋" w:hAnsi="仿宋" w:eastAsia="仿宋" w:cs="Times New Roman"/>
          <w:b/>
          <w:snapToGrid w:val="0"/>
          <w:kern w:val="2"/>
          <w:sz w:val="28"/>
          <w:szCs w:val="28"/>
          <w:lang w:val="en-US" w:eastAsia="zh-CN" w:bidi="ar-SA"/>
        </w:rPr>
      </w:pPr>
      <w:r>
        <w:rPr>
          <w:rFonts w:hint="eastAsia" w:ascii="仿宋" w:hAnsi="仿宋" w:eastAsia="仿宋" w:cs="Times New Roman"/>
          <w:b/>
          <w:snapToGrid w:val="0"/>
          <w:kern w:val="2"/>
          <w:sz w:val="28"/>
          <w:szCs w:val="28"/>
          <w:lang w:val="en-US" w:eastAsia="zh-CN" w:bidi="ar-SA"/>
        </w:rPr>
        <w:t>项目人员情况一览表</w:t>
      </w:r>
    </w:p>
    <w:p w14:paraId="2F6A0A34"/>
    <w:tbl>
      <w:tblPr>
        <w:tblStyle w:val="5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4AE94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3B4156BF">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6BC1F14F">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407E7BB3">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4349DA93">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2A56ED5D">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37C67581">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37F84E5C">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27E04051">
            <w:pPr>
              <w:jc w:val="center"/>
              <w:rPr>
                <w:rFonts w:ascii="宋体" w:hAnsi="宋体" w:cs="Courier New"/>
                <w:snapToGrid w:val="0"/>
                <w:szCs w:val="21"/>
              </w:rPr>
            </w:pPr>
            <w:r>
              <w:rPr>
                <w:rFonts w:hint="eastAsia" w:ascii="宋体" w:hAnsi="宋体" w:cs="Courier New"/>
                <w:snapToGrid w:val="0"/>
                <w:szCs w:val="21"/>
              </w:rPr>
              <w:t>工作经验</w:t>
            </w:r>
          </w:p>
        </w:tc>
      </w:tr>
      <w:tr w14:paraId="6BE19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3A03F086">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30BD4328">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0F1E50B0">
            <w:pPr>
              <w:rPr>
                <w:rFonts w:ascii="宋体" w:hAnsi="宋体" w:cs="Courier New"/>
                <w:snapToGrid w:val="0"/>
                <w:szCs w:val="21"/>
              </w:rPr>
            </w:pPr>
          </w:p>
        </w:tc>
        <w:tc>
          <w:tcPr>
            <w:tcW w:w="567" w:type="dxa"/>
            <w:vAlign w:val="center"/>
          </w:tcPr>
          <w:p w14:paraId="43507DAD">
            <w:pPr>
              <w:rPr>
                <w:rFonts w:ascii="宋体" w:hAnsi="宋体" w:cs="Courier New"/>
                <w:snapToGrid w:val="0"/>
                <w:szCs w:val="21"/>
              </w:rPr>
            </w:pPr>
          </w:p>
        </w:tc>
        <w:tc>
          <w:tcPr>
            <w:tcW w:w="1308" w:type="dxa"/>
            <w:vAlign w:val="center"/>
          </w:tcPr>
          <w:p w14:paraId="450AA5A9">
            <w:pPr>
              <w:rPr>
                <w:rFonts w:ascii="宋体" w:hAnsi="宋体" w:cs="Courier New"/>
                <w:snapToGrid w:val="0"/>
                <w:szCs w:val="21"/>
              </w:rPr>
            </w:pPr>
          </w:p>
        </w:tc>
        <w:tc>
          <w:tcPr>
            <w:tcW w:w="1544" w:type="dxa"/>
            <w:vAlign w:val="center"/>
          </w:tcPr>
          <w:p w14:paraId="741CB7FA">
            <w:pPr>
              <w:rPr>
                <w:rFonts w:ascii="宋体" w:hAnsi="宋体" w:cs="Courier New"/>
                <w:snapToGrid w:val="0"/>
                <w:szCs w:val="21"/>
              </w:rPr>
            </w:pPr>
          </w:p>
        </w:tc>
        <w:tc>
          <w:tcPr>
            <w:tcW w:w="1260" w:type="dxa"/>
            <w:vAlign w:val="center"/>
          </w:tcPr>
          <w:p w14:paraId="5A1BFFE3">
            <w:pPr>
              <w:rPr>
                <w:rFonts w:ascii="宋体" w:hAnsi="宋体" w:cs="Courier New"/>
                <w:snapToGrid w:val="0"/>
                <w:szCs w:val="21"/>
              </w:rPr>
            </w:pPr>
          </w:p>
        </w:tc>
        <w:tc>
          <w:tcPr>
            <w:tcW w:w="1620" w:type="dxa"/>
            <w:vAlign w:val="center"/>
          </w:tcPr>
          <w:p w14:paraId="32F88ABB">
            <w:pPr>
              <w:rPr>
                <w:rFonts w:ascii="宋体" w:hAnsi="宋体" w:cs="Courier New"/>
                <w:snapToGrid w:val="0"/>
                <w:szCs w:val="21"/>
              </w:rPr>
            </w:pPr>
          </w:p>
        </w:tc>
      </w:tr>
      <w:tr w14:paraId="603EC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DFFC8D5">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7BE607EE">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28D89AD6">
            <w:pPr>
              <w:rPr>
                <w:rFonts w:ascii="宋体" w:hAnsi="宋体" w:cs="Courier New"/>
                <w:snapToGrid w:val="0"/>
                <w:szCs w:val="21"/>
              </w:rPr>
            </w:pPr>
          </w:p>
        </w:tc>
        <w:tc>
          <w:tcPr>
            <w:tcW w:w="567" w:type="dxa"/>
          </w:tcPr>
          <w:p w14:paraId="55E69247">
            <w:pPr>
              <w:rPr>
                <w:rFonts w:ascii="宋体" w:hAnsi="宋体" w:cs="Courier New"/>
                <w:snapToGrid w:val="0"/>
                <w:szCs w:val="21"/>
              </w:rPr>
            </w:pPr>
          </w:p>
        </w:tc>
        <w:tc>
          <w:tcPr>
            <w:tcW w:w="1308" w:type="dxa"/>
          </w:tcPr>
          <w:p w14:paraId="477A6682">
            <w:pPr>
              <w:rPr>
                <w:rFonts w:ascii="宋体" w:hAnsi="宋体" w:cs="Courier New"/>
                <w:snapToGrid w:val="0"/>
                <w:szCs w:val="21"/>
              </w:rPr>
            </w:pPr>
          </w:p>
        </w:tc>
        <w:tc>
          <w:tcPr>
            <w:tcW w:w="1544" w:type="dxa"/>
          </w:tcPr>
          <w:p w14:paraId="4E118564">
            <w:pPr>
              <w:rPr>
                <w:rFonts w:ascii="宋体" w:hAnsi="宋体" w:cs="Courier New"/>
                <w:snapToGrid w:val="0"/>
                <w:szCs w:val="21"/>
              </w:rPr>
            </w:pPr>
          </w:p>
        </w:tc>
        <w:tc>
          <w:tcPr>
            <w:tcW w:w="1260" w:type="dxa"/>
          </w:tcPr>
          <w:p w14:paraId="78AD9C79">
            <w:pPr>
              <w:rPr>
                <w:rFonts w:ascii="宋体" w:hAnsi="宋体" w:cs="Courier New"/>
                <w:snapToGrid w:val="0"/>
                <w:szCs w:val="21"/>
              </w:rPr>
            </w:pPr>
          </w:p>
        </w:tc>
        <w:tc>
          <w:tcPr>
            <w:tcW w:w="1620" w:type="dxa"/>
          </w:tcPr>
          <w:p w14:paraId="6C89F202">
            <w:pPr>
              <w:rPr>
                <w:rFonts w:ascii="宋体" w:hAnsi="宋体" w:cs="Courier New"/>
                <w:snapToGrid w:val="0"/>
                <w:szCs w:val="21"/>
              </w:rPr>
            </w:pPr>
          </w:p>
        </w:tc>
      </w:tr>
      <w:tr w14:paraId="77D49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B8FB514">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2931C599">
            <w:pPr>
              <w:jc w:val="center"/>
              <w:rPr>
                <w:rFonts w:ascii="宋体" w:hAnsi="宋体" w:cs="Courier New"/>
                <w:snapToGrid w:val="0"/>
                <w:szCs w:val="21"/>
              </w:rPr>
            </w:pPr>
          </w:p>
        </w:tc>
        <w:tc>
          <w:tcPr>
            <w:tcW w:w="851" w:type="dxa"/>
          </w:tcPr>
          <w:p w14:paraId="7E6180B5">
            <w:pPr>
              <w:rPr>
                <w:rFonts w:ascii="宋体" w:hAnsi="宋体" w:cs="Courier New"/>
                <w:snapToGrid w:val="0"/>
                <w:szCs w:val="21"/>
              </w:rPr>
            </w:pPr>
          </w:p>
        </w:tc>
        <w:tc>
          <w:tcPr>
            <w:tcW w:w="567" w:type="dxa"/>
          </w:tcPr>
          <w:p w14:paraId="0D04695D">
            <w:pPr>
              <w:rPr>
                <w:rFonts w:ascii="宋体" w:hAnsi="宋体" w:cs="Courier New"/>
                <w:snapToGrid w:val="0"/>
                <w:szCs w:val="21"/>
              </w:rPr>
            </w:pPr>
          </w:p>
        </w:tc>
        <w:tc>
          <w:tcPr>
            <w:tcW w:w="1308" w:type="dxa"/>
          </w:tcPr>
          <w:p w14:paraId="43BE4AA1">
            <w:pPr>
              <w:rPr>
                <w:rFonts w:ascii="宋体" w:hAnsi="宋体" w:cs="Courier New"/>
                <w:snapToGrid w:val="0"/>
                <w:szCs w:val="21"/>
              </w:rPr>
            </w:pPr>
          </w:p>
        </w:tc>
        <w:tc>
          <w:tcPr>
            <w:tcW w:w="1544" w:type="dxa"/>
          </w:tcPr>
          <w:p w14:paraId="032ED610">
            <w:pPr>
              <w:rPr>
                <w:rFonts w:ascii="宋体" w:hAnsi="宋体" w:cs="Courier New"/>
                <w:snapToGrid w:val="0"/>
                <w:szCs w:val="21"/>
              </w:rPr>
            </w:pPr>
          </w:p>
        </w:tc>
        <w:tc>
          <w:tcPr>
            <w:tcW w:w="1260" w:type="dxa"/>
          </w:tcPr>
          <w:p w14:paraId="058C23F8">
            <w:pPr>
              <w:rPr>
                <w:rFonts w:ascii="宋体" w:hAnsi="宋体" w:cs="Courier New"/>
                <w:snapToGrid w:val="0"/>
                <w:szCs w:val="21"/>
              </w:rPr>
            </w:pPr>
          </w:p>
        </w:tc>
        <w:tc>
          <w:tcPr>
            <w:tcW w:w="1620" w:type="dxa"/>
          </w:tcPr>
          <w:p w14:paraId="641C45C1">
            <w:pPr>
              <w:rPr>
                <w:rFonts w:ascii="宋体" w:hAnsi="宋体" w:cs="Courier New"/>
                <w:snapToGrid w:val="0"/>
                <w:szCs w:val="21"/>
              </w:rPr>
            </w:pPr>
          </w:p>
        </w:tc>
      </w:tr>
      <w:tr w14:paraId="0A177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6426633">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1530A82A">
            <w:pPr>
              <w:jc w:val="center"/>
              <w:rPr>
                <w:rFonts w:ascii="宋体" w:hAnsi="宋体" w:cs="Courier New"/>
                <w:snapToGrid w:val="0"/>
                <w:szCs w:val="21"/>
              </w:rPr>
            </w:pPr>
          </w:p>
        </w:tc>
        <w:tc>
          <w:tcPr>
            <w:tcW w:w="851" w:type="dxa"/>
          </w:tcPr>
          <w:p w14:paraId="37F69029">
            <w:pPr>
              <w:rPr>
                <w:rFonts w:ascii="宋体" w:hAnsi="宋体" w:cs="Courier New"/>
                <w:snapToGrid w:val="0"/>
                <w:szCs w:val="21"/>
              </w:rPr>
            </w:pPr>
          </w:p>
        </w:tc>
        <w:tc>
          <w:tcPr>
            <w:tcW w:w="567" w:type="dxa"/>
          </w:tcPr>
          <w:p w14:paraId="0AFAF406">
            <w:pPr>
              <w:rPr>
                <w:rFonts w:ascii="宋体" w:hAnsi="宋体" w:cs="Courier New"/>
                <w:snapToGrid w:val="0"/>
                <w:szCs w:val="21"/>
              </w:rPr>
            </w:pPr>
          </w:p>
        </w:tc>
        <w:tc>
          <w:tcPr>
            <w:tcW w:w="1308" w:type="dxa"/>
          </w:tcPr>
          <w:p w14:paraId="6CBE7186">
            <w:pPr>
              <w:rPr>
                <w:rFonts w:ascii="宋体" w:hAnsi="宋体" w:cs="Courier New"/>
                <w:snapToGrid w:val="0"/>
                <w:szCs w:val="21"/>
              </w:rPr>
            </w:pPr>
          </w:p>
        </w:tc>
        <w:tc>
          <w:tcPr>
            <w:tcW w:w="1544" w:type="dxa"/>
          </w:tcPr>
          <w:p w14:paraId="2DFE949F">
            <w:pPr>
              <w:rPr>
                <w:rFonts w:ascii="宋体" w:hAnsi="宋体" w:cs="Courier New"/>
                <w:snapToGrid w:val="0"/>
                <w:szCs w:val="21"/>
              </w:rPr>
            </w:pPr>
          </w:p>
        </w:tc>
        <w:tc>
          <w:tcPr>
            <w:tcW w:w="1260" w:type="dxa"/>
          </w:tcPr>
          <w:p w14:paraId="53A371D2">
            <w:pPr>
              <w:rPr>
                <w:rFonts w:ascii="宋体" w:hAnsi="宋体" w:cs="Courier New"/>
                <w:snapToGrid w:val="0"/>
                <w:szCs w:val="21"/>
              </w:rPr>
            </w:pPr>
          </w:p>
        </w:tc>
        <w:tc>
          <w:tcPr>
            <w:tcW w:w="1620" w:type="dxa"/>
          </w:tcPr>
          <w:p w14:paraId="14D7C836">
            <w:pPr>
              <w:rPr>
                <w:rFonts w:ascii="宋体" w:hAnsi="宋体" w:cs="Courier New"/>
                <w:snapToGrid w:val="0"/>
                <w:szCs w:val="21"/>
              </w:rPr>
            </w:pPr>
          </w:p>
        </w:tc>
      </w:tr>
      <w:tr w14:paraId="24A74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406F79B">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4260458F">
            <w:pPr>
              <w:jc w:val="center"/>
              <w:rPr>
                <w:rFonts w:ascii="宋体" w:hAnsi="宋体" w:cs="Courier New"/>
                <w:snapToGrid w:val="0"/>
                <w:szCs w:val="21"/>
              </w:rPr>
            </w:pPr>
          </w:p>
        </w:tc>
        <w:tc>
          <w:tcPr>
            <w:tcW w:w="851" w:type="dxa"/>
          </w:tcPr>
          <w:p w14:paraId="57EF2707">
            <w:pPr>
              <w:rPr>
                <w:rFonts w:ascii="宋体" w:hAnsi="宋体" w:cs="Courier New"/>
                <w:snapToGrid w:val="0"/>
                <w:szCs w:val="21"/>
              </w:rPr>
            </w:pPr>
          </w:p>
        </w:tc>
        <w:tc>
          <w:tcPr>
            <w:tcW w:w="567" w:type="dxa"/>
          </w:tcPr>
          <w:p w14:paraId="10B7074E">
            <w:pPr>
              <w:rPr>
                <w:rFonts w:ascii="宋体" w:hAnsi="宋体" w:cs="Courier New"/>
                <w:snapToGrid w:val="0"/>
                <w:szCs w:val="21"/>
              </w:rPr>
            </w:pPr>
          </w:p>
        </w:tc>
        <w:tc>
          <w:tcPr>
            <w:tcW w:w="1308" w:type="dxa"/>
          </w:tcPr>
          <w:p w14:paraId="5F557DC8">
            <w:pPr>
              <w:rPr>
                <w:rFonts w:ascii="宋体" w:hAnsi="宋体" w:cs="Courier New"/>
                <w:snapToGrid w:val="0"/>
                <w:szCs w:val="21"/>
              </w:rPr>
            </w:pPr>
          </w:p>
        </w:tc>
        <w:tc>
          <w:tcPr>
            <w:tcW w:w="1544" w:type="dxa"/>
          </w:tcPr>
          <w:p w14:paraId="56620CDD">
            <w:pPr>
              <w:rPr>
                <w:rFonts w:ascii="宋体" w:hAnsi="宋体" w:cs="Courier New"/>
                <w:snapToGrid w:val="0"/>
                <w:szCs w:val="21"/>
              </w:rPr>
            </w:pPr>
          </w:p>
        </w:tc>
        <w:tc>
          <w:tcPr>
            <w:tcW w:w="1260" w:type="dxa"/>
          </w:tcPr>
          <w:p w14:paraId="305C8CA7">
            <w:pPr>
              <w:rPr>
                <w:rFonts w:ascii="宋体" w:hAnsi="宋体" w:cs="Courier New"/>
                <w:snapToGrid w:val="0"/>
                <w:szCs w:val="21"/>
              </w:rPr>
            </w:pPr>
          </w:p>
        </w:tc>
        <w:tc>
          <w:tcPr>
            <w:tcW w:w="1620" w:type="dxa"/>
          </w:tcPr>
          <w:p w14:paraId="2FB51532">
            <w:pPr>
              <w:rPr>
                <w:rFonts w:ascii="宋体" w:hAnsi="宋体" w:cs="Courier New"/>
                <w:snapToGrid w:val="0"/>
                <w:szCs w:val="21"/>
              </w:rPr>
            </w:pPr>
          </w:p>
        </w:tc>
      </w:tr>
      <w:tr w14:paraId="64F98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0E5C136">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6F41AD8D">
            <w:pPr>
              <w:jc w:val="center"/>
              <w:rPr>
                <w:rFonts w:ascii="宋体" w:hAnsi="宋体" w:cs="Courier New"/>
                <w:snapToGrid w:val="0"/>
                <w:szCs w:val="21"/>
              </w:rPr>
            </w:pPr>
          </w:p>
        </w:tc>
        <w:tc>
          <w:tcPr>
            <w:tcW w:w="851" w:type="dxa"/>
          </w:tcPr>
          <w:p w14:paraId="65829F7E">
            <w:pPr>
              <w:rPr>
                <w:rFonts w:ascii="宋体" w:hAnsi="宋体" w:cs="Courier New"/>
                <w:snapToGrid w:val="0"/>
                <w:szCs w:val="21"/>
              </w:rPr>
            </w:pPr>
          </w:p>
        </w:tc>
        <w:tc>
          <w:tcPr>
            <w:tcW w:w="567" w:type="dxa"/>
          </w:tcPr>
          <w:p w14:paraId="6E29512F">
            <w:pPr>
              <w:rPr>
                <w:rFonts w:ascii="宋体" w:hAnsi="宋体" w:cs="Courier New"/>
                <w:snapToGrid w:val="0"/>
                <w:szCs w:val="21"/>
              </w:rPr>
            </w:pPr>
          </w:p>
        </w:tc>
        <w:tc>
          <w:tcPr>
            <w:tcW w:w="1308" w:type="dxa"/>
          </w:tcPr>
          <w:p w14:paraId="31DD7350">
            <w:pPr>
              <w:rPr>
                <w:rFonts w:ascii="宋体" w:hAnsi="宋体" w:cs="Courier New"/>
                <w:snapToGrid w:val="0"/>
                <w:szCs w:val="21"/>
              </w:rPr>
            </w:pPr>
          </w:p>
        </w:tc>
        <w:tc>
          <w:tcPr>
            <w:tcW w:w="1544" w:type="dxa"/>
          </w:tcPr>
          <w:p w14:paraId="3193CC7F">
            <w:pPr>
              <w:rPr>
                <w:rFonts w:ascii="宋体" w:hAnsi="宋体" w:cs="Courier New"/>
                <w:snapToGrid w:val="0"/>
                <w:szCs w:val="21"/>
              </w:rPr>
            </w:pPr>
          </w:p>
        </w:tc>
        <w:tc>
          <w:tcPr>
            <w:tcW w:w="1260" w:type="dxa"/>
          </w:tcPr>
          <w:p w14:paraId="71639967">
            <w:pPr>
              <w:rPr>
                <w:rFonts w:ascii="宋体" w:hAnsi="宋体" w:cs="Courier New"/>
                <w:snapToGrid w:val="0"/>
                <w:szCs w:val="21"/>
              </w:rPr>
            </w:pPr>
          </w:p>
        </w:tc>
        <w:tc>
          <w:tcPr>
            <w:tcW w:w="1620" w:type="dxa"/>
          </w:tcPr>
          <w:p w14:paraId="2EA945FD">
            <w:pPr>
              <w:rPr>
                <w:rFonts w:ascii="宋体" w:hAnsi="宋体" w:cs="Courier New"/>
                <w:snapToGrid w:val="0"/>
                <w:szCs w:val="21"/>
              </w:rPr>
            </w:pPr>
          </w:p>
        </w:tc>
      </w:tr>
      <w:tr w14:paraId="6D465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4E4C1ED">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62EB0F5C">
            <w:pPr>
              <w:jc w:val="center"/>
              <w:rPr>
                <w:rFonts w:ascii="宋体" w:hAnsi="宋体" w:cs="Courier New"/>
                <w:snapToGrid w:val="0"/>
                <w:szCs w:val="21"/>
              </w:rPr>
            </w:pPr>
          </w:p>
        </w:tc>
        <w:tc>
          <w:tcPr>
            <w:tcW w:w="851" w:type="dxa"/>
          </w:tcPr>
          <w:p w14:paraId="112DD884">
            <w:pPr>
              <w:rPr>
                <w:rFonts w:ascii="宋体" w:hAnsi="宋体" w:cs="Courier New"/>
                <w:snapToGrid w:val="0"/>
                <w:szCs w:val="21"/>
              </w:rPr>
            </w:pPr>
          </w:p>
        </w:tc>
        <w:tc>
          <w:tcPr>
            <w:tcW w:w="567" w:type="dxa"/>
          </w:tcPr>
          <w:p w14:paraId="6273ADF0">
            <w:pPr>
              <w:rPr>
                <w:rFonts w:ascii="宋体" w:hAnsi="宋体" w:cs="Courier New"/>
                <w:snapToGrid w:val="0"/>
                <w:szCs w:val="21"/>
              </w:rPr>
            </w:pPr>
          </w:p>
        </w:tc>
        <w:tc>
          <w:tcPr>
            <w:tcW w:w="1308" w:type="dxa"/>
          </w:tcPr>
          <w:p w14:paraId="48704E0C">
            <w:pPr>
              <w:rPr>
                <w:rFonts w:ascii="宋体" w:hAnsi="宋体" w:cs="Courier New"/>
                <w:snapToGrid w:val="0"/>
                <w:szCs w:val="21"/>
              </w:rPr>
            </w:pPr>
          </w:p>
        </w:tc>
        <w:tc>
          <w:tcPr>
            <w:tcW w:w="1544" w:type="dxa"/>
          </w:tcPr>
          <w:p w14:paraId="7C9F5F7D">
            <w:pPr>
              <w:rPr>
                <w:rFonts w:ascii="宋体" w:hAnsi="宋体" w:cs="Courier New"/>
                <w:snapToGrid w:val="0"/>
                <w:szCs w:val="21"/>
              </w:rPr>
            </w:pPr>
          </w:p>
        </w:tc>
        <w:tc>
          <w:tcPr>
            <w:tcW w:w="1260" w:type="dxa"/>
          </w:tcPr>
          <w:p w14:paraId="5E4822A3">
            <w:pPr>
              <w:rPr>
                <w:rFonts w:ascii="宋体" w:hAnsi="宋体" w:cs="Courier New"/>
                <w:snapToGrid w:val="0"/>
                <w:szCs w:val="21"/>
              </w:rPr>
            </w:pPr>
          </w:p>
        </w:tc>
        <w:tc>
          <w:tcPr>
            <w:tcW w:w="1620" w:type="dxa"/>
          </w:tcPr>
          <w:p w14:paraId="59938D1E">
            <w:pPr>
              <w:rPr>
                <w:rFonts w:ascii="宋体" w:hAnsi="宋体" w:cs="Courier New"/>
                <w:snapToGrid w:val="0"/>
                <w:szCs w:val="21"/>
              </w:rPr>
            </w:pPr>
          </w:p>
        </w:tc>
      </w:tr>
      <w:tr w14:paraId="742D8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286A96E">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1701F373">
            <w:pPr>
              <w:jc w:val="center"/>
              <w:rPr>
                <w:rFonts w:ascii="宋体" w:hAnsi="宋体" w:cs="Courier New"/>
                <w:snapToGrid w:val="0"/>
                <w:szCs w:val="21"/>
              </w:rPr>
            </w:pPr>
          </w:p>
        </w:tc>
        <w:tc>
          <w:tcPr>
            <w:tcW w:w="851" w:type="dxa"/>
          </w:tcPr>
          <w:p w14:paraId="4254B2F5">
            <w:pPr>
              <w:rPr>
                <w:rFonts w:ascii="宋体" w:hAnsi="宋体" w:cs="Courier New"/>
                <w:snapToGrid w:val="0"/>
                <w:szCs w:val="21"/>
              </w:rPr>
            </w:pPr>
          </w:p>
        </w:tc>
        <w:tc>
          <w:tcPr>
            <w:tcW w:w="567" w:type="dxa"/>
          </w:tcPr>
          <w:p w14:paraId="07865014">
            <w:pPr>
              <w:rPr>
                <w:rFonts w:ascii="宋体" w:hAnsi="宋体" w:cs="Courier New"/>
                <w:snapToGrid w:val="0"/>
                <w:szCs w:val="21"/>
              </w:rPr>
            </w:pPr>
          </w:p>
        </w:tc>
        <w:tc>
          <w:tcPr>
            <w:tcW w:w="1308" w:type="dxa"/>
          </w:tcPr>
          <w:p w14:paraId="735775F9">
            <w:pPr>
              <w:rPr>
                <w:rFonts w:ascii="宋体" w:hAnsi="宋体" w:cs="Courier New"/>
                <w:snapToGrid w:val="0"/>
                <w:szCs w:val="21"/>
              </w:rPr>
            </w:pPr>
          </w:p>
        </w:tc>
        <w:tc>
          <w:tcPr>
            <w:tcW w:w="1544" w:type="dxa"/>
          </w:tcPr>
          <w:p w14:paraId="2E1089B0">
            <w:pPr>
              <w:rPr>
                <w:rFonts w:ascii="宋体" w:hAnsi="宋体" w:cs="Courier New"/>
                <w:snapToGrid w:val="0"/>
                <w:szCs w:val="21"/>
              </w:rPr>
            </w:pPr>
          </w:p>
        </w:tc>
        <w:tc>
          <w:tcPr>
            <w:tcW w:w="1260" w:type="dxa"/>
          </w:tcPr>
          <w:p w14:paraId="1217C00B">
            <w:pPr>
              <w:rPr>
                <w:rFonts w:ascii="宋体" w:hAnsi="宋体" w:cs="Courier New"/>
                <w:snapToGrid w:val="0"/>
                <w:szCs w:val="21"/>
              </w:rPr>
            </w:pPr>
          </w:p>
        </w:tc>
        <w:tc>
          <w:tcPr>
            <w:tcW w:w="1620" w:type="dxa"/>
          </w:tcPr>
          <w:p w14:paraId="2F8324FD">
            <w:pPr>
              <w:rPr>
                <w:rFonts w:ascii="宋体" w:hAnsi="宋体" w:cs="Courier New"/>
                <w:snapToGrid w:val="0"/>
                <w:szCs w:val="21"/>
              </w:rPr>
            </w:pPr>
          </w:p>
        </w:tc>
      </w:tr>
      <w:tr w14:paraId="21903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838B7CD">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1295A96F">
            <w:pPr>
              <w:jc w:val="center"/>
              <w:rPr>
                <w:rFonts w:ascii="宋体" w:hAnsi="宋体" w:cs="Courier New"/>
                <w:snapToGrid w:val="0"/>
                <w:szCs w:val="21"/>
              </w:rPr>
            </w:pPr>
          </w:p>
        </w:tc>
        <w:tc>
          <w:tcPr>
            <w:tcW w:w="851" w:type="dxa"/>
          </w:tcPr>
          <w:p w14:paraId="367D56D0">
            <w:pPr>
              <w:rPr>
                <w:rFonts w:ascii="宋体" w:hAnsi="宋体" w:cs="Courier New"/>
                <w:snapToGrid w:val="0"/>
                <w:szCs w:val="21"/>
              </w:rPr>
            </w:pPr>
          </w:p>
        </w:tc>
        <w:tc>
          <w:tcPr>
            <w:tcW w:w="567" w:type="dxa"/>
          </w:tcPr>
          <w:p w14:paraId="1F009048">
            <w:pPr>
              <w:rPr>
                <w:rFonts w:ascii="宋体" w:hAnsi="宋体" w:cs="Courier New"/>
                <w:snapToGrid w:val="0"/>
                <w:szCs w:val="21"/>
              </w:rPr>
            </w:pPr>
          </w:p>
        </w:tc>
        <w:tc>
          <w:tcPr>
            <w:tcW w:w="1308" w:type="dxa"/>
          </w:tcPr>
          <w:p w14:paraId="3E947AAB">
            <w:pPr>
              <w:rPr>
                <w:rFonts w:ascii="宋体" w:hAnsi="宋体" w:cs="Courier New"/>
                <w:snapToGrid w:val="0"/>
                <w:szCs w:val="21"/>
              </w:rPr>
            </w:pPr>
          </w:p>
        </w:tc>
        <w:tc>
          <w:tcPr>
            <w:tcW w:w="1544" w:type="dxa"/>
          </w:tcPr>
          <w:p w14:paraId="7B904E16">
            <w:pPr>
              <w:rPr>
                <w:rFonts w:ascii="宋体" w:hAnsi="宋体" w:cs="Courier New"/>
                <w:snapToGrid w:val="0"/>
                <w:szCs w:val="21"/>
              </w:rPr>
            </w:pPr>
          </w:p>
        </w:tc>
        <w:tc>
          <w:tcPr>
            <w:tcW w:w="1260" w:type="dxa"/>
          </w:tcPr>
          <w:p w14:paraId="07EE88D2">
            <w:pPr>
              <w:rPr>
                <w:rFonts w:ascii="宋体" w:hAnsi="宋体" w:cs="Courier New"/>
                <w:snapToGrid w:val="0"/>
                <w:szCs w:val="21"/>
              </w:rPr>
            </w:pPr>
          </w:p>
        </w:tc>
        <w:tc>
          <w:tcPr>
            <w:tcW w:w="1620" w:type="dxa"/>
          </w:tcPr>
          <w:p w14:paraId="4BF56197">
            <w:pPr>
              <w:rPr>
                <w:rFonts w:ascii="宋体" w:hAnsi="宋体" w:cs="Courier New"/>
                <w:snapToGrid w:val="0"/>
                <w:szCs w:val="21"/>
              </w:rPr>
            </w:pPr>
          </w:p>
        </w:tc>
      </w:tr>
    </w:tbl>
    <w:p w14:paraId="4F7132EC">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217C61F4">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59E28F8D">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2、有关人员资格证书及其它证明材料（复印件或扫描件加盖公章）需附在本表之后。</w:t>
      </w:r>
    </w:p>
    <w:p w14:paraId="1A88F35B">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57B80CD9">
      <w:pPr>
        <w:spacing w:line="360" w:lineRule="auto"/>
        <w:rPr>
          <w:rFonts w:cs="Courier New"/>
          <w:snapToGrid w:val="0"/>
          <w:szCs w:val="18"/>
        </w:rPr>
      </w:pPr>
    </w:p>
    <w:p w14:paraId="460510E4">
      <w:pPr>
        <w:adjustRightInd w:val="0"/>
        <w:snapToGrid w:val="0"/>
        <w:spacing w:line="300" w:lineRule="auto"/>
        <w:rPr>
          <w:snapToGrid w:val="0"/>
          <w:kern w:val="0"/>
        </w:rPr>
      </w:pPr>
      <w:r>
        <w:rPr>
          <w:rFonts w:hint="eastAsia"/>
          <w:snapToGrid w:val="0"/>
          <w:kern w:val="0"/>
        </w:rPr>
        <w:t>投标单位：（</w:t>
      </w:r>
      <w:r>
        <w:rPr>
          <w:rFonts w:hint="eastAsia" w:eastAsia="宋体"/>
          <w:snapToGrid w:val="0"/>
          <w:kern w:val="0"/>
          <w:lang w:eastAsia="zh-CN"/>
        </w:rPr>
        <w:t>加盖公章</w:t>
      </w:r>
      <w:r>
        <w:rPr>
          <w:rFonts w:hint="eastAsia"/>
          <w:snapToGrid w:val="0"/>
          <w:kern w:val="0"/>
        </w:rPr>
        <w:t>）</w:t>
      </w:r>
    </w:p>
    <w:p w14:paraId="0697A58C">
      <w:pPr>
        <w:adjustRightInd w:val="0"/>
        <w:snapToGrid w:val="0"/>
        <w:spacing w:line="300" w:lineRule="auto"/>
        <w:rPr>
          <w:snapToGrid w:val="0"/>
          <w:kern w:val="0"/>
        </w:rPr>
      </w:pPr>
    </w:p>
    <w:p w14:paraId="3866C237">
      <w:pPr>
        <w:adjustRightInd w:val="0"/>
        <w:snapToGrid w:val="0"/>
        <w:spacing w:line="300" w:lineRule="auto"/>
        <w:rPr>
          <w:snapToGrid w:val="0"/>
          <w:kern w:val="0"/>
        </w:rPr>
      </w:pPr>
    </w:p>
    <w:p w14:paraId="4A1EE908">
      <w:pPr>
        <w:adjustRightInd w:val="0"/>
        <w:snapToGrid w:val="0"/>
        <w:spacing w:line="300" w:lineRule="auto"/>
        <w:rPr>
          <w:snapToGrid w:val="0"/>
          <w:kern w:val="0"/>
        </w:rPr>
      </w:pPr>
    </w:p>
    <w:p w14:paraId="073E299A">
      <w:pPr>
        <w:adjustRightInd w:val="0"/>
        <w:snapToGrid w:val="0"/>
        <w:spacing w:line="300" w:lineRule="auto"/>
        <w:rPr>
          <w:snapToGrid w:val="0"/>
          <w:kern w:val="0"/>
        </w:rPr>
      </w:pPr>
    </w:p>
    <w:p w14:paraId="130C5C35">
      <w:pPr>
        <w:adjustRightInd w:val="0"/>
        <w:snapToGrid w:val="0"/>
        <w:spacing w:line="300" w:lineRule="auto"/>
        <w:jc w:val="right"/>
        <w:rPr>
          <w:snapToGrid w:val="0"/>
          <w:kern w:val="0"/>
        </w:rPr>
      </w:pPr>
      <w:r>
        <w:rPr>
          <w:rFonts w:hint="eastAsia"/>
          <w:snapToGrid w:val="0"/>
          <w:kern w:val="0"/>
        </w:rPr>
        <w:t>年    月   日</w:t>
      </w:r>
    </w:p>
    <w:p w14:paraId="3A2122CD">
      <w:pPr>
        <w:adjustRightInd w:val="0"/>
        <w:snapToGrid w:val="0"/>
        <w:spacing w:line="300" w:lineRule="auto"/>
        <w:jc w:val="right"/>
        <w:rPr>
          <w:snapToGrid w:val="0"/>
          <w:kern w:val="0"/>
        </w:rPr>
      </w:pPr>
    </w:p>
    <w:p w14:paraId="7A56B90B">
      <w:pPr>
        <w:adjustRightInd w:val="0"/>
        <w:snapToGrid w:val="0"/>
        <w:spacing w:line="300" w:lineRule="auto"/>
        <w:jc w:val="right"/>
        <w:rPr>
          <w:snapToGrid w:val="0"/>
          <w:kern w:val="0"/>
        </w:rPr>
      </w:pPr>
    </w:p>
    <w:p w14:paraId="2832CD31">
      <w:pPr>
        <w:adjustRightInd w:val="0"/>
        <w:snapToGrid w:val="0"/>
        <w:spacing w:line="300" w:lineRule="auto"/>
        <w:jc w:val="right"/>
        <w:rPr>
          <w:snapToGrid w:val="0"/>
          <w:kern w:val="0"/>
        </w:rPr>
      </w:pPr>
    </w:p>
    <w:p w14:paraId="66B0BFCD">
      <w:pPr>
        <w:adjustRightInd w:val="0"/>
        <w:snapToGrid w:val="0"/>
        <w:spacing w:line="300" w:lineRule="auto"/>
        <w:jc w:val="right"/>
        <w:rPr>
          <w:snapToGrid w:val="0"/>
          <w:kern w:val="0"/>
        </w:rPr>
      </w:pPr>
    </w:p>
    <w:p w14:paraId="235987A2">
      <w:pPr>
        <w:adjustRightInd w:val="0"/>
        <w:snapToGrid w:val="0"/>
        <w:spacing w:line="300" w:lineRule="auto"/>
        <w:jc w:val="right"/>
        <w:rPr>
          <w:snapToGrid w:val="0"/>
          <w:kern w:val="0"/>
        </w:rPr>
      </w:pPr>
    </w:p>
    <w:p w14:paraId="3CE66305">
      <w:pPr>
        <w:adjustRightInd w:val="0"/>
        <w:snapToGrid w:val="0"/>
        <w:spacing w:line="300" w:lineRule="auto"/>
        <w:jc w:val="right"/>
        <w:rPr>
          <w:snapToGrid w:val="0"/>
          <w:kern w:val="0"/>
        </w:rPr>
      </w:pPr>
    </w:p>
    <w:p w14:paraId="4FC5A2B0">
      <w:pPr>
        <w:adjustRightInd w:val="0"/>
        <w:snapToGrid w:val="0"/>
        <w:spacing w:line="300" w:lineRule="auto"/>
        <w:jc w:val="right"/>
        <w:rPr>
          <w:snapToGrid w:val="0"/>
          <w:kern w:val="0"/>
        </w:rPr>
      </w:pPr>
    </w:p>
    <w:p w14:paraId="687DBDBF">
      <w:pPr>
        <w:adjustRightInd w:val="0"/>
        <w:snapToGrid w:val="0"/>
        <w:spacing w:line="300" w:lineRule="auto"/>
        <w:jc w:val="right"/>
        <w:rPr>
          <w:snapToGrid w:val="0"/>
          <w:kern w:val="0"/>
        </w:rPr>
      </w:pPr>
    </w:p>
    <w:p w14:paraId="3FE3FBF3">
      <w:pPr>
        <w:adjustRightInd w:val="0"/>
        <w:snapToGrid w:val="0"/>
        <w:spacing w:line="300" w:lineRule="auto"/>
        <w:jc w:val="right"/>
        <w:rPr>
          <w:snapToGrid w:val="0"/>
          <w:kern w:val="0"/>
        </w:rPr>
      </w:pPr>
    </w:p>
    <w:p w14:paraId="7A4B7B4C">
      <w:pPr>
        <w:adjustRightInd w:val="0"/>
        <w:snapToGrid w:val="0"/>
        <w:spacing w:line="300" w:lineRule="auto"/>
        <w:jc w:val="right"/>
        <w:rPr>
          <w:snapToGrid w:val="0"/>
          <w:kern w:val="0"/>
        </w:rPr>
      </w:pPr>
    </w:p>
    <w:p w14:paraId="3F31C791">
      <w:pPr>
        <w:adjustRightInd w:val="0"/>
        <w:snapToGrid w:val="0"/>
        <w:spacing w:line="300" w:lineRule="auto"/>
        <w:jc w:val="right"/>
        <w:rPr>
          <w:snapToGrid w:val="0"/>
          <w:kern w:val="0"/>
        </w:rPr>
      </w:pPr>
    </w:p>
    <w:p w14:paraId="7B1C4567">
      <w:pPr>
        <w:adjustRightInd w:val="0"/>
        <w:snapToGrid w:val="0"/>
        <w:spacing w:line="300" w:lineRule="auto"/>
        <w:jc w:val="right"/>
        <w:rPr>
          <w:snapToGrid w:val="0"/>
          <w:kern w:val="0"/>
        </w:rPr>
      </w:pPr>
    </w:p>
    <w:p w14:paraId="55031C4A">
      <w:pPr>
        <w:adjustRightInd w:val="0"/>
        <w:snapToGrid w:val="0"/>
        <w:spacing w:line="300" w:lineRule="auto"/>
        <w:jc w:val="right"/>
        <w:rPr>
          <w:snapToGrid w:val="0"/>
          <w:kern w:val="0"/>
        </w:rPr>
      </w:pPr>
    </w:p>
    <w:p w14:paraId="18DCE724">
      <w:pPr>
        <w:adjustRightInd w:val="0"/>
        <w:snapToGrid w:val="0"/>
        <w:spacing w:line="300" w:lineRule="auto"/>
        <w:jc w:val="right"/>
        <w:rPr>
          <w:snapToGrid w:val="0"/>
          <w:kern w:val="0"/>
        </w:rPr>
      </w:pPr>
    </w:p>
    <w:p w14:paraId="16702BC1">
      <w:pPr>
        <w:keepNext/>
        <w:keepLines/>
        <w:widowControl w:val="0"/>
        <w:tabs>
          <w:tab w:val="left" w:pos="371"/>
        </w:tabs>
        <w:spacing w:before="120" w:after="120" w:line="416" w:lineRule="auto"/>
        <w:ind w:left="-1" w:leftChars="-1" w:hanging="1"/>
        <w:jc w:val="center"/>
        <w:outlineLvl w:val="4"/>
        <w:rPr>
          <w:rFonts w:ascii="宋体" w:hAnsi="宋体" w:eastAsia="宋体" w:cs="Times New Roman"/>
          <w:b/>
          <w:bCs/>
          <w:kern w:val="2"/>
          <w:sz w:val="24"/>
          <w:szCs w:val="32"/>
          <w:lang w:val="en-US" w:eastAsia="zh-CN" w:bidi="ar-SA"/>
        </w:rPr>
      </w:pPr>
      <w:bookmarkStart w:id="70" w:name="_格式7__投标人资格声明"/>
      <w:bookmarkEnd w:id="70"/>
      <w:bookmarkStart w:id="71" w:name="q40"/>
      <w:r>
        <w:rPr>
          <w:rFonts w:ascii="宋体" w:hAnsi="宋体" w:eastAsia="宋体" w:cs="Times New Roman"/>
          <w:b/>
          <w:bCs/>
          <w:kern w:val="2"/>
          <w:sz w:val="24"/>
          <w:szCs w:val="32"/>
          <w:lang w:val="en-US" w:eastAsia="zh-CN" w:bidi="ar-SA"/>
        </w:rPr>
        <w:t>格式</w:t>
      </w:r>
      <w:r>
        <w:rPr>
          <w:rFonts w:hint="eastAsia" w:ascii="宋体" w:hAnsi="宋体" w:eastAsia="宋体" w:cs="Times New Roman"/>
          <w:b/>
          <w:bCs/>
          <w:kern w:val="2"/>
          <w:sz w:val="24"/>
          <w:szCs w:val="32"/>
          <w:lang w:val="en-US" w:eastAsia="zh-CN" w:bidi="ar-SA"/>
        </w:rPr>
        <w:t>8</w:t>
      </w:r>
      <w:r>
        <w:rPr>
          <w:rFonts w:ascii="宋体" w:hAnsi="宋体" w:eastAsia="宋体" w:cs="Times New Roman"/>
          <w:b/>
          <w:bCs/>
          <w:kern w:val="2"/>
          <w:sz w:val="24"/>
          <w:szCs w:val="32"/>
          <w:lang w:val="en-US" w:eastAsia="zh-CN" w:bidi="ar-SA"/>
        </w:rPr>
        <w:t xml:space="preserve">  </w:t>
      </w:r>
      <w:r>
        <w:rPr>
          <w:rFonts w:hint="eastAsia" w:ascii="宋体" w:hAnsi="宋体" w:eastAsia="宋体" w:cs="Times New Roman"/>
          <w:b/>
          <w:bCs/>
          <w:kern w:val="2"/>
          <w:sz w:val="24"/>
          <w:szCs w:val="32"/>
          <w:lang w:val="en-US" w:eastAsia="zh-CN" w:bidi="ar-SA"/>
        </w:rPr>
        <w:t>供应商情况介绍</w:t>
      </w:r>
    </w:p>
    <w:p w14:paraId="7B011BF0"/>
    <w:p w14:paraId="71F80AB2">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lang w:eastAsia="zh-CN"/>
        </w:rPr>
        <w:t>供应商</w:t>
      </w:r>
      <w:r>
        <w:rPr>
          <w:rFonts w:hint="eastAsia" w:ascii="宋体" w:hAnsi="宋体"/>
          <w:bCs/>
          <w:snapToGrid w:val="0"/>
          <w:kern w:val="0"/>
        </w:rPr>
        <w:t>基本情况简介，格式自拟，包括但不限于经营范围、依法纳税记录等；</w:t>
      </w:r>
    </w:p>
    <w:p w14:paraId="1C76A2CC">
      <w:pPr>
        <w:adjustRightInd w:val="0"/>
        <w:snapToGrid w:val="0"/>
        <w:spacing w:line="360" w:lineRule="auto"/>
        <w:rPr>
          <w:rFonts w:ascii="宋体" w:hAnsi="宋体"/>
          <w:bCs/>
          <w:snapToGrid w:val="0"/>
          <w:kern w:val="0"/>
          <w:szCs w:val="21"/>
        </w:rPr>
      </w:pPr>
    </w:p>
    <w:p w14:paraId="5B077137">
      <w:pPr>
        <w:adjustRightInd w:val="0"/>
        <w:snapToGrid w:val="0"/>
        <w:spacing w:line="360" w:lineRule="auto"/>
        <w:rPr>
          <w:rFonts w:ascii="宋体" w:hAnsi="宋体"/>
          <w:snapToGrid w:val="0"/>
          <w:kern w:val="0"/>
          <w:szCs w:val="21"/>
        </w:rPr>
      </w:pPr>
      <w:r>
        <w:rPr>
          <w:rFonts w:hint="eastAsia" w:ascii="宋体" w:hAnsi="宋体"/>
          <w:bCs/>
          <w:snapToGrid w:val="0"/>
          <w:kern w:val="0"/>
          <w:szCs w:val="21"/>
        </w:rPr>
        <w:t>2、</w:t>
      </w:r>
      <w:r>
        <w:rPr>
          <w:rFonts w:hint="eastAsia" w:ascii="宋体" w:hAnsi="宋体"/>
          <w:bCs/>
          <w:snapToGrid w:val="0"/>
          <w:kern w:val="0"/>
          <w:lang w:eastAsia="zh-CN"/>
        </w:rPr>
        <w:t>供应商</w:t>
      </w:r>
      <w:r>
        <w:rPr>
          <w:rFonts w:hint="eastAsia" w:ascii="宋体" w:hAnsi="宋体"/>
          <w:bCs/>
          <w:snapToGrid w:val="0"/>
          <w:kern w:val="0"/>
        </w:rPr>
        <w:t>认为有必要提供的其他文件。</w:t>
      </w:r>
    </w:p>
    <w:p w14:paraId="4A50FAC3">
      <w:pPr>
        <w:adjustRightInd w:val="0"/>
        <w:snapToGrid w:val="0"/>
        <w:spacing w:line="360" w:lineRule="auto"/>
        <w:rPr>
          <w:bCs/>
          <w:snapToGrid w:val="0"/>
          <w:kern w:val="0"/>
        </w:rPr>
      </w:pPr>
    </w:p>
    <w:p w14:paraId="2CEC1F97">
      <w:pPr>
        <w:adjustRightInd w:val="0"/>
        <w:snapToGrid w:val="0"/>
        <w:spacing w:line="300" w:lineRule="auto"/>
        <w:jc w:val="right"/>
        <w:rPr>
          <w:snapToGrid w:val="0"/>
          <w:kern w:val="0"/>
        </w:rPr>
      </w:pPr>
      <w:r>
        <w:rPr>
          <w:rFonts w:hint="eastAsia" w:eastAsia="楷体_GB2312"/>
          <w:b/>
          <w:bCs/>
          <w:snapToGrid w:val="0"/>
          <w:kern w:val="0"/>
        </w:rPr>
        <w:t>注：</w:t>
      </w:r>
      <w:r>
        <w:rPr>
          <w:rFonts w:hint="eastAsia" w:eastAsia="楷体_GB2312"/>
          <w:b/>
          <w:bCs/>
          <w:snapToGrid w:val="0"/>
          <w:kern w:val="0"/>
          <w:lang w:eastAsia="zh-CN"/>
        </w:rPr>
        <w:t>供应商</w:t>
      </w:r>
      <w:r>
        <w:rPr>
          <w:rFonts w:hint="eastAsia" w:eastAsia="楷体_GB2312"/>
          <w:b/>
          <w:bCs/>
          <w:snapToGrid w:val="0"/>
          <w:kern w:val="0"/>
        </w:rPr>
        <w:t>提供的以上资料若为复印件或扫描件需加盖</w:t>
      </w:r>
      <w:r>
        <w:rPr>
          <w:rFonts w:hint="eastAsia" w:eastAsia="楷体_GB2312"/>
          <w:b/>
          <w:bCs/>
          <w:snapToGrid w:val="0"/>
          <w:kern w:val="0"/>
          <w:lang w:eastAsia="zh-CN"/>
        </w:rPr>
        <w:t>供应商</w:t>
      </w:r>
      <w:r>
        <w:rPr>
          <w:rFonts w:hint="eastAsia" w:eastAsia="楷体_GB2312"/>
          <w:b/>
          <w:bCs/>
          <w:snapToGrid w:val="0"/>
          <w:kern w:val="0"/>
        </w:rPr>
        <w:t>公章</w:t>
      </w:r>
    </w:p>
    <w:p w14:paraId="078CA85F">
      <w:pPr>
        <w:adjustRightInd w:val="0"/>
        <w:snapToGrid w:val="0"/>
        <w:spacing w:line="300" w:lineRule="auto"/>
        <w:jc w:val="right"/>
        <w:rPr>
          <w:snapToGrid w:val="0"/>
          <w:kern w:val="0"/>
        </w:rPr>
      </w:pPr>
    </w:p>
    <w:p w14:paraId="3C4D6E15">
      <w:pPr>
        <w:spacing w:line="360" w:lineRule="auto"/>
        <w:jc w:val="center"/>
        <w:rPr>
          <w:b/>
          <w:szCs w:val="21"/>
        </w:rPr>
      </w:pPr>
    </w:p>
    <w:p w14:paraId="55CAC06B">
      <w:pPr>
        <w:rPr>
          <w:rFonts w:hint="eastAsia" w:ascii="宋体" w:hAnsi="宋体"/>
          <w:sz w:val="24"/>
        </w:rPr>
      </w:pPr>
      <w:r>
        <w:rPr>
          <w:rFonts w:hint="eastAsia" w:ascii="宋体" w:hAnsi="宋体"/>
          <w:sz w:val="24"/>
        </w:rPr>
        <w:br w:type="page"/>
      </w:r>
    </w:p>
    <w:p w14:paraId="252DA977">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w:t>
      </w:r>
      <w:r>
        <w:rPr>
          <w:rFonts w:hint="eastAsia" w:ascii="宋体" w:hAnsi="宋体"/>
          <w:sz w:val="24"/>
          <w:lang w:val="en-US" w:eastAsia="zh-CN"/>
        </w:rPr>
        <w:t>9</w:t>
      </w:r>
      <w:r>
        <w:rPr>
          <w:rFonts w:hint="eastAsia" w:ascii="宋体" w:hAnsi="宋体"/>
          <w:sz w:val="24"/>
        </w:rPr>
        <w:t xml:space="preserve">  偏离表</w:t>
      </w:r>
    </w:p>
    <w:bookmarkEnd w:id="71"/>
    <w:p w14:paraId="162CEA19">
      <w:pPr>
        <w:snapToGrid w:val="0"/>
        <w:spacing w:line="360" w:lineRule="auto"/>
        <w:jc w:val="center"/>
        <w:rPr>
          <w:rFonts w:hint="eastAsia"/>
          <w:b/>
        </w:rPr>
      </w:pPr>
    </w:p>
    <w:p w14:paraId="261432E9">
      <w:pPr>
        <w:snapToGrid w:val="0"/>
        <w:spacing w:line="360" w:lineRule="auto"/>
        <w:jc w:val="center"/>
        <w:rPr>
          <w:rFonts w:hint="eastAsia"/>
          <w:b/>
        </w:rPr>
      </w:pPr>
      <w:r>
        <w:rPr>
          <w:rFonts w:hint="eastAsia"/>
          <w:b/>
        </w:rPr>
        <w:t>服务要求偏离表</w:t>
      </w:r>
    </w:p>
    <w:tbl>
      <w:tblPr>
        <w:tblStyle w:val="5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3"/>
        <w:gridCol w:w="2966"/>
        <w:gridCol w:w="2147"/>
        <w:gridCol w:w="1424"/>
        <w:gridCol w:w="1424"/>
      </w:tblGrid>
      <w:tr w14:paraId="43A6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62" w:type="pct"/>
            <w:gridSpan w:val="2"/>
            <w:noWrap w:val="0"/>
            <w:vAlign w:val="top"/>
          </w:tcPr>
          <w:p w14:paraId="6CA45307">
            <w:pPr>
              <w:keepNext w:val="0"/>
              <w:keepLines w:val="0"/>
              <w:pageBreakBefore w:val="0"/>
              <w:numPr>
                <w:ilvl w:val="0"/>
                <w:numId w:val="0"/>
              </w:numPr>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szCs w:val="21"/>
                <w:highlight w:val="none"/>
              </w:rPr>
              <w:t>招标文件服务要求</w:t>
            </w:r>
          </w:p>
        </w:tc>
        <w:tc>
          <w:tcPr>
            <w:tcW w:w="1090" w:type="pct"/>
            <w:noWrap w:val="0"/>
            <w:vAlign w:val="center"/>
          </w:tcPr>
          <w:p w14:paraId="3EAAE181">
            <w:pPr>
              <w:jc w:val="center"/>
              <w:rPr>
                <w:rFonts w:hint="eastAsia" w:ascii="宋体" w:hAnsi="宋体" w:eastAsia="宋体" w:cs="宋体"/>
                <w:color w:val="000000"/>
                <w:sz w:val="21"/>
                <w:szCs w:val="21"/>
                <w:highlight w:val="none"/>
                <w:vertAlign w:val="baseline"/>
                <w:lang w:val="en-US" w:eastAsia="zh-CN"/>
              </w:rPr>
            </w:pPr>
            <w:r>
              <w:rPr>
                <w:rFonts w:hint="eastAsia" w:ascii="宋体" w:hAnsi="宋体"/>
                <w:szCs w:val="21"/>
                <w:highlight w:val="none"/>
              </w:rPr>
              <w:t>投标文件服务响应</w:t>
            </w:r>
          </w:p>
        </w:tc>
        <w:tc>
          <w:tcPr>
            <w:tcW w:w="723" w:type="pct"/>
            <w:noWrap w:val="0"/>
            <w:vAlign w:val="center"/>
          </w:tcPr>
          <w:p w14:paraId="1C30B5E5">
            <w:pPr>
              <w:jc w:val="center"/>
              <w:rPr>
                <w:rFonts w:hint="eastAsia" w:ascii="宋体" w:hAnsi="宋体" w:eastAsia="宋体" w:cs="宋体"/>
                <w:color w:val="000000"/>
                <w:sz w:val="21"/>
                <w:szCs w:val="21"/>
                <w:highlight w:val="none"/>
                <w:vertAlign w:val="baseline"/>
                <w:lang w:val="en-US" w:eastAsia="zh-CN"/>
              </w:rPr>
            </w:pPr>
            <w:r>
              <w:rPr>
                <w:rFonts w:hint="eastAsia" w:ascii="宋体" w:hAnsi="宋体"/>
                <w:szCs w:val="21"/>
                <w:highlight w:val="none"/>
              </w:rPr>
              <w:t>偏离情况</w:t>
            </w:r>
          </w:p>
        </w:tc>
        <w:tc>
          <w:tcPr>
            <w:tcW w:w="723" w:type="pct"/>
            <w:noWrap w:val="0"/>
            <w:vAlign w:val="top"/>
          </w:tcPr>
          <w:p w14:paraId="54094143">
            <w:pPr>
              <w:keepNext w:val="0"/>
              <w:keepLines w:val="0"/>
              <w:pageBreakBefore w:val="0"/>
              <w:numPr>
                <w:ilvl w:val="0"/>
                <w:numId w:val="0"/>
              </w:numPr>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szCs w:val="21"/>
                <w:highlight w:val="none"/>
              </w:rPr>
              <w:t>说明</w:t>
            </w:r>
          </w:p>
        </w:tc>
      </w:tr>
      <w:tr w14:paraId="2CC8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atLeast"/>
        </w:trPr>
        <w:tc>
          <w:tcPr>
            <w:tcW w:w="1883" w:type="dxa"/>
            <w:noWrap w:val="0"/>
            <w:vAlign w:val="center"/>
          </w:tcPr>
          <w:p w14:paraId="52AEAFF0">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保险责任</w:t>
            </w:r>
          </w:p>
        </w:tc>
        <w:tc>
          <w:tcPr>
            <w:tcW w:w="2966" w:type="dxa"/>
            <w:noWrap w:val="0"/>
            <w:vAlign w:val="center"/>
          </w:tcPr>
          <w:p w14:paraId="3E0DFA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1.医疗责任保险责任：</w:t>
            </w:r>
            <w:r>
              <w:rPr>
                <w:rFonts w:hint="eastAsia" w:ascii="宋体" w:hAnsi="宋体" w:eastAsia="宋体" w:cs="宋体"/>
                <w:color w:val="auto"/>
                <w:sz w:val="21"/>
                <w:szCs w:val="21"/>
                <w:highlight w:val="none"/>
              </w:rPr>
              <w:t xml:space="preserve">在保险单列明的保险期间或追溯期及承保区域范围内，在保险单中载明的被保险人的医务人员（以下简称投保医务人员）在诊疗活动中，因执业过失造成患者人身损害，在本保险期间内，由患者或其近亲属首次向被保险人提出索赔申请，依法应由被保险人承担民事赔偿责任时，保险人按照本保险合同的约定负责赔偿； </w:t>
            </w:r>
          </w:p>
          <w:p w14:paraId="1160A03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医疗机构场所责任：在保险单载明的保险期间内，由于下列原因导致第三者（含患者）的人身损害或财产损失，依照中华人民共和国法律（不包括港、澳、台地区法律）应由被保险人承担的经济赔偿责任，保险人按照本附加险合同约定也负责赔偿：</w:t>
            </w:r>
          </w:p>
          <w:p w14:paraId="7AC3288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（一）被保险人的公共设施存在缺陷或者被保险人对其管理不善或操作、维护不当；</w:t>
            </w:r>
          </w:p>
          <w:p w14:paraId="59F952D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（二）被保险人或其工作人员的过失导致的火灾、爆炸；</w:t>
            </w:r>
          </w:p>
          <w:p w14:paraId="40B9D8A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（三）被保险人或其工作人员的过失导致被保险人提供的食品引发食物中毒或其他食源性疾患。</w:t>
            </w:r>
          </w:p>
          <w:p w14:paraId="28DDA429">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医务人员遭受伤害责任：在保险单载明的保险期间内，被保险人的医务人员在从事与其执业资格相符的诊疗活动中，因医疗纠纷而遭受患方的故意伤害导致人身伤亡，依照中华人民共和国法律（不包括港、澳、台地区法律）应由被保险人承担的经济赔偿责任，保险人按照本附加险合同约定也负责赔偿。</w:t>
            </w:r>
          </w:p>
        </w:tc>
        <w:tc>
          <w:tcPr>
            <w:tcW w:w="1090" w:type="pct"/>
            <w:noWrap w:val="0"/>
            <w:vAlign w:val="center"/>
          </w:tcPr>
          <w:p w14:paraId="368298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center"/>
          </w:tcPr>
          <w:p w14:paraId="450CFD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center"/>
          </w:tcPr>
          <w:p w14:paraId="7BC2B8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r>
              <w:rPr>
                <w:rFonts w:hint="eastAsia"/>
                <w:szCs w:val="21"/>
                <w:highlight w:val="none"/>
              </w:rPr>
              <w:t>如需附证明文件，应在“说明”栏填写证明文件对应名称和页码。</w:t>
            </w:r>
          </w:p>
        </w:tc>
      </w:tr>
      <w:tr w14:paraId="6AF2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883" w:type="dxa"/>
            <w:noWrap w:val="0"/>
            <w:vAlign w:val="center"/>
          </w:tcPr>
          <w:p w14:paraId="25E237E1">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2.保险要求</w:t>
            </w:r>
          </w:p>
        </w:tc>
        <w:tc>
          <w:tcPr>
            <w:tcW w:w="2966" w:type="dxa"/>
            <w:noWrap w:val="0"/>
            <w:vAlign w:val="center"/>
          </w:tcPr>
          <w:p w14:paraId="723C97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项目符合《医疗纠纷预防和处理条例》、《医疗事故处理条例》、《广东省医疗纠纷预防与处理条例》、《深圳经济特区医疗条例》以及相关医疗保险法律规章。</w:t>
            </w:r>
          </w:p>
          <w:p w14:paraId="07A9F2E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1.医疗责任累计责任限额：105 万元</w:t>
            </w:r>
          </w:p>
          <w:p w14:paraId="5EC789D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每次事故责任限额：15万元 </w:t>
            </w:r>
          </w:p>
          <w:p w14:paraId="2A13B0D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精神损害每人责任限额：10万元（已包含在每次事故责任限额里）</w:t>
            </w:r>
          </w:p>
          <w:p w14:paraId="311594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法律费用每次事故责任限额：5 万元（仅承保诉讼费、鉴定费、仲裁费，已包含在医疗责任每次事故责任限额里）</w:t>
            </w:r>
          </w:p>
          <w:p w14:paraId="0FFBB49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1.1附加外请医务人员医疗责任累计责任限额: 105万元</w:t>
            </w:r>
          </w:p>
          <w:p w14:paraId="178557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每名患者责任限额:15万元</w:t>
            </w:r>
          </w:p>
          <w:p w14:paraId="24FF057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1.2附加进修医务人员医疗责任累计责任限额:105万元</w:t>
            </w:r>
          </w:p>
          <w:p w14:paraId="71DD60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每名患者责任限额: 15万元</w:t>
            </w:r>
          </w:p>
          <w:p w14:paraId="1E508D1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1.3附加实习生医疗责任累计责任限额: 105万元</w:t>
            </w:r>
          </w:p>
          <w:p w14:paraId="051A7FF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每次事故责任限额: 15万元</w:t>
            </w:r>
          </w:p>
          <w:p w14:paraId="65C57B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注：附加进修医务人员、附加外请医务人员、附加实习生医疗责任累计责任限额已包含在医疗责任累计责任限额中。</w:t>
            </w:r>
          </w:p>
          <w:p w14:paraId="27E225C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2.附加医疗机构场所责任累计责任限额：120万元 </w:t>
            </w:r>
          </w:p>
          <w:p w14:paraId="54A8FF0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每次事故责任限额：70万元 </w:t>
            </w:r>
          </w:p>
          <w:p w14:paraId="4E3893F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每次事故每人责任限额：35万元</w:t>
            </w:r>
          </w:p>
          <w:p w14:paraId="7B9CC3F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3.附加医务人员遭受伤害责任累计责任限额：70 万元</w:t>
            </w:r>
          </w:p>
          <w:p w14:paraId="3C49D8A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医务人员每人责任限额：30万元</w:t>
            </w:r>
          </w:p>
          <w:p w14:paraId="1A8F852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4.保单绝对免赔额：每次事故20000元（含）或损失金额的10%，以高者为准。</w:t>
            </w:r>
          </w:p>
          <w:p w14:paraId="0EE56A6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5.项目承保方式：期内索赔制</w:t>
            </w:r>
          </w:p>
          <w:p w14:paraId="5738440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6.保险追溯期：首年追溯期为零，以后连续续保，追溯期相应增加，但最长不超过3年，具体起止时间以保险单载明的时间为准。</w:t>
            </w:r>
          </w:p>
        </w:tc>
        <w:tc>
          <w:tcPr>
            <w:tcW w:w="1090" w:type="pct"/>
            <w:noWrap w:val="0"/>
            <w:vAlign w:val="center"/>
          </w:tcPr>
          <w:p w14:paraId="4E6ABEB0">
            <w:pPr>
              <w:pStyle w:val="22"/>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kern w:val="2"/>
                <w:sz w:val="21"/>
                <w:szCs w:val="21"/>
                <w:highlight w:val="none"/>
                <w:u w:val="none"/>
                <w:lang w:val="en-US" w:eastAsia="zh-CN"/>
              </w:rPr>
            </w:pPr>
          </w:p>
        </w:tc>
        <w:tc>
          <w:tcPr>
            <w:tcW w:w="723" w:type="pct"/>
            <w:noWrap w:val="0"/>
            <w:vAlign w:val="center"/>
          </w:tcPr>
          <w:p w14:paraId="5D28D4AB">
            <w:pPr>
              <w:pStyle w:val="22"/>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kern w:val="2"/>
                <w:sz w:val="21"/>
                <w:szCs w:val="21"/>
                <w:highlight w:val="none"/>
                <w:u w:val="none"/>
                <w:lang w:val="en-US" w:eastAsia="zh-CN"/>
              </w:rPr>
            </w:pPr>
          </w:p>
        </w:tc>
        <w:tc>
          <w:tcPr>
            <w:tcW w:w="723" w:type="pct"/>
            <w:noWrap w:val="0"/>
            <w:vAlign w:val="center"/>
          </w:tcPr>
          <w:p w14:paraId="5FB95D15">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kern w:val="2"/>
                <w:sz w:val="21"/>
                <w:szCs w:val="21"/>
                <w:highlight w:val="none"/>
                <w:u w:val="none"/>
                <w:lang w:val="en-US" w:eastAsia="zh-CN"/>
              </w:rPr>
            </w:pPr>
            <w:r>
              <w:rPr>
                <w:rFonts w:hint="eastAsia"/>
                <w:szCs w:val="21"/>
                <w:highlight w:val="none"/>
              </w:rPr>
              <w:t>如需附证明文件，应在“说明”栏填写证明文件对应名称和页码。</w:t>
            </w:r>
          </w:p>
        </w:tc>
      </w:tr>
      <w:tr w14:paraId="7CDF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83" w:type="dxa"/>
            <w:noWrap w:val="0"/>
            <w:vAlign w:val="center"/>
          </w:tcPr>
          <w:p w14:paraId="63A937B0">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bCs/>
                <w:color w:val="000000"/>
                <w:sz w:val="21"/>
                <w:szCs w:val="21"/>
                <w:highlight w:val="none"/>
                <w:lang w:val="en-US"/>
              </w:rPr>
            </w:pPr>
            <w:r>
              <w:rPr>
                <w:rFonts w:hint="eastAsia" w:ascii="宋体" w:hAnsi="宋体" w:eastAsia="宋体" w:cs="宋体"/>
                <w:b/>
                <w:bCs/>
                <w:color w:val="auto"/>
                <w:sz w:val="21"/>
                <w:szCs w:val="21"/>
                <w:highlight w:val="none"/>
                <w:lang w:val="en-US" w:eastAsia="zh-CN"/>
              </w:rPr>
              <w:t>3.整体实施方案</w:t>
            </w:r>
          </w:p>
        </w:tc>
        <w:tc>
          <w:tcPr>
            <w:tcW w:w="2966" w:type="dxa"/>
            <w:noWrap w:val="0"/>
            <w:vAlign w:val="center"/>
          </w:tcPr>
          <w:p w14:paraId="02B531AE">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为了顺利开展工作、形成对项目的充分理解，促进本项目医疗责任保险理赔服务规范、高效、有序实施，投标人需制订针对本项目的实施方案，包含但不限于以下内容： </w:t>
            </w:r>
          </w:p>
          <w:p w14:paraId="73B2E698">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保险理赔定责方案；</w:t>
            </w:r>
          </w:p>
          <w:p w14:paraId="0ECA532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保险理赔的报案流程； </w:t>
            </w:r>
          </w:p>
          <w:p w14:paraId="62830832">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保险理赔手续</w:t>
            </w:r>
            <w:r>
              <w:rPr>
                <w:rFonts w:hint="eastAsia" w:ascii="宋体" w:hAnsi="宋体" w:eastAsia="宋体" w:cs="宋体"/>
                <w:color w:val="auto"/>
                <w:sz w:val="21"/>
                <w:szCs w:val="21"/>
                <w:highlight w:val="none"/>
                <w:lang w:eastAsia="zh-CN"/>
              </w:rPr>
              <w:t>；</w:t>
            </w:r>
          </w:p>
          <w:p w14:paraId="78983C71">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保险理赔</w:t>
            </w:r>
            <w:r>
              <w:rPr>
                <w:rFonts w:hint="eastAsia" w:ascii="宋体" w:hAnsi="宋体" w:eastAsia="宋体" w:cs="宋体"/>
                <w:color w:val="auto"/>
                <w:sz w:val="21"/>
                <w:szCs w:val="21"/>
                <w:highlight w:val="none"/>
                <w:lang w:eastAsia="zh-CN"/>
              </w:rPr>
              <w:t>文书资料要求</w:t>
            </w:r>
          </w:p>
          <w:p w14:paraId="2F0AE088">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、保险理赔时效</w:t>
            </w:r>
            <w:r>
              <w:rPr>
                <w:rFonts w:hint="eastAsia" w:ascii="宋体" w:hAnsi="宋体" w:eastAsia="宋体" w:cs="宋体"/>
                <w:color w:val="auto"/>
                <w:sz w:val="21"/>
                <w:szCs w:val="21"/>
                <w:highlight w:val="none"/>
                <w:lang w:eastAsia="zh-CN"/>
              </w:rPr>
              <w:t>说明</w:t>
            </w:r>
            <w:r>
              <w:rPr>
                <w:rFonts w:hint="eastAsia" w:ascii="宋体" w:hAnsi="宋体" w:eastAsia="宋体" w:cs="宋体"/>
                <w:color w:val="auto"/>
                <w:sz w:val="21"/>
                <w:szCs w:val="21"/>
                <w:highlight w:val="none"/>
              </w:rPr>
              <w:t>；</w:t>
            </w:r>
          </w:p>
          <w:p w14:paraId="6687EFC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、其他特色或创新服务。</w:t>
            </w:r>
          </w:p>
        </w:tc>
        <w:tc>
          <w:tcPr>
            <w:tcW w:w="1090" w:type="pct"/>
            <w:noWrap w:val="0"/>
            <w:vAlign w:val="center"/>
          </w:tcPr>
          <w:p w14:paraId="6C9C7DF0">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center"/>
          </w:tcPr>
          <w:p w14:paraId="51285027">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center"/>
          </w:tcPr>
          <w:p w14:paraId="161A6B3C">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r>
              <w:rPr>
                <w:rFonts w:hint="eastAsia"/>
                <w:szCs w:val="21"/>
                <w:highlight w:val="none"/>
              </w:rPr>
              <w:t>如需附证明文件，应在“说明”栏填写证明文件对应名称和页码。</w:t>
            </w:r>
          </w:p>
        </w:tc>
      </w:tr>
      <w:tr w14:paraId="029D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7" w:hRule="atLeast"/>
        </w:trPr>
        <w:tc>
          <w:tcPr>
            <w:tcW w:w="1883" w:type="dxa"/>
            <w:noWrap w:val="0"/>
            <w:vAlign w:val="center"/>
          </w:tcPr>
          <w:p w14:paraId="5AFAE9C3">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4.拟投入项目团队成员情况</w:t>
            </w:r>
          </w:p>
        </w:tc>
        <w:tc>
          <w:tcPr>
            <w:tcW w:w="2966" w:type="dxa"/>
            <w:noWrap w:val="0"/>
            <w:vAlign w:val="top"/>
          </w:tcPr>
          <w:p w14:paraId="7067A3B5">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1.中标人在合同签署时，中标人需安排</w:t>
            </w:r>
            <w:r>
              <w:rPr>
                <w:rFonts w:hint="eastAsia" w:ascii="宋体" w:hAnsi="宋体" w:eastAsia="宋体" w:cs="宋体"/>
                <w:color w:val="auto"/>
                <w:sz w:val="21"/>
                <w:szCs w:val="21"/>
                <w:highlight w:val="none"/>
                <w:lang w:eastAsia="zh-CN"/>
              </w:rPr>
              <w:t>专人</w:t>
            </w:r>
            <w:r>
              <w:rPr>
                <w:rFonts w:hint="eastAsia" w:ascii="宋体" w:hAnsi="宋体" w:eastAsia="宋体" w:cs="宋体"/>
                <w:color w:val="auto"/>
                <w:sz w:val="21"/>
                <w:szCs w:val="21"/>
                <w:highlight w:val="none"/>
              </w:rPr>
              <w:t>负责</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保险案件的</w:t>
            </w:r>
            <w:r>
              <w:rPr>
                <w:rFonts w:hint="eastAsia" w:ascii="宋体" w:hAnsi="宋体" w:eastAsia="宋体" w:cs="宋体"/>
                <w:color w:val="auto"/>
                <w:kern w:val="0"/>
                <w:sz w:val="21"/>
                <w:szCs w:val="21"/>
                <w:highlight w:val="none"/>
              </w:rPr>
              <w:t>报案、查勘、理赔单证等相关工作</w:t>
            </w:r>
            <w:r>
              <w:rPr>
                <w:rFonts w:hint="eastAsia" w:ascii="宋体" w:hAnsi="宋体" w:eastAsia="宋体" w:cs="宋体"/>
                <w:color w:val="auto"/>
                <w:sz w:val="21"/>
                <w:szCs w:val="21"/>
                <w:highlight w:val="none"/>
              </w:rPr>
              <w:t>，备注联系方式和姓名。如有变更，应及时向采购人告知。</w:t>
            </w:r>
          </w:p>
          <w:p w14:paraId="744C3B0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auto"/>
                <w:kern w:val="2"/>
                <w:sz w:val="21"/>
                <w:szCs w:val="21"/>
                <w:highlight w:val="none"/>
                <w:lang w:eastAsia="zh-CN" w:bidi="ar-SA"/>
              </w:rPr>
              <w:t>2.为保障医疗责任保险承保理赔服务的专业化、规范化水平，以及医疗纠纷处置的合法合规性，</w:t>
            </w:r>
            <w:r>
              <w:rPr>
                <w:rFonts w:hint="eastAsia" w:ascii="宋体" w:hAnsi="宋体" w:eastAsia="宋体" w:cs="宋体"/>
                <w:color w:val="auto"/>
                <w:kern w:val="2"/>
                <w:sz w:val="21"/>
                <w:szCs w:val="21"/>
                <w:highlight w:val="none"/>
                <w:lang w:val="en-US" w:eastAsia="zh-CN" w:bidi="ar-SA"/>
              </w:rPr>
              <w:t>保证项目平稳运行，中标人需为采购人</w:t>
            </w:r>
            <w:r>
              <w:rPr>
                <w:rFonts w:hint="eastAsia" w:ascii="宋体" w:hAnsi="宋体" w:eastAsia="宋体" w:cs="宋体"/>
                <w:color w:val="auto"/>
                <w:sz w:val="21"/>
                <w:szCs w:val="21"/>
                <w:highlight w:val="none"/>
                <w:vertAlign w:val="baseline"/>
                <w:lang w:val="en-US" w:eastAsia="zh-CN"/>
              </w:rPr>
              <w:t>配备团队成员，</w:t>
            </w:r>
            <w:r>
              <w:rPr>
                <w:rFonts w:hint="eastAsia" w:ascii="宋体" w:hAnsi="宋体" w:eastAsia="宋体" w:cs="宋体"/>
                <w:b w:val="0"/>
                <w:bCs w:val="0"/>
                <w:color w:val="auto"/>
                <w:kern w:val="2"/>
                <w:sz w:val="21"/>
                <w:szCs w:val="21"/>
                <w:highlight w:val="none"/>
                <w:lang w:val="en-US" w:eastAsia="zh-CN"/>
              </w:rPr>
              <w:t>投入项目团队成员</w:t>
            </w:r>
            <w:r>
              <w:rPr>
                <w:rFonts w:hint="eastAsia" w:ascii="宋体" w:hAnsi="宋体" w:eastAsia="宋体" w:cs="宋体"/>
                <w:b w:val="0"/>
                <w:bCs w:val="0"/>
                <w:color w:val="auto"/>
                <w:kern w:val="2"/>
                <w:sz w:val="21"/>
                <w:szCs w:val="21"/>
                <w:highlight w:val="none"/>
                <w:lang w:eastAsia="zh-CN"/>
              </w:rPr>
              <w:t>为投标人自有员工</w:t>
            </w:r>
            <w:r>
              <w:rPr>
                <w:rFonts w:hint="eastAsia" w:ascii="宋体" w:hAnsi="宋体" w:eastAsia="宋体" w:cs="宋体"/>
                <w:color w:val="auto"/>
                <w:sz w:val="21"/>
                <w:szCs w:val="21"/>
                <w:highlight w:val="none"/>
              </w:rPr>
              <w:t>，具有法学或医学或保险学相关专业本科（或以上）学历背景，具备同类工作经验</w:t>
            </w:r>
            <w:r>
              <w:rPr>
                <w:rFonts w:hint="eastAsia" w:ascii="宋体" w:hAnsi="宋体" w:eastAsia="宋体" w:cs="宋体"/>
                <w:color w:val="auto"/>
                <w:sz w:val="21"/>
                <w:szCs w:val="21"/>
                <w:highlight w:val="none"/>
                <w:lang w:eastAsia="zh-CN"/>
              </w:rPr>
              <w:t>，以便团队能尽可能准确地理解医疗责任保险条款、判断医疗损害责任、审查理赔单证、把控法律风险，也有利于快速介入医疗纠纷处置、缩短定责与理赔周期、提高沟通协调效率，从而保障项目连续、稳定、专业运行。</w:t>
            </w:r>
          </w:p>
        </w:tc>
        <w:tc>
          <w:tcPr>
            <w:tcW w:w="1090" w:type="pct"/>
            <w:noWrap w:val="0"/>
            <w:vAlign w:val="top"/>
          </w:tcPr>
          <w:p w14:paraId="0A5D818B">
            <w:pPr>
              <w:pStyle w:val="22"/>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top"/>
          </w:tcPr>
          <w:p w14:paraId="5437B66E">
            <w:pPr>
              <w:pStyle w:val="22"/>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top"/>
          </w:tcPr>
          <w:p w14:paraId="67FFA0FF">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r>
              <w:rPr>
                <w:rFonts w:hint="eastAsia"/>
                <w:szCs w:val="21"/>
                <w:highlight w:val="none"/>
              </w:rPr>
              <w:t>如需附证明文件，应在“说明”栏填写证明文件对应名称和页码。</w:t>
            </w:r>
          </w:p>
        </w:tc>
      </w:tr>
      <w:tr w14:paraId="7F05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83" w:type="dxa"/>
            <w:noWrap w:val="0"/>
            <w:vAlign w:val="center"/>
          </w:tcPr>
          <w:p w14:paraId="4EEC0445">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u w:val="none"/>
                <w:vertAlign w:val="baseline"/>
                <w:lang w:val="en-US" w:eastAsia="zh-CN" w:bidi="ar-SA"/>
              </w:rPr>
            </w:pPr>
            <w:r>
              <w:rPr>
                <w:rFonts w:hint="eastAsia" w:ascii="宋体" w:hAnsi="宋体" w:eastAsia="宋体" w:cs="宋体"/>
                <w:b/>
                <w:bCs/>
                <w:color w:val="auto"/>
                <w:sz w:val="21"/>
                <w:szCs w:val="21"/>
                <w:highlight w:val="none"/>
              </w:rPr>
              <w:t>★</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color w:val="auto"/>
                <w:kern w:val="2"/>
                <w:sz w:val="21"/>
                <w:szCs w:val="21"/>
                <w:highlight w:val="none"/>
                <w:u w:val="none"/>
                <w:vertAlign w:val="baseline"/>
                <w:lang w:val="en-US" w:eastAsia="zh-CN" w:bidi="ar-SA"/>
              </w:rPr>
              <w:t>其他</w:t>
            </w:r>
          </w:p>
          <w:p w14:paraId="1008B9CD">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auto"/>
                <w:kern w:val="2"/>
                <w:sz w:val="21"/>
                <w:szCs w:val="21"/>
                <w:highlight w:val="none"/>
                <w:u w:val="none"/>
                <w:vertAlign w:val="baseline"/>
                <w:lang w:val="en-US" w:eastAsia="zh-CN" w:bidi="ar-SA"/>
              </w:rPr>
              <w:t>技术要求</w:t>
            </w:r>
          </w:p>
        </w:tc>
        <w:tc>
          <w:tcPr>
            <w:tcW w:w="2966" w:type="dxa"/>
            <w:noWrap w:val="0"/>
            <w:vAlign w:val="top"/>
          </w:tcPr>
          <w:p w14:paraId="4B2C7787">
            <w:pPr>
              <w:keepNext w:val="0"/>
              <w:keepLines w:val="0"/>
              <w:pageBreakBefore w:val="0"/>
              <w:shd w:val="clear" w:color="auto" w:fill="auto"/>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北京容海保险经纪有限公司深圳分公司为本项目的保险经纪人，为采购人的医疗责任保险项目提供保险经纪服务。保险经纪人在采购人授权范围内的事项，投标人及最终确定的承保人需配合保险经纪人代表采购人所提涉保要求，认可其所发挥的督促、协调作用，并一致认为保险经纪人能为保险双方的顺利合作起到应有的积极作用。</w:t>
            </w:r>
          </w:p>
          <w:p w14:paraId="082A93E7">
            <w:pPr>
              <w:keepNext w:val="0"/>
              <w:keepLines w:val="0"/>
              <w:pageBreakBefore w:val="0"/>
              <w:shd w:val="clear" w:color="auto" w:fill="auto"/>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本项目接受</w:t>
            </w:r>
            <w:r>
              <w:rPr>
                <w:rFonts w:hint="eastAsia" w:ascii="宋体" w:hAnsi="宋体" w:eastAsia="宋体" w:cs="宋体"/>
                <w:color w:val="auto"/>
                <w:kern w:val="2"/>
                <w:sz w:val="21"/>
                <w:szCs w:val="21"/>
                <w:highlight w:val="none"/>
                <w:lang w:eastAsia="zh-CN"/>
              </w:rPr>
              <w:t>中标人</w:t>
            </w:r>
            <w:r>
              <w:rPr>
                <w:rFonts w:hint="eastAsia" w:ascii="宋体" w:hAnsi="宋体" w:eastAsia="宋体" w:cs="宋体"/>
                <w:color w:val="auto"/>
                <w:kern w:val="2"/>
                <w:sz w:val="21"/>
                <w:szCs w:val="21"/>
                <w:highlight w:val="none"/>
              </w:rPr>
              <w:t>按照中国保险监督管理委员会《关于加强财产保险共保业务管理的通知》要求安排共保及再保，但</w:t>
            </w:r>
            <w:r>
              <w:rPr>
                <w:rFonts w:hint="eastAsia" w:ascii="宋体" w:hAnsi="宋体" w:eastAsia="宋体" w:cs="宋体"/>
                <w:color w:val="auto"/>
                <w:kern w:val="2"/>
                <w:sz w:val="21"/>
                <w:szCs w:val="21"/>
                <w:highlight w:val="none"/>
                <w:lang w:eastAsia="zh-CN"/>
              </w:rPr>
              <w:t>中标人</w:t>
            </w:r>
            <w:r>
              <w:rPr>
                <w:rFonts w:hint="eastAsia" w:ascii="宋体" w:hAnsi="宋体" w:eastAsia="宋体" w:cs="宋体"/>
                <w:color w:val="auto"/>
                <w:kern w:val="2"/>
                <w:sz w:val="21"/>
                <w:szCs w:val="21"/>
                <w:highlight w:val="none"/>
              </w:rPr>
              <w:t>必须作为主承保人负责承保、理赔服务，不得将承保、理赔服务分配其他参与共保公司服务。</w:t>
            </w:r>
          </w:p>
        </w:tc>
        <w:tc>
          <w:tcPr>
            <w:tcW w:w="1090" w:type="pct"/>
            <w:noWrap w:val="0"/>
            <w:vAlign w:val="top"/>
          </w:tcPr>
          <w:p w14:paraId="7B14BC24">
            <w:pPr>
              <w:keepNext w:val="0"/>
              <w:keepLines w:val="0"/>
              <w:pageBreakBefore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color w:val="000000"/>
                <w:kern w:val="2"/>
                <w:sz w:val="21"/>
                <w:szCs w:val="21"/>
                <w:highlight w:val="none"/>
                <w:lang w:val="en-US" w:eastAsia="zh-CN"/>
              </w:rPr>
            </w:pPr>
          </w:p>
        </w:tc>
        <w:tc>
          <w:tcPr>
            <w:tcW w:w="723" w:type="pct"/>
            <w:noWrap w:val="0"/>
            <w:vAlign w:val="top"/>
          </w:tcPr>
          <w:p w14:paraId="707EA6A7">
            <w:pPr>
              <w:keepNext w:val="0"/>
              <w:keepLines w:val="0"/>
              <w:pageBreakBefore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color w:val="000000"/>
                <w:kern w:val="2"/>
                <w:sz w:val="21"/>
                <w:szCs w:val="21"/>
                <w:highlight w:val="none"/>
                <w:lang w:val="en-US" w:eastAsia="zh-CN"/>
              </w:rPr>
            </w:pPr>
          </w:p>
        </w:tc>
        <w:tc>
          <w:tcPr>
            <w:tcW w:w="723" w:type="pct"/>
            <w:noWrap w:val="0"/>
            <w:vAlign w:val="top"/>
          </w:tcPr>
          <w:p w14:paraId="1D9FA5AB">
            <w:pPr>
              <w:keepNext w:val="0"/>
              <w:keepLines w:val="0"/>
              <w:pageBreakBefore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color w:val="000000"/>
                <w:kern w:val="2"/>
                <w:sz w:val="21"/>
                <w:szCs w:val="21"/>
                <w:highlight w:val="none"/>
                <w:lang w:val="en-US" w:eastAsia="zh-CN"/>
              </w:rPr>
            </w:pPr>
            <w:r>
              <w:rPr>
                <w:rFonts w:hint="eastAsia"/>
                <w:szCs w:val="21"/>
                <w:highlight w:val="none"/>
              </w:rPr>
              <w:t>如需附证明文件，应在“说明”栏填写证明文件对应名称和页码。</w:t>
            </w:r>
          </w:p>
        </w:tc>
      </w:tr>
    </w:tbl>
    <w:p w14:paraId="74431D75">
      <w:pPr>
        <w:spacing w:line="360" w:lineRule="auto"/>
        <w:jc w:val="center"/>
      </w:pPr>
    </w:p>
    <w:p w14:paraId="2B41BE64">
      <w:pPr>
        <w:spacing w:line="400" w:lineRule="exact"/>
        <w:ind w:firstLine="424" w:firstLineChars="202"/>
        <w:rPr>
          <w:rFonts w:hint="eastAsia" w:ascii="宋体" w:hAnsi="宋体" w:eastAsia="宋体" w:cs="Arial"/>
          <w:bCs/>
          <w:szCs w:val="21"/>
          <w:lang w:eastAsia="zh-CN"/>
        </w:rPr>
      </w:pPr>
      <w:r>
        <w:rPr>
          <w:rFonts w:hint="eastAsia" w:ascii="宋体" w:hAnsi="宋体" w:cs="Arial"/>
          <w:bCs/>
          <w:szCs w:val="21"/>
        </w:rPr>
        <w:t>备注：1、“招标文件服务要求”一栏填写招标文件第二章《项目需求》中“</w:t>
      </w:r>
      <w:r>
        <w:rPr>
          <w:rFonts w:hint="eastAsia" w:ascii="宋体" w:hAnsi="宋体" w:cs="Arial"/>
          <w:b/>
          <w:bCs/>
          <w:szCs w:val="21"/>
          <w:lang w:eastAsia="zh-CN"/>
        </w:rPr>
        <w:t>二</w:t>
      </w:r>
      <w:r>
        <w:rPr>
          <w:rFonts w:hint="eastAsia" w:ascii="宋体" w:hAnsi="宋体" w:cs="Arial"/>
          <w:b/>
          <w:bCs/>
          <w:szCs w:val="21"/>
        </w:rPr>
        <w:t>、</w:t>
      </w:r>
      <w:r>
        <w:rPr>
          <w:rFonts w:hint="eastAsia" w:ascii="宋体" w:hAnsi="宋体"/>
          <w:b/>
          <w:bCs/>
          <w:snapToGrid w:val="0"/>
          <w:kern w:val="0"/>
          <w:sz w:val="24"/>
        </w:rPr>
        <w:t>技术要求</w:t>
      </w:r>
      <w:r>
        <w:rPr>
          <w:rFonts w:hint="eastAsia" w:ascii="宋体" w:hAnsi="宋体" w:cs="Arial"/>
          <w:bCs/>
          <w:szCs w:val="21"/>
        </w:rPr>
        <w:t>”的内容</w:t>
      </w:r>
      <w:r>
        <w:rPr>
          <w:rFonts w:hint="eastAsia" w:ascii="宋体" w:hAnsi="宋体" w:cs="Arial"/>
          <w:bCs/>
          <w:szCs w:val="21"/>
          <w:lang w:eastAsia="zh-CN"/>
        </w:rPr>
        <w:t>；</w:t>
      </w:r>
    </w:p>
    <w:p w14:paraId="2846B6A8">
      <w:pPr>
        <w:spacing w:line="400" w:lineRule="exact"/>
        <w:rPr>
          <w:rFonts w:hint="eastAsia" w:ascii="宋体" w:hAnsi="宋体" w:cs="Arial"/>
          <w:bCs/>
          <w:szCs w:val="21"/>
        </w:rPr>
      </w:pPr>
      <w:r>
        <w:rPr>
          <w:rFonts w:hint="eastAsia" w:ascii="宋体" w:hAnsi="宋体" w:cs="Arial"/>
          <w:bCs/>
          <w:szCs w:val="21"/>
        </w:rPr>
        <w:t>“投标文件服务响应”一栏详细填写响应情况，并应对照招标文件服务要求一一对应响应。</w:t>
      </w:r>
    </w:p>
    <w:p w14:paraId="73A6CE20">
      <w:pPr>
        <w:spacing w:line="400" w:lineRule="exact"/>
        <w:ind w:firstLine="424" w:firstLineChars="202"/>
        <w:rPr>
          <w:rFonts w:ascii="宋体" w:hAnsi="宋体" w:cs="Arial"/>
          <w:bCs/>
          <w:szCs w:val="21"/>
        </w:rPr>
      </w:pPr>
      <w:r>
        <w:rPr>
          <w:rFonts w:hint="eastAsia" w:ascii="宋体" w:hAnsi="宋体" w:cs="Arial"/>
          <w:bCs/>
          <w:szCs w:val="21"/>
          <w:lang w:val="en-US" w:eastAsia="zh-CN"/>
        </w:rPr>
        <w:t>2</w:t>
      </w:r>
      <w:r>
        <w:rPr>
          <w:rFonts w:hint="eastAsia" w:ascii="宋体" w:hAnsi="宋体" w:cs="Arial"/>
          <w:bCs/>
          <w:szCs w:val="21"/>
        </w:rPr>
        <w:t>、“偏离情况”一栏应如实填写“正偏离”、“负偏离”或“无偏离”。</w:t>
      </w:r>
      <w:r>
        <w:rPr>
          <w:rFonts w:hint="eastAsia" w:ascii="宋体" w:hAnsi="宋体"/>
          <w:kern w:val="0"/>
          <w:szCs w:val="21"/>
        </w:rPr>
        <w:t>★</w:t>
      </w:r>
      <w:r>
        <w:rPr>
          <w:rFonts w:hint="eastAsia" w:ascii="宋体" w:hAnsi="宋体" w:eastAsia="宋体"/>
          <w:szCs w:val="21"/>
        </w:rPr>
        <w:t>条款为不可负偏离的实质性条款，投标文件响应为“负偏离”或未响应的，投标文件将按无效投标处理。</w:t>
      </w:r>
    </w:p>
    <w:p w14:paraId="45E0897D">
      <w:pPr>
        <w:spacing w:line="400" w:lineRule="exact"/>
        <w:ind w:firstLine="424" w:firstLineChars="202"/>
        <w:rPr>
          <w:rFonts w:ascii="宋体" w:hAnsi="宋体" w:eastAsia="宋体"/>
          <w:szCs w:val="21"/>
        </w:rPr>
      </w:pPr>
      <w:r>
        <w:rPr>
          <w:rFonts w:hint="eastAsia" w:ascii="宋体" w:hAnsi="宋体" w:cs="Arial"/>
          <w:bCs/>
          <w:szCs w:val="21"/>
          <w:lang w:val="en-US" w:eastAsia="zh-CN"/>
        </w:rPr>
        <w:t>3</w:t>
      </w:r>
      <w:r>
        <w:rPr>
          <w:rFonts w:hint="eastAsia" w:ascii="宋体" w:hAnsi="宋体" w:cs="Arial"/>
          <w:bCs/>
          <w:szCs w:val="21"/>
        </w:rPr>
        <w:t>、</w:t>
      </w:r>
      <w:r>
        <w:rPr>
          <w:rFonts w:hint="eastAsia" w:ascii="宋体" w:hAnsi="宋体" w:eastAsia="宋体"/>
          <w:bCs/>
          <w:kern w:val="0"/>
          <w:szCs w:val="21"/>
        </w:rPr>
        <w:t>如招标文件要求提供证明材料的，</w:t>
      </w:r>
      <w:r>
        <w:rPr>
          <w:rFonts w:hint="eastAsia" w:ascii="宋体" w:hAnsi="宋体"/>
          <w:szCs w:val="21"/>
          <w:lang w:eastAsia="zh-CN"/>
        </w:rPr>
        <w:t>供应商</w:t>
      </w:r>
      <w:r>
        <w:rPr>
          <w:rFonts w:hint="eastAsia" w:ascii="宋体" w:hAnsi="宋体" w:eastAsia="宋体"/>
          <w:szCs w:val="21"/>
        </w:rPr>
        <w:t>应在“说明”一栏中列出</w:t>
      </w:r>
      <w:r>
        <w:rPr>
          <w:rFonts w:hint="eastAsia" w:ascii="宋体" w:hAnsi="宋体" w:eastAsia="宋体"/>
          <w:szCs w:val="21"/>
          <w:lang w:eastAsia="zh-CN"/>
        </w:rPr>
        <w:t>服务要求的</w:t>
      </w:r>
      <w:r>
        <w:rPr>
          <w:rFonts w:hint="eastAsia" w:ascii="宋体" w:hAnsi="宋体" w:eastAsia="宋体"/>
          <w:szCs w:val="21"/>
        </w:rPr>
        <w:t>证明资料名称，并</w:t>
      </w:r>
      <w:r>
        <w:rPr>
          <w:rFonts w:hint="eastAsia" w:ascii="宋体" w:hAnsi="宋体" w:eastAsia="宋体"/>
          <w:bCs/>
          <w:kern w:val="0"/>
          <w:szCs w:val="21"/>
        </w:rPr>
        <w:t>注明证明材料在投标文件中的具体位置，未按要求提供证明材料或未注明证明材料的具体位置或提供的证明资料显示不符合招标文件要求、模糊不清无法判断或未显示是否满足招标文件要求的，均视为负偏离</w:t>
      </w:r>
      <w:r>
        <w:rPr>
          <w:rFonts w:hint="eastAsia" w:ascii="宋体" w:hAnsi="宋体" w:eastAsia="宋体"/>
          <w:szCs w:val="21"/>
        </w:rPr>
        <w:t>。未要求提供相应证明材料的，</w:t>
      </w:r>
      <w:r>
        <w:rPr>
          <w:rFonts w:hint="eastAsia" w:ascii="宋体" w:hAnsi="宋体"/>
          <w:szCs w:val="21"/>
          <w:lang w:eastAsia="zh-CN"/>
        </w:rPr>
        <w:t>供应商</w:t>
      </w:r>
      <w:r>
        <w:rPr>
          <w:rFonts w:hint="eastAsia" w:ascii="宋体" w:hAnsi="宋体" w:eastAsia="宋体"/>
          <w:szCs w:val="21"/>
        </w:rPr>
        <w:t>可以不提供。</w:t>
      </w:r>
    </w:p>
    <w:p w14:paraId="48584A12">
      <w:pPr>
        <w:adjustRightInd w:val="0"/>
        <w:snapToGrid w:val="0"/>
        <w:spacing w:line="360" w:lineRule="auto"/>
        <w:rPr>
          <w:bCs/>
          <w:snapToGrid w:val="0"/>
        </w:rPr>
      </w:pPr>
    </w:p>
    <w:p w14:paraId="0375846E">
      <w:pPr>
        <w:pStyle w:val="22"/>
      </w:pPr>
    </w:p>
    <w:p w14:paraId="1D120246">
      <w:pPr>
        <w:snapToGrid w:val="0"/>
        <w:spacing w:line="360" w:lineRule="auto"/>
        <w:jc w:val="center"/>
        <w:rPr>
          <w:b/>
        </w:rPr>
      </w:pPr>
      <w:r>
        <w:rPr>
          <w:rFonts w:hint="eastAsia"/>
          <w:b/>
        </w:rPr>
        <w:t>商务条款偏离表</w:t>
      </w:r>
    </w:p>
    <w:tbl>
      <w:tblPr>
        <w:tblStyle w:val="5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252"/>
        <w:gridCol w:w="6"/>
        <w:gridCol w:w="2264"/>
        <w:gridCol w:w="8"/>
        <w:gridCol w:w="2272"/>
        <w:gridCol w:w="14"/>
        <w:gridCol w:w="2282"/>
      </w:tblGrid>
      <w:tr w14:paraId="4D07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79" w:type="pct"/>
            <w:noWrap w:val="0"/>
            <w:vAlign w:val="top"/>
          </w:tcPr>
          <w:p w14:paraId="1C99AF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内容</w:t>
            </w:r>
          </w:p>
        </w:tc>
        <w:tc>
          <w:tcPr>
            <w:tcW w:w="1147" w:type="pct"/>
            <w:gridSpan w:val="2"/>
            <w:noWrap w:val="0"/>
            <w:vAlign w:val="top"/>
          </w:tcPr>
          <w:p w14:paraId="241105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要求</w:t>
            </w:r>
          </w:p>
        </w:tc>
        <w:tc>
          <w:tcPr>
            <w:tcW w:w="1154" w:type="pct"/>
            <w:gridSpan w:val="2"/>
            <w:shd w:val="clear" w:color="auto" w:fill="auto"/>
            <w:noWrap w:val="0"/>
            <w:vAlign w:val="center"/>
          </w:tcPr>
          <w:p w14:paraId="70A516F9">
            <w:pPr>
              <w:spacing w:line="360" w:lineRule="auto"/>
              <w:jc w:val="center"/>
              <w:rPr>
                <w:rFonts w:hint="eastAsia" w:ascii="宋体" w:hAnsi="宋体" w:eastAsia="宋体" w:cs="Times New Roman"/>
                <w:kern w:val="2"/>
                <w:sz w:val="21"/>
                <w:szCs w:val="21"/>
                <w:lang w:val="en-US" w:eastAsia="zh-CN" w:bidi="ar-SA"/>
              </w:rPr>
            </w:pPr>
            <w:r>
              <w:rPr>
                <w:rFonts w:hint="eastAsia" w:ascii="宋体" w:hAnsi="宋体"/>
                <w:szCs w:val="21"/>
              </w:rPr>
              <w:t>投标文件商务响应</w:t>
            </w:r>
          </w:p>
        </w:tc>
        <w:tc>
          <w:tcPr>
            <w:tcW w:w="1154" w:type="pct"/>
            <w:shd w:val="clear" w:color="auto" w:fill="auto"/>
            <w:noWrap w:val="0"/>
            <w:vAlign w:val="center"/>
          </w:tcPr>
          <w:p w14:paraId="550800DA">
            <w:pPr>
              <w:spacing w:line="360" w:lineRule="auto"/>
              <w:jc w:val="center"/>
              <w:rPr>
                <w:rFonts w:hint="eastAsia" w:ascii="宋体" w:hAnsi="宋体" w:eastAsia="宋体" w:cs="Times New Roman"/>
                <w:kern w:val="2"/>
                <w:sz w:val="21"/>
                <w:szCs w:val="21"/>
                <w:lang w:val="en-US" w:eastAsia="zh-CN" w:bidi="ar-SA"/>
              </w:rPr>
            </w:pPr>
            <w:r>
              <w:rPr>
                <w:rFonts w:hint="eastAsia" w:ascii="宋体" w:hAnsi="宋体"/>
                <w:szCs w:val="21"/>
              </w:rPr>
              <w:t>偏离情况</w:t>
            </w:r>
          </w:p>
        </w:tc>
        <w:tc>
          <w:tcPr>
            <w:tcW w:w="1163" w:type="pct"/>
            <w:gridSpan w:val="2"/>
            <w:shd w:val="clear" w:color="auto" w:fill="auto"/>
            <w:noWrap w:val="0"/>
            <w:vAlign w:val="center"/>
          </w:tcPr>
          <w:p w14:paraId="3CC33B8B">
            <w:pPr>
              <w:spacing w:line="360" w:lineRule="auto"/>
              <w:jc w:val="center"/>
              <w:rPr>
                <w:rFonts w:hint="eastAsia" w:ascii="宋体" w:hAnsi="宋体" w:eastAsia="宋体" w:cs="Times New Roman"/>
                <w:kern w:val="2"/>
                <w:sz w:val="21"/>
                <w:szCs w:val="21"/>
                <w:lang w:val="en-US" w:eastAsia="zh-CN" w:bidi="ar-SA"/>
              </w:rPr>
            </w:pPr>
            <w:r>
              <w:rPr>
                <w:rFonts w:hint="eastAsia" w:ascii="宋体" w:hAnsi="宋体"/>
                <w:szCs w:val="21"/>
              </w:rPr>
              <w:t>说明</w:t>
            </w:r>
          </w:p>
        </w:tc>
      </w:tr>
      <w:tr w14:paraId="5455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9" w:type="pct"/>
            <w:noWrap w:val="0"/>
            <w:vAlign w:val="center"/>
          </w:tcPr>
          <w:p w14:paraId="2D83D6F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vertAlign w:val="baseline"/>
                <w:lang w:val="en-US" w:eastAsia="zh-CN"/>
              </w:rPr>
              <w:t>1.服务期限</w:t>
            </w:r>
          </w:p>
        </w:tc>
        <w:tc>
          <w:tcPr>
            <w:tcW w:w="1147" w:type="pct"/>
            <w:gridSpan w:val="2"/>
            <w:noWrap w:val="0"/>
            <w:vAlign w:val="center"/>
          </w:tcPr>
          <w:p w14:paraId="3512D32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1.1服务期限：合同签订后1年。</w:t>
            </w:r>
            <w:r>
              <w:rPr>
                <w:rFonts w:hint="eastAsia" w:ascii="宋体" w:hAnsi="宋体" w:eastAsia="宋体" w:cs="宋体"/>
                <w:color w:val="auto"/>
                <w:sz w:val="21"/>
                <w:szCs w:val="21"/>
                <w:highlight w:val="none"/>
                <w:u w:val="none"/>
                <w:vertAlign w:val="baseline"/>
                <w:lang w:val="en-US" w:eastAsia="zh-CN"/>
              </w:rPr>
              <w:tab/>
            </w:r>
          </w:p>
          <w:p w14:paraId="2540FAFE">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1.2本项目为长期服务项目，合同一年一签。</w:t>
            </w:r>
          </w:p>
          <w:p w14:paraId="07DA6626">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lang w:val="en-US" w:eastAsia="zh-CN"/>
              </w:rPr>
              <w:t>1.3合同续签：若合同履行结束后，采购人相关部门根据合同内容和招标文件、中标人投标文件（供应商的资质、服务的详细内容符合程度等）进行履约评价，项目履约评价为“良好”或以上，并且查询其信用信息未被列入失信被执行人、重大税收违法案件当事人名单、政府采购严重违法失信行为记录名单，经双方协商同意可续签，但总体合同履行期限最长不得超过三十六个月。</w:t>
            </w:r>
          </w:p>
        </w:tc>
        <w:tc>
          <w:tcPr>
            <w:tcW w:w="1154" w:type="pct"/>
            <w:gridSpan w:val="2"/>
            <w:noWrap w:val="0"/>
            <w:vAlign w:val="center"/>
          </w:tcPr>
          <w:p w14:paraId="289439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1154" w:type="pct"/>
            <w:noWrap w:val="0"/>
            <w:vAlign w:val="center"/>
          </w:tcPr>
          <w:p w14:paraId="5D0D83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1163" w:type="pct"/>
            <w:gridSpan w:val="2"/>
            <w:noWrap w:val="0"/>
            <w:vAlign w:val="center"/>
          </w:tcPr>
          <w:p w14:paraId="55A89A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如需附证明文件，应在“说明”栏填写证明文件对应名称和页码。</w:t>
            </w:r>
          </w:p>
        </w:tc>
      </w:tr>
      <w:tr w14:paraId="7050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379" w:type="pct"/>
            <w:noWrap w:val="0"/>
            <w:vAlign w:val="center"/>
          </w:tcPr>
          <w:p w14:paraId="42E050F1">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vertAlign w:val="baseline"/>
                <w:lang w:val="en-US" w:eastAsia="zh-CN"/>
              </w:rPr>
              <w:t>2.服务地点</w:t>
            </w:r>
          </w:p>
        </w:tc>
        <w:tc>
          <w:tcPr>
            <w:tcW w:w="1147" w:type="pct"/>
            <w:gridSpan w:val="2"/>
            <w:noWrap w:val="0"/>
            <w:vAlign w:val="center"/>
          </w:tcPr>
          <w:p w14:paraId="5FE53E4C">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2.1被保险人：深圳市龙岗区人民医院</w:t>
            </w:r>
          </w:p>
          <w:p w14:paraId="7CB1C012">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color w:val="auto"/>
                <w:kern w:val="2"/>
                <w:sz w:val="21"/>
                <w:szCs w:val="21"/>
                <w:highlight w:val="none"/>
                <w:lang w:val="en-US" w:eastAsia="zh-CN" w:bidi="ar-SA"/>
              </w:rPr>
              <w:t>2.2保险经纪人：北京容海保险经纪有限公司深圳分公司</w:t>
            </w:r>
          </w:p>
        </w:tc>
        <w:tc>
          <w:tcPr>
            <w:tcW w:w="1154" w:type="pct"/>
            <w:gridSpan w:val="2"/>
            <w:noWrap w:val="0"/>
            <w:vAlign w:val="center"/>
          </w:tcPr>
          <w:p w14:paraId="6D688E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014182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3DC945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043F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trPr>
        <w:tc>
          <w:tcPr>
            <w:tcW w:w="379" w:type="pct"/>
            <w:noWrap w:val="0"/>
            <w:vAlign w:val="center"/>
          </w:tcPr>
          <w:p w14:paraId="1B1E0077">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vertAlign w:val="baseline"/>
                <w:lang w:val="en-US" w:eastAsia="zh-CN"/>
              </w:rPr>
              <w:t>3.验收方案</w:t>
            </w:r>
          </w:p>
        </w:tc>
        <w:tc>
          <w:tcPr>
            <w:tcW w:w="1147" w:type="pct"/>
            <w:gridSpan w:val="2"/>
            <w:noWrap w:val="0"/>
            <w:vAlign w:val="center"/>
          </w:tcPr>
          <w:p w14:paraId="1D6FAD5C">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验收小组按照合同以及招投标文件验收，形成验收报告，由验收参与方签字确认。</w:t>
            </w:r>
          </w:p>
          <w:p w14:paraId="0E55EE5C">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3.1采购人相关部门组织成立验收小组。</w:t>
            </w:r>
          </w:p>
          <w:p w14:paraId="77FAD946">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3.2验收小组对服务团队进场验收，对投标人和团队人员的情况进行核验并记录。</w:t>
            </w:r>
          </w:p>
          <w:p w14:paraId="43773D59">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3.3按照项目进度，项目年度服务结束后进行年度履约评价并撰写验收报告，验收报告由验收参与双方签字确认。年度履约评价参考附件。</w:t>
            </w:r>
          </w:p>
        </w:tc>
        <w:tc>
          <w:tcPr>
            <w:tcW w:w="1154" w:type="pct"/>
            <w:gridSpan w:val="2"/>
            <w:noWrap w:val="0"/>
            <w:vAlign w:val="center"/>
          </w:tcPr>
          <w:p w14:paraId="59AC87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21FFBF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445FDA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5A40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379" w:type="pct"/>
            <w:noWrap w:val="0"/>
            <w:vAlign w:val="center"/>
          </w:tcPr>
          <w:p w14:paraId="1BC2EA3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vertAlign w:val="baseline"/>
                <w:lang w:val="en-US" w:eastAsia="zh-CN"/>
              </w:rPr>
              <w:t>4.付款条件</w:t>
            </w:r>
          </w:p>
        </w:tc>
        <w:tc>
          <w:tcPr>
            <w:tcW w:w="1147" w:type="pct"/>
            <w:gridSpan w:val="2"/>
            <w:noWrap w:val="0"/>
            <w:vAlign w:val="center"/>
          </w:tcPr>
          <w:p w14:paraId="02DC7120">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rPr>
              <w:t xml:space="preserve">   据国家金融监督管理总局 “金发 [2025] 36 号”《国家金融监督管理总局关于加强非车险业务监管有关事项的通知》第七条健全保费收入管理的规定，财产保险公司应在收取保费后向客户签发保单并开具保费发票。根据采购人的投保需求，在保单生效前，采购人应将保费一次性转入中标人的指定账户。中标人在收到保费及出单所需资料后 3 个工作日内出具保单和发票。</w:t>
            </w:r>
            <w:r>
              <w:rPr>
                <w:rFonts w:hint="eastAsia" w:ascii="宋体" w:hAnsi="宋体" w:eastAsia="宋体" w:cs="宋体"/>
                <w:color w:val="auto"/>
                <w:sz w:val="21"/>
                <w:szCs w:val="21"/>
                <w:highlight w:val="none"/>
                <w:lang w:val="en-US" w:eastAsia="zh-CN"/>
              </w:rPr>
              <w:t>采购人收到</w:t>
            </w:r>
            <w:r>
              <w:rPr>
                <w:rFonts w:hint="eastAsia" w:ascii="宋体" w:hAnsi="宋体" w:eastAsia="宋体" w:cs="宋体"/>
                <w:color w:val="auto"/>
                <w:sz w:val="21"/>
                <w:szCs w:val="21"/>
                <w:highlight w:val="none"/>
              </w:rPr>
              <w:t>保单和发票</w:t>
            </w:r>
            <w:r>
              <w:rPr>
                <w:rFonts w:hint="eastAsia" w:ascii="宋体" w:hAnsi="宋体" w:eastAsia="宋体" w:cs="宋体"/>
                <w:color w:val="auto"/>
                <w:sz w:val="21"/>
                <w:szCs w:val="21"/>
                <w:highlight w:val="none"/>
                <w:lang w:val="en-US" w:eastAsia="zh-CN"/>
              </w:rPr>
              <w:t>后，要求10个工作日内支付中标人保费。</w:t>
            </w:r>
          </w:p>
        </w:tc>
        <w:tc>
          <w:tcPr>
            <w:tcW w:w="1154" w:type="pct"/>
            <w:gridSpan w:val="2"/>
            <w:noWrap w:val="0"/>
            <w:vAlign w:val="center"/>
          </w:tcPr>
          <w:p w14:paraId="5D7C43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75F2E1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3A4361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4273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379" w:type="pct"/>
            <w:noWrap w:val="0"/>
            <w:vAlign w:val="center"/>
          </w:tcPr>
          <w:p w14:paraId="28D5F9EE">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5.付款方式</w:t>
            </w:r>
          </w:p>
        </w:tc>
        <w:tc>
          <w:tcPr>
            <w:tcW w:w="1147" w:type="pct"/>
            <w:gridSpan w:val="2"/>
            <w:noWrap w:val="0"/>
            <w:vAlign w:val="center"/>
          </w:tcPr>
          <w:p w14:paraId="2201C8E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转账形式</w:t>
            </w:r>
          </w:p>
        </w:tc>
        <w:tc>
          <w:tcPr>
            <w:tcW w:w="1154" w:type="pct"/>
            <w:gridSpan w:val="2"/>
            <w:noWrap w:val="0"/>
            <w:vAlign w:val="center"/>
          </w:tcPr>
          <w:p w14:paraId="5DA0CD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6B6252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09E613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21B4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379" w:type="pct"/>
            <w:noWrap w:val="0"/>
            <w:vAlign w:val="center"/>
          </w:tcPr>
          <w:p w14:paraId="725B7A69">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6.违约责任</w:t>
            </w:r>
          </w:p>
        </w:tc>
        <w:tc>
          <w:tcPr>
            <w:tcW w:w="1147" w:type="pct"/>
            <w:gridSpan w:val="2"/>
            <w:noWrap w:val="0"/>
            <w:vAlign w:val="center"/>
          </w:tcPr>
          <w:p w14:paraId="18A06B0C">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rPr>
              <w:t>若成交供应商无法按照合同约定提供服务，视为成交供应商违约，采购人有权在合同到期后终止合同，若成交供应商给采购人造成损失，采购人有权要求成交供应商依法承担违约责任。</w:t>
            </w:r>
          </w:p>
        </w:tc>
        <w:tc>
          <w:tcPr>
            <w:tcW w:w="1154" w:type="pct"/>
            <w:gridSpan w:val="2"/>
            <w:noWrap w:val="0"/>
            <w:vAlign w:val="center"/>
          </w:tcPr>
          <w:p w14:paraId="7272BE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454233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4A8624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196F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379" w:type="pct"/>
            <w:noWrap w:val="0"/>
            <w:vAlign w:val="center"/>
          </w:tcPr>
          <w:p w14:paraId="19CDA037">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7.合同解除情形</w:t>
            </w:r>
          </w:p>
        </w:tc>
        <w:tc>
          <w:tcPr>
            <w:tcW w:w="1147" w:type="pct"/>
            <w:gridSpan w:val="2"/>
            <w:noWrap w:val="0"/>
            <w:vAlign w:val="center"/>
          </w:tcPr>
          <w:p w14:paraId="1935A708">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中标方在合同执行期间有下列行为之一的，采购人有权在直接解除合同：</w:t>
            </w:r>
          </w:p>
          <w:p w14:paraId="4F6746D2">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7.1擅自变更或者中止采购服务合同的；</w:t>
            </w:r>
          </w:p>
          <w:p w14:paraId="3D19F35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7.2不按招投标文件以及服务合同要求全面履约的；</w:t>
            </w:r>
          </w:p>
          <w:p w14:paraId="7535336F">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7.3非法分包或转包给任何单位和个人；</w:t>
            </w:r>
          </w:p>
          <w:p w14:paraId="7A35DD91">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7.4造成严重后果或恶劣影响的；</w:t>
            </w:r>
          </w:p>
          <w:p w14:paraId="0925C8A2">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出现上述情况之一的，采购方有权终止服务合同，其中造成医院损失（直接和间接）的，中标人应当进行赔偿。</w:t>
            </w:r>
          </w:p>
        </w:tc>
        <w:tc>
          <w:tcPr>
            <w:tcW w:w="1154" w:type="pct"/>
            <w:gridSpan w:val="2"/>
            <w:noWrap w:val="0"/>
            <w:vAlign w:val="center"/>
          </w:tcPr>
          <w:p w14:paraId="104B35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580043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377415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7877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79" w:type="pct"/>
            <w:noWrap w:val="0"/>
            <w:vAlign w:val="center"/>
          </w:tcPr>
          <w:p w14:paraId="142615C7">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8.履约保证金</w:t>
            </w:r>
          </w:p>
        </w:tc>
        <w:tc>
          <w:tcPr>
            <w:tcW w:w="1147" w:type="pct"/>
            <w:gridSpan w:val="2"/>
            <w:noWrap w:val="0"/>
            <w:vAlign w:val="center"/>
          </w:tcPr>
          <w:p w14:paraId="4C911BA6">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无。</w:t>
            </w:r>
          </w:p>
        </w:tc>
        <w:tc>
          <w:tcPr>
            <w:tcW w:w="1154" w:type="pct"/>
            <w:gridSpan w:val="2"/>
            <w:noWrap w:val="0"/>
            <w:vAlign w:val="center"/>
          </w:tcPr>
          <w:p w14:paraId="7C8C97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781668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3C6D36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6B8E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9" w:type="pct"/>
            <w:noWrap w:val="0"/>
            <w:vAlign w:val="center"/>
          </w:tcPr>
          <w:p w14:paraId="32583A30">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9.包装运输</w:t>
            </w:r>
          </w:p>
        </w:tc>
        <w:tc>
          <w:tcPr>
            <w:tcW w:w="1147" w:type="pct"/>
            <w:gridSpan w:val="2"/>
            <w:noWrap w:val="0"/>
            <w:vAlign w:val="center"/>
          </w:tcPr>
          <w:p w14:paraId="41FE695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无。</w:t>
            </w:r>
          </w:p>
        </w:tc>
        <w:tc>
          <w:tcPr>
            <w:tcW w:w="1154" w:type="pct"/>
            <w:gridSpan w:val="2"/>
            <w:noWrap w:val="0"/>
            <w:vAlign w:val="center"/>
          </w:tcPr>
          <w:p w14:paraId="211502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45CCD4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7A30EA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20A9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379" w:type="pct"/>
            <w:noWrap w:val="0"/>
            <w:vAlign w:val="center"/>
          </w:tcPr>
          <w:p w14:paraId="101C5F02">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bCs/>
                <w:color w:val="auto"/>
                <w:sz w:val="21"/>
                <w:szCs w:val="21"/>
                <w:highlight w:val="yellow"/>
              </w:rPr>
              <w:t>★</w:t>
            </w:r>
            <w:r>
              <w:rPr>
                <w:rFonts w:hint="eastAsia" w:ascii="宋体" w:hAnsi="宋体" w:eastAsia="宋体" w:cs="宋体"/>
                <w:color w:val="auto"/>
                <w:sz w:val="21"/>
                <w:szCs w:val="21"/>
                <w:highlight w:val="yellow"/>
                <w:u w:val="none"/>
                <w:lang w:val="en-US" w:eastAsia="zh-CN"/>
              </w:rPr>
              <w:t>10.售后服务</w:t>
            </w:r>
          </w:p>
        </w:tc>
        <w:tc>
          <w:tcPr>
            <w:tcW w:w="1147" w:type="pct"/>
            <w:gridSpan w:val="2"/>
            <w:noWrap w:val="0"/>
            <w:vAlign w:val="center"/>
          </w:tcPr>
          <w:p w14:paraId="27A9571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u w:val="none"/>
                <w:lang w:eastAsia="zh-CN"/>
              </w:rPr>
              <w:t>1.</w:t>
            </w:r>
            <w:r>
              <w:rPr>
                <w:rFonts w:hint="eastAsia" w:ascii="宋体" w:hAnsi="宋体" w:eastAsia="宋体" w:cs="宋体"/>
                <w:color w:val="auto"/>
                <w:sz w:val="21"/>
                <w:szCs w:val="21"/>
                <w:highlight w:val="yellow"/>
              </w:rPr>
              <w:t>保险报案：报案形式可采取台账报案形式，同时保险公司也可提供官方报案电话。</w:t>
            </w:r>
          </w:p>
          <w:p w14:paraId="4A0E559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2.投标人原则上应提供发票纸质原件或电子发票，确有特殊情况不能提供发票纸质原件的，与</w:t>
            </w:r>
            <w:r>
              <w:rPr>
                <w:rFonts w:hint="eastAsia" w:ascii="宋体" w:hAnsi="宋体" w:eastAsia="宋体" w:cs="宋体"/>
                <w:color w:val="auto"/>
                <w:sz w:val="21"/>
                <w:szCs w:val="21"/>
                <w:highlight w:val="yellow"/>
                <w:lang w:eastAsia="zh-CN"/>
              </w:rPr>
              <w:t>投标人</w:t>
            </w:r>
            <w:r>
              <w:rPr>
                <w:rFonts w:hint="eastAsia" w:ascii="宋体" w:hAnsi="宋体" w:eastAsia="宋体" w:cs="宋体"/>
                <w:color w:val="auto"/>
                <w:sz w:val="21"/>
                <w:szCs w:val="21"/>
                <w:highlight w:val="yellow"/>
              </w:rPr>
              <w:t>沟通并征得</w:t>
            </w:r>
            <w:r>
              <w:rPr>
                <w:rFonts w:hint="eastAsia" w:ascii="宋体" w:hAnsi="宋体" w:eastAsia="宋体" w:cs="宋体"/>
                <w:color w:val="auto"/>
                <w:sz w:val="21"/>
                <w:szCs w:val="21"/>
                <w:highlight w:val="yellow"/>
                <w:lang w:eastAsia="zh-CN"/>
              </w:rPr>
              <w:t>投标人</w:t>
            </w:r>
            <w:r>
              <w:rPr>
                <w:rFonts w:hint="eastAsia" w:ascii="宋体" w:hAnsi="宋体" w:eastAsia="宋体" w:cs="宋体"/>
                <w:color w:val="auto"/>
                <w:sz w:val="21"/>
                <w:szCs w:val="21"/>
                <w:highlight w:val="yellow"/>
              </w:rPr>
              <w:t>同意也可。</w:t>
            </w:r>
          </w:p>
          <w:p w14:paraId="3B1E08AE">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yellow"/>
              </w:rPr>
              <w:t>3.在保险期限内发生的保险事故结案后，患方如因同一事故再次提起赔偿请求（包含但不限于请求赔偿后续治疗费、后续护理费），经法院判决或者仲裁裁决的，对应由被保险人支付或者承担的赔偿金额及法律费用等，保险人应在保险责任赔偿额范围内赔偿。</w:t>
            </w:r>
          </w:p>
        </w:tc>
        <w:tc>
          <w:tcPr>
            <w:tcW w:w="1154" w:type="pct"/>
            <w:gridSpan w:val="2"/>
            <w:noWrap w:val="0"/>
            <w:vAlign w:val="center"/>
          </w:tcPr>
          <w:p w14:paraId="701A5D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1154" w:type="pct"/>
            <w:noWrap w:val="0"/>
            <w:vAlign w:val="center"/>
          </w:tcPr>
          <w:p w14:paraId="264628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1163" w:type="pct"/>
            <w:gridSpan w:val="2"/>
            <w:noWrap w:val="0"/>
            <w:vAlign w:val="center"/>
          </w:tcPr>
          <w:p w14:paraId="7D9141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如需附证明文件，应在“说明”栏填写证明文件对应名称和页码。</w:t>
            </w:r>
          </w:p>
        </w:tc>
      </w:tr>
      <w:tr w14:paraId="681B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9" w:type="pct"/>
            <w:noWrap w:val="0"/>
            <w:vAlign w:val="center"/>
          </w:tcPr>
          <w:p w14:paraId="0916516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11.保险</w:t>
            </w:r>
          </w:p>
        </w:tc>
        <w:tc>
          <w:tcPr>
            <w:tcW w:w="1147" w:type="pct"/>
            <w:gridSpan w:val="2"/>
            <w:noWrap w:val="0"/>
            <w:vAlign w:val="center"/>
          </w:tcPr>
          <w:p w14:paraId="01DC687D">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无。</w:t>
            </w:r>
          </w:p>
        </w:tc>
        <w:tc>
          <w:tcPr>
            <w:tcW w:w="1154" w:type="pct"/>
            <w:gridSpan w:val="2"/>
            <w:noWrap w:val="0"/>
            <w:vAlign w:val="center"/>
          </w:tcPr>
          <w:p w14:paraId="2BBB7E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243A2F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1E1794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52D5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79" w:type="pct"/>
            <w:noWrap w:val="0"/>
            <w:vAlign w:val="center"/>
          </w:tcPr>
          <w:p w14:paraId="3CCF9E2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12.报价要求</w:t>
            </w:r>
          </w:p>
        </w:tc>
        <w:tc>
          <w:tcPr>
            <w:tcW w:w="1147" w:type="pct"/>
            <w:gridSpan w:val="2"/>
            <w:noWrap w:val="0"/>
            <w:vAlign w:val="center"/>
          </w:tcPr>
          <w:p w14:paraId="4CF87D54">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12.1</w:t>
            </w:r>
            <w:r>
              <w:rPr>
                <w:rFonts w:hint="eastAsia" w:ascii="宋体" w:hAnsi="宋体" w:eastAsia="宋体" w:cs="宋体"/>
                <w:color w:val="auto"/>
                <w:sz w:val="21"/>
                <w:szCs w:val="21"/>
                <w:highlight w:val="none"/>
                <w:lang w:val="en-US" w:eastAsia="zh-CN"/>
              </w:rPr>
              <w:t>.由投标人根据招标需求自行测算投标报价；一经中标，投标报价即作为中标人与采购人签订的合同金额</w:t>
            </w:r>
            <w:r>
              <w:rPr>
                <w:rFonts w:hint="eastAsia" w:ascii="宋体" w:hAnsi="宋体" w:eastAsia="宋体" w:cs="宋体"/>
                <w:color w:val="auto"/>
                <w:sz w:val="21"/>
                <w:szCs w:val="21"/>
                <w:highlight w:val="none"/>
                <w:u w:val="none"/>
                <w:lang w:val="en-US" w:eastAsia="zh-CN"/>
              </w:rPr>
              <w:t>。</w:t>
            </w:r>
          </w:p>
          <w:p w14:paraId="68EF924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12.2投标人报价不能超过最高限价。</w:t>
            </w:r>
          </w:p>
          <w:p w14:paraId="07A48012">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12.3</w:t>
            </w:r>
            <w:r>
              <w:rPr>
                <w:rFonts w:hint="eastAsia" w:ascii="宋体" w:hAnsi="宋体" w:eastAsia="宋体" w:cs="宋体"/>
                <w:color w:val="auto"/>
                <w:sz w:val="21"/>
                <w:szCs w:val="21"/>
                <w:highlight w:val="none"/>
                <w:lang w:val="en-US" w:eastAsia="zh-CN"/>
              </w:rPr>
              <w:t>投标报价采用包干制，应包括成本、法定税费和相应的利润，应涵盖本项目招标范围和招标文件所列的各项内容中所述的全部。</w:t>
            </w:r>
          </w:p>
          <w:p w14:paraId="593F54FC">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12.4投标人应根据本企业的成本自行决定报价。</w:t>
            </w:r>
          </w:p>
          <w:p w14:paraId="7821716C">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12.5投标人应充分了解项目的位置、情况及任何其他足以影响投标报价的情况，任何因忽视或误解项目情况而导致的索赔或服务期限延长的申请将不获批准。</w:t>
            </w:r>
          </w:p>
          <w:p w14:paraId="30684243">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12.6投标人不得期望通过索赔等方式获取补偿，否则，除可能遭到拒绝外，还可能将被作为不良行为记录在案，并可能影响其以后参加政府采购的项目投标。各投标人在投标报价时，应充分考虑投标报价的风险。</w:t>
            </w:r>
          </w:p>
        </w:tc>
        <w:tc>
          <w:tcPr>
            <w:tcW w:w="1154" w:type="pct"/>
            <w:gridSpan w:val="2"/>
            <w:noWrap w:val="0"/>
            <w:vAlign w:val="center"/>
          </w:tcPr>
          <w:p w14:paraId="3A855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tc>
        <w:tc>
          <w:tcPr>
            <w:tcW w:w="1154" w:type="pct"/>
            <w:noWrap w:val="0"/>
            <w:vAlign w:val="center"/>
          </w:tcPr>
          <w:p w14:paraId="4194EE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tc>
        <w:tc>
          <w:tcPr>
            <w:tcW w:w="1163" w:type="pct"/>
            <w:gridSpan w:val="2"/>
            <w:noWrap w:val="0"/>
            <w:vAlign w:val="center"/>
          </w:tcPr>
          <w:p w14:paraId="7A584F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如需附证明文件，应在“说明”栏填写证明文件对应名称和页码。</w:t>
            </w:r>
          </w:p>
        </w:tc>
      </w:tr>
      <w:tr w14:paraId="2606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79" w:type="pct"/>
            <w:noWrap w:val="0"/>
            <w:vAlign w:val="center"/>
          </w:tcPr>
          <w:p w14:paraId="4BA16732">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13.其他商务要求</w:t>
            </w:r>
          </w:p>
        </w:tc>
        <w:tc>
          <w:tcPr>
            <w:tcW w:w="1147" w:type="pct"/>
            <w:gridSpan w:val="2"/>
            <w:noWrap w:val="0"/>
            <w:vAlign w:val="center"/>
          </w:tcPr>
          <w:p w14:paraId="02B28B4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13.1投标人为了确保具备充足的理赔兑付能力与财务稳健性，能够在保险期间内独立履行赔偿义务，需具有良好的综合偿付能力充足率，以证明其具备与承保风险相匹配的资本实力和抗风险能力。</w:t>
            </w:r>
            <w:r>
              <w:rPr>
                <w:rFonts w:hint="eastAsia" w:ascii="宋体" w:hAnsi="宋体" w:eastAsia="宋体" w:cs="宋体"/>
                <w:color w:val="auto"/>
                <w:kern w:val="0"/>
                <w:sz w:val="21"/>
                <w:szCs w:val="21"/>
                <w:highlight w:val="none"/>
                <w:lang w:eastAsia="zh-CN"/>
              </w:rPr>
              <w:t>如投标人为新成立单位，满足法规要求的前提上，</w:t>
            </w:r>
            <w:r>
              <w:rPr>
                <w:rFonts w:hint="eastAsia" w:ascii="宋体" w:hAnsi="宋体" w:eastAsia="宋体" w:cs="宋体"/>
                <w:color w:val="auto"/>
                <w:kern w:val="0"/>
                <w:sz w:val="21"/>
                <w:szCs w:val="21"/>
                <w:highlight w:val="none"/>
                <w:lang w:val="en-US" w:eastAsia="zh-CN"/>
              </w:rPr>
              <w:t>还</w:t>
            </w:r>
            <w:r>
              <w:rPr>
                <w:rFonts w:hint="eastAsia" w:ascii="宋体" w:hAnsi="宋体" w:eastAsia="宋体" w:cs="宋体"/>
                <w:color w:val="auto"/>
                <w:kern w:val="0"/>
                <w:sz w:val="21"/>
                <w:szCs w:val="21"/>
                <w:highlight w:val="none"/>
                <w:lang w:eastAsia="zh-CN"/>
              </w:rPr>
              <w:t>不能提供综合偿付能力信息披露资料的，</w:t>
            </w:r>
            <w:r>
              <w:rPr>
                <w:rFonts w:hint="eastAsia" w:ascii="宋体" w:hAnsi="宋体" w:eastAsia="宋体" w:cs="宋体"/>
                <w:color w:val="auto"/>
                <w:kern w:val="0"/>
                <w:sz w:val="21"/>
                <w:szCs w:val="21"/>
                <w:highlight w:val="none"/>
                <w:lang w:val="en-US" w:eastAsia="zh-CN"/>
              </w:rPr>
              <w:t>需</w:t>
            </w:r>
            <w:r>
              <w:rPr>
                <w:rFonts w:hint="eastAsia" w:ascii="宋体" w:hAnsi="宋体" w:eastAsia="宋体" w:cs="宋体"/>
                <w:color w:val="auto"/>
                <w:kern w:val="0"/>
                <w:sz w:val="21"/>
                <w:szCs w:val="21"/>
                <w:highlight w:val="none"/>
                <w:lang w:eastAsia="zh-CN"/>
              </w:rPr>
              <w:t>提供相关说明（</w:t>
            </w:r>
            <w:r>
              <w:rPr>
                <w:rFonts w:hint="eastAsia" w:ascii="宋体" w:hAnsi="宋体" w:eastAsia="宋体" w:cs="宋体"/>
                <w:color w:val="auto"/>
                <w:kern w:val="0"/>
                <w:sz w:val="21"/>
                <w:szCs w:val="21"/>
                <w:highlight w:val="none"/>
                <w:lang w:val="en-US" w:eastAsia="zh-CN"/>
              </w:rPr>
              <w:t>比如财务报表或承诺函）。</w:t>
            </w:r>
          </w:p>
          <w:p w14:paraId="66B934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13.2为保障投标人服务本项目时处理承保及理赔服务的专业性与稳定性，充分借鉴既往成熟经验快速投入服务工作，投标人需具有同类医疗责任保险项目服务经验，并在履约过程中获得良好或良好以上的履约评价，以证明其具备持续、可靠的服务能力。</w:t>
            </w:r>
          </w:p>
          <w:p w14:paraId="5D426E3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highlight w:val="none"/>
                <w:u w:val="none"/>
                <w:lang w:val="en-US" w:eastAsia="zh-CN"/>
              </w:rPr>
              <w:t>13.3为了保证履约诚信与服务品质，投标人需具有良好的信用评价情况，无《深圳市财政局政府采购供应商信用信息管理办法》（深财规〔2023〕3号）列明的一般行政处罚信息、一般违法失信记录信息。</w:t>
            </w:r>
          </w:p>
        </w:tc>
        <w:tc>
          <w:tcPr>
            <w:tcW w:w="1154" w:type="pct"/>
            <w:gridSpan w:val="2"/>
            <w:noWrap w:val="0"/>
            <w:vAlign w:val="center"/>
          </w:tcPr>
          <w:p w14:paraId="16F096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tc>
        <w:tc>
          <w:tcPr>
            <w:tcW w:w="1154" w:type="pct"/>
            <w:noWrap w:val="0"/>
            <w:vAlign w:val="center"/>
          </w:tcPr>
          <w:p w14:paraId="05D8A2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tc>
        <w:tc>
          <w:tcPr>
            <w:tcW w:w="1163" w:type="pct"/>
            <w:gridSpan w:val="2"/>
            <w:noWrap w:val="0"/>
            <w:vAlign w:val="center"/>
          </w:tcPr>
          <w:p w14:paraId="19E91D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如需附证明文件，应在“说明”栏填写证明文件对应名称和页码。</w:t>
            </w:r>
          </w:p>
        </w:tc>
      </w:tr>
      <w:tr w14:paraId="4D8D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5000" w:type="pct"/>
            <w:gridSpan w:val="8"/>
            <w:noWrap w:val="0"/>
            <w:vAlign w:val="center"/>
          </w:tcPr>
          <w:p w14:paraId="760D02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Times New Roman"/>
                <w:b/>
                <w:bCs/>
                <w:snapToGrid w:val="0"/>
                <w:kern w:val="0"/>
                <w:sz w:val="24"/>
                <w:highlight w:val="none"/>
              </w:rPr>
              <w:t>通用条款</w:t>
            </w:r>
          </w:p>
        </w:tc>
      </w:tr>
      <w:tr w14:paraId="4F47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noWrap w:val="0"/>
            <w:vAlign w:val="center"/>
          </w:tcPr>
          <w:p w14:paraId="640AF63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1.保密义务</w:t>
            </w:r>
          </w:p>
        </w:tc>
        <w:tc>
          <w:tcPr>
            <w:tcW w:w="1144" w:type="pct"/>
            <w:noWrap w:val="0"/>
            <w:vAlign w:val="center"/>
          </w:tcPr>
          <w:p w14:paraId="0F67C8B3">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采购人、中标人双方在采购和履行合同过程中所获悉的所有信息都属于保密的内容，</w:t>
            </w:r>
            <w:r>
              <w:rPr>
                <w:rFonts w:hint="eastAsia" w:ascii="宋体" w:hAnsi="宋体" w:eastAsia="宋体" w:cs="宋体"/>
                <w:color w:val="auto"/>
                <w:sz w:val="21"/>
                <w:szCs w:val="21"/>
                <w:highlight w:val="none"/>
              </w:rPr>
              <w:t>包括但不限于</w:t>
            </w:r>
            <w:r>
              <w:rPr>
                <w:rFonts w:hint="eastAsia" w:ascii="宋体" w:hAnsi="宋体" w:eastAsia="宋体" w:cs="宋体"/>
                <w:color w:val="auto"/>
                <w:sz w:val="21"/>
                <w:szCs w:val="21"/>
                <w:highlight w:val="none"/>
                <w:lang w:val="en-US" w:eastAsia="zh-CN"/>
              </w:rPr>
              <w:t>被保险</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保险对象的</w:t>
            </w:r>
            <w:r>
              <w:rPr>
                <w:rFonts w:hint="eastAsia" w:ascii="宋体" w:hAnsi="宋体" w:eastAsia="宋体" w:cs="宋体"/>
                <w:color w:val="auto"/>
                <w:sz w:val="21"/>
                <w:szCs w:val="21"/>
                <w:highlight w:val="none"/>
              </w:rPr>
              <w:t>案件情况、理赔情况、知识产权等进行保密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采购人和中标人双方均有保密义务。</w:t>
            </w:r>
          </w:p>
        </w:tc>
        <w:tc>
          <w:tcPr>
            <w:tcW w:w="1153" w:type="pct"/>
            <w:gridSpan w:val="2"/>
            <w:noWrap w:val="0"/>
            <w:vAlign w:val="center"/>
          </w:tcPr>
          <w:p w14:paraId="42329163">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65" w:type="pct"/>
            <w:gridSpan w:val="3"/>
            <w:noWrap w:val="0"/>
            <w:vAlign w:val="center"/>
          </w:tcPr>
          <w:p w14:paraId="411576A7">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56" w:type="pct"/>
            <w:noWrap w:val="0"/>
            <w:vAlign w:val="center"/>
          </w:tcPr>
          <w:p w14:paraId="148332A0">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sz w:val="21"/>
                <w:szCs w:val="21"/>
              </w:rPr>
              <w:t>如需附证明文件，应在“说明”栏填写证明文件对应名称和页码。</w:t>
            </w:r>
          </w:p>
        </w:tc>
      </w:tr>
      <w:tr w14:paraId="3B3E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restart"/>
            <w:noWrap w:val="0"/>
            <w:vAlign w:val="center"/>
          </w:tcPr>
          <w:p w14:paraId="07716FAF">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合同的变更</w:t>
            </w:r>
          </w:p>
        </w:tc>
        <w:tc>
          <w:tcPr>
            <w:tcW w:w="1144" w:type="pct"/>
            <w:noWrap w:val="0"/>
            <w:vAlign w:val="center"/>
          </w:tcPr>
          <w:p w14:paraId="50E754AC">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2.1</w:t>
            </w:r>
            <w:r>
              <w:rPr>
                <w:rFonts w:hint="eastAsia" w:ascii="宋体" w:hAnsi="宋体" w:eastAsia="宋体" w:cs="宋体"/>
                <w:color w:val="auto"/>
                <w:kern w:val="0"/>
                <w:sz w:val="21"/>
                <w:szCs w:val="21"/>
                <w:highlight w:val="none"/>
              </w:rPr>
              <w:t>在合同履行过程中，采购人、中标人双方可就合同履行的时间、地点和方式等协商进行变更。协商一致后，双方应签订书面的补充协议。</w:t>
            </w:r>
          </w:p>
        </w:tc>
        <w:tc>
          <w:tcPr>
            <w:tcW w:w="1153" w:type="pct"/>
            <w:gridSpan w:val="2"/>
            <w:noWrap w:val="0"/>
            <w:vAlign w:val="center"/>
          </w:tcPr>
          <w:p w14:paraId="0A0C5D78">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65" w:type="pct"/>
            <w:gridSpan w:val="3"/>
            <w:noWrap w:val="0"/>
            <w:vAlign w:val="center"/>
          </w:tcPr>
          <w:p w14:paraId="0A4A0998">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56" w:type="pct"/>
            <w:noWrap w:val="0"/>
            <w:vAlign w:val="center"/>
          </w:tcPr>
          <w:p w14:paraId="2D16E3F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sz w:val="21"/>
                <w:szCs w:val="21"/>
              </w:rPr>
              <w:t>如需附证明文件，应在“说明”栏填写证明文件对应名称和页码。</w:t>
            </w:r>
          </w:p>
        </w:tc>
      </w:tr>
      <w:tr w14:paraId="0D35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continue"/>
            <w:noWrap w:val="0"/>
            <w:vAlign w:val="center"/>
          </w:tcPr>
          <w:p w14:paraId="7F82E6F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2BADDADC">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2.2</w:t>
            </w:r>
            <w:r>
              <w:rPr>
                <w:rFonts w:hint="eastAsia" w:ascii="宋体" w:hAnsi="宋体" w:eastAsia="宋体" w:cs="宋体"/>
                <w:color w:val="auto"/>
                <w:kern w:val="0"/>
                <w:sz w:val="21"/>
                <w:szCs w:val="21"/>
                <w:highlight w:val="none"/>
              </w:rPr>
              <w:t>除了双方签署书面协议，并成为合同不可分割的一部分之外，合同条件不得有任何变更。</w:t>
            </w:r>
          </w:p>
        </w:tc>
        <w:tc>
          <w:tcPr>
            <w:tcW w:w="1153" w:type="pct"/>
            <w:gridSpan w:val="2"/>
            <w:noWrap w:val="0"/>
            <w:vAlign w:val="center"/>
          </w:tcPr>
          <w:p w14:paraId="47E4D161">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65" w:type="pct"/>
            <w:gridSpan w:val="3"/>
            <w:noWrap w:val="0"/>
            <w:vAlign w:val="center"/>
          </w:tcPr>
          <w:p w14:paraId="4C2ECD09">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56" w:type="pct"/>
            <w:noWrap w:val="0"/>
            <w:vAlign w:val="center"/>
          </w:tcPr>
          <w:p w14:paraId="067B17C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sz w:val="21"/>
                <w:szCs w:val="21"/>
              </w:rPr>
              <w:t>如需附证明文件，应在“说明”栏填写证明文件对应名称和页码。</w:t>
            </w:r>
          </w:p>
        </w:tc>
      </w:tr>
      <w:tr w14:paraId="1348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79" w:type="pct"/>
            <w:vMerge w:val="restart"/>
            <w:noWrap w:val="0"/>
            <w:vAlign w:val="center"/>
          </w:tcPr>
          <w:p w14:paraId="06A6A522">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3.合</w:t>
            </w:r>
            <w:r>
              <w:rPr>
                <w:rFonts w:hint="eastAsia" w:ascii="宋体" w:hAnsi="宋体" w:eastAsia="宋体" w:cs="宋体"/>
                <w:color w:val="auto"/>
                <w:kern w:val="0"/>
                <w:sz w:val="21"/>
                <w:szCs w:val="21"/>
                <w:highlight w:val="none"/>
              </w:rPr>
              <w:t>同转让和分包</w:t>
            </w:r>
          </w:p>
        </w:tc>
        <w:tc>
          <w:tcPr>
            <w:tcW w:w="1144" w:type="pct"/>
            <w:noWrap w:val="0"/>
            <w:vAlign w:val="center"/>
          </w:tcPr>
          <w:p w14:paraId="5141F857">
            <w:pPr>
              <w:pStyle w:val="28"/>
              <w:keepNext w:val="0"/>
              <w:keepLines w:val="0"/>
              <w:pageBreakBefore w:val="0"/>
              <w:widowControl w:val="0"/>
              <w:numPr>
                <w:ilvl w:val="1"/>
                <w:numId w:val="0"/>
              </w:numPr>
              <w:shd w:val="clear" w:color="auto" w:fill="auto"/>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kern w:val="0"/>
                <w:sz w:val="21"/>
                <w:szCs w:val="21"/>
                <w:highlight w:val="none"/>
                <w:lang w:eastAsia="zh-CN"/>
              </w:rPr>
              <w:t>中标人</w:t>
            </w:r>
            <w:r>
              <w:rPr>
                <w:rFonts w:hint="eastAsia" w:ascii="宋体" w:hAnsi="宋体" w:eastAsia="宋体" w:cs="宋体"/>
                <w:color w:val="auto"/>
                <w:kern w:val="0"/>
                <w:sz w:val="21"/>
                <w:szCs w:val="21"/>
                <w:highlight w:val="none"/>
              </w:rPr>
              <w:t>不得以任何形式部分或全部转让其应履行的合同义务。</w:t>
            </w:r>
          </w:p>
        </w:tc>
        <w:tc>
          <w:tcPr>
            <w:tcW w:w="1153" w:type="pct"/>
            <w:gridSpan w:val="2"/>
            <w:noWrap w:val="0"/>
            <w:vAlign w:val="center"/>
          </w:tcPr>
          <w:p w14:paraId="55ADC2F5">
            <w:pPr>
              <w:pStyle w:val="28"/>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p>
        </w:tc>
        <w:tc>
          <w:tcPr>
            <w:tcW w:w="1165" w:type="pct"/>
            <w:gridSpan w:val="3"/>
            <w:noWrap w:val="0"/>
            <w:vAlign w:val="center"/>
          </w:tcPr>
          <w:p w14:paraId="568799ED">
            <w:pPr>
              <w:pStyle w:val="28"/>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p>
        </w:tc>
        <w:tc>
          <w:tcPr>
            <w:tcW w:w="1156" w:type="pct"/>
            <w:noWrap w:val="0"/>
            <w:vAlign w:val="center"/>
          </w:tcPr>
          <w:p w14:paraId="2896EDAF">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r>
              <w:rPr>
                <w:rFonts w:hint="eastAsia" w:ascii="宋体" w:hAnsi="宋体" w:eastAsia="宋体" w:cs="宋体"/>
                <w:sz w:val="21"/>
                <w:szCs w:val="21"/>
              </w:rPr>
              <w:t>如需附证明文件，应在“说明”栏填写证明文件对应名称和页码。</w:t>
            </w:r>
          </w:p>
        </w:tc>
      </w:tr>
      <w:tr w14:paraId="5BAC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continue"/>
            <w:noWrap w:val="0"/>
            <w:vAlign w:val="center"/>
          </w:tcPr>
          <w:p w14:paraId="517DEC0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06A8EE37">
            <w:pPr>
              <w:pStyle w:val="28"/>
              <w:keepNext w:val="0"/>
              <w:keepLines w:val="0"/>
              <w:pageBreakBefore w:val="0"/>
              <w:widowControl w:val="0"/>
              <w:numPr>
                <w:ilvl w:val="1"/>
                <w:numId w:val="0"/>
              </w:numPr>
              <w:shd w:val="clear" w:color="auto" w:fill="auto"/>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kern w:val="0"/>
                <w:sz w:val="21"/>
                <w:szCs w:val="21"/>
                <w:highlight w:val="none"/>
                <w:lang w:eastAsia="zh-CN"/>
              </w:rPr>
              <w:t>中标人</w:t>
            </w:r>
            <w:r>
              <w:rPr>
                <w:rFonts w:hint="eastAsia" w:ascii="宋体" w:hAnsi="宋体" w:eastAsia="宋体" w:cs="宋体"/>
                <w:color w:val="auto"/>
                <w:kern w:val="0"/>
                <w:sz w:val="21"/>
                <w:szCs w:val="21"/>
                <w:highlight w:val="none"/>
              </w:rPr>
              <w:t>不得采用分包方式履行合同。</w:t>
            </w:r>
          </w:p>
        </w:tc>
        <w:tc>
          <w:tcPr>
            <w:tcW w:w="1153" w:type="pct"/>
            <w:gridSpan w:val="2"/>
            <w:noWrap w:val="0"/>
            <w:vAlign w:val="center"/>
          </w:tcPr>
          <w:p w14:paraId="288260DA">
            <w:pPr>
              <w:pStyle w:val="28"/>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p>
        </w:tc>
        <w:tc>
          <w:tcPr>
            <w:tcW w:w="1165" w:type="pct"/>
            <w:gridSpan w:val="3"/>
            <w:noWrap w:val="0"/>
            <w:vAlign w:val="center"/>
          </w:tcPr>
          <w:p w14:paraId="244F0557">
            <w:pPr>
              <w:pStyle w:val="28"/>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p>
        </w:tc>
        <w:tc>
          <w:tcPr>
            <w:tcW w:w="1156" w:type="pct"/>
            <w:noWrap w:val="0"/>
            <w:vAlign w:val="center"/>
          </w:tcPr>
          <w:p w14:paraId="5B335F13">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r>
              <w:rPr>
                <w:rFonts w:hint="eastAsia" w:ascii="宋体" w:hAnsi="宋体" w:eastAsia="宋体" w:cs="宋体"/>
                <w:sz w:val="21"/>
                <w:szCs w:val="21"/>
              </w:rPr>
              <w:t>如需附证明文件，应在“说明”栏填写证明文件对应名称和页码。</w:t>
            </w:r>
          </w:p>
        </w:tc>
      </w:tr>
      <w:tr w14:paraId="496C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restart"/>
            <w:noWrap w:val="0"/>
            <w:vAlign w:val="center"/>
          </w:tcPr>
          <w:p w14:paraId="54BB3EC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4.解决争议的方法</w:t>
            </w:r>
          </w:p>
        </w:tc>
        <w:tc>
          <w:tcPr>
            <w:tcW w:w="1144" w:type="pct"/>
            <w:noWrap w:val="0"/>
            <w:vAlign w:val="center"/>
          </w:tcPr>
          <w:p w14:paraId="6DA8EBB5">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4.1合同各方应通过友好协商，解决在执行合同过程中所发生的或与合同有关的一切争端。</w:t>
            </w:r>
          </w:p>
        </w:tc>
        <w:tc>
          <w:tcPr>
            <w:tcW w:w="1153" w:type="pct"/>
            <w:gridSpan w:val="2"/>
            <w:noWrap w:val="0"/>
            <w:vAlign w:val="center"/>
          </w:tcPr>
          <w:p w14:paraId="3FD4CD27">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25DA3861">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2AE42C1D">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2CC2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continue"/>
            <w:noWrap w:val="0"/>
            <w:vAlign w:val="center"/>
          </w:tcPr>
          <w:p w14:paraId="5F83161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5C32263C">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4.2如从协商开始28天内仍不能解决，任一方可向采购人所在地的人民法院提起诉讼。</w:t>
            </w:r>
          </w:p>
        </w:tc>
        <w:tc>
          <w:tcPr>
            <w:tcW w:w="1153" w:type="pct"/>
            <w:gridSpan w:val="2"/>
            <w:noWrap w:val="0"/>
            <w:vAlign w:val="center"/>
          </w:tcPr>
          <w:p w14:paraId="5815B5A7">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7609EEC4">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2E0D5EF8">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730C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79" w:type="pct"/>
            <w:vMerge w:val="continue"/>
            <w:noWrap w:val="0"/>
            <w:vAlign w:val="center"/>
          </w:tcPr>
          <w:p w14:paraId="5BD8E26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0B6DEAF4">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4.3在诉讼期间，除正在进行诉讼的部分外，合同的其他部分应继续执行。</w:t>
            </w:r>
          </w:p>
        </w:tc>
        <w:tc>
          <w:tcPr>
            <w:tcW w:w="1153" w:type="pct"/>
            <w:gridSpan w:val="2"/>
            <w:noWrap w:val="0"/>
            <w:vAlign w:val="center"/>
          </w:tcPr>
          <w:p w14:paraId="20FC4684">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3D51C794">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7D830ED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2984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noWrap w:val="0"/>
            <w:vAlign w:val="center"/>
          </w:tcPr>
          <w:p w14:paraId="554E1AF1">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5.合同语言</w:t>
            </w:r>
          </w:p>
        </w:tc>
        <w:tc>
          <w:tcPr>
            <w:tcW w:w="1144" w:type="pct"/>
            <w:noWrap w:val="0"/>
            <w:vAlign w:val="center"/>
          </w:tcPr>
          <w:p w14:paraId="4F0DEF05">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lang w:val="en-US" w:eastAsia="zh-CN"/>
              </w:rPr>
              <w:t>5.1</w:t>
            </w:r>
            <w:r>
              <w:rPr>
                <w:rFonts w:hint="eastAsia" w:ascii="宋体" w:hAnsi="宋体" w:eastAsia="宋体" w:cs="宋体"/>
                <w:color w:val="auto"/>
                <w:kern w:val="0"/>
                <w:sz w:val="21"/>
                <w:szCs w:val="21"/>
                <w:highlight w:val="none"/>
              </w:rPr>
              <w:t>合同以及双方来往的与合同有关的信件、传真和其它文件应用中文书写。</w:t>
            </w:r>
          </w:p>
        </w:tc>
        <w:tc>
          <w:tcPr>
            <w:tcW w:w="1153" w:type="pct"/>
            <w:gridSpan w:val="2"/>
            <w:noWrap w:val="0"/>
            <w:vAlign w:val="center"/>
          </w:tcPr>
          <w:p w14:paraId="7146E3D6">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lang w:val="en-US" w:eastAsia="zh-CN"/>
              </w:rPr>
            </w:pPr>
          </w:p>
        </w:tc>
        <w:tc>
          <w:tcPr>
            <w:tcW w:w="1165" w:type="pct"/>
            <w:gridSpan w:val="3"/>
            <w:noWrap w:val="0"/>
            <w:vAlign w:val="center"/>
          </w:tcPr>
          <w:p w14:paraId="6509683A">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lang w:val="en-US" w:eastAsia="zh-CN"/>
              </w:rPr>
            </w:pPr>
          </w:p>
        </w:tc>
        <w:tc>
          <w:tcPr>
            <w:tcW w:w="1156" w:type="pct"/>
            <w:noWrap w:val="0"/>
            <w:vAlign w:val="center"/>
          </w:tcPr>
          <w:p w14:paraId="385DFD03">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sz w:val="21"/>
                <w:szCs w:val="21"/>
              </w:rPr>
              <w:t>如需附证明文件，应在“说明”栏填写证明文件对应名称和页码。</w:t>
            </w:r>
          </w:p>
        </w:tc>
      </w:tr>
      <w:tr w14:paraId="2884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noWrap w:val="0"/>
            <w:vAlign w:val="center"/>
          </w:tcPr>
          <w:p w14:paraId="67D0E44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6.法律适用</w:t>
            </w:r>
          </w:p>
        </w:tc>
        <w:tc>
          <w:tcPr>
            <w:tcW w:w="1144" w:type="pct"/>
            <w:noWrap w:val="0"/>
            <w:vAlign w:val="center"/>
          </w:tcPr>
          <w:p w14:paraId="26D81D9A">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6.1合同适用中华人民共和国现行法律、行政法规和规章，如合同条款与法律、行政法规和规章不一致的，按照法律、行政法规和规章修改合同。</w:t>
            </w:r>
          </w:p>
        </w:tc>
        <w:tc>
          <w:tcPr>
            <w:tcW w:w="1153" w:type="pct"/>
            <w:gridSpan w:val="2"/>
            <w:noWrap w:val="0"/>
            <w:vAlign w:val="center"/>
          </w:tcPr>
          <w:p w14:paraId="4809356A">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788EE39F">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1CEEB5C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73EB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restart"/>
            <w:noWrap w:val="0"/>
            <w:vAlign w:val="center"/>
          </w:tcPr>
          <w:p w14:paraId="585836D6">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7.通知</w:t>
            </w:r>
          </w:p>
        </w:tc>
        <w:tc>
          <w:tcPr>
            <w:tcW w:w="1144" w:type="pct"/>
            <w:noWrap w:val="0"/>
            <w:vAlign w:val="center"/>
          </w:tcPr>
          <w:p w14:paraId="5F3A29A0">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7.1合同一方给另一方的通知均应采用书面形式，传真或快递送到对方的地址和办理签收手续。</w:t>
            </w:r>
          </w:p>
        </w:tc>
        <w:tc>
          <w:tcPr>
            <w:tcW w:w="1153" w:type="pct"/>
            <w:gridSpan w:val="2"/>
            <w:noWrap w:val="0"/>
            <w:vAlign w:val="center"/>
          </w:tcPr>
          <w:p w14:paraId="6176F303">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40231820">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318D909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4066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79" w:type="pct"/>
            <w:vMerge w:val="continue"/>
            <w:noWrap w:val="0"/>
            <w:vAlign w:val="center"/>
          </w:tcPr>
          <w:p w14:paraId="6E4A211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1AEC9411">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7.2通知以送到之日或通知书中规定的生效之日起生效，两者中以较迟之日为准。</w:t>
            </w:r>
          </w:p>
        </w:tc>
        <w:tc>
          <w:tcPr>
            <w:tcW w:w="1153" w:type="pct"/>
            <w:gridSpan w:val="2"/>
            <w:noWrap w:val="0"/>
            <w:vAlign w:val="center"/>
          </w:tcPr>
          <w:p w14:paraId="3393224B">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77F3F4BB">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4788AB44">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58CE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379" w:type="pct"/>
            <w:noWrap w:val="0"/>
            <w:vAlign w:val="center"/>
          </w:tcPr>
          <w:p w14:paraId="4306993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8.知识产权</w:t>
            </w:r>
          </w:p>
        </w:tc>
        <w:tc>
          <w:tcPr>
            <w:tcW w:w="1144" w:type="pct"/>
            <w:noWrap w:val="0"/>
            <w:vAlign w:val="center"/>
          </w:tcPr>
          <w:p w14:paraId="33903D97">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8.1中标人应保证采购人在使用该服务或其任何一部分时免受第三方提出侵犯其专利、商标、版权等知识产权或商品名称及其他权利的起诉及索赔。若采购人因此被第三方起诉或以其它方式追究责任，中标人应赔偿因采购人被第三方索赔所引起的一切损失，包括但不限于采购人所支付的侵权损害赔偿费、律师费、诉讼费、仲裁费、办案差旅费等因应诉、沟通协调所发生的一切费用。</w:t>
            </w:r>
          </w:p>
        </w:tc>
        <w:tc>
          <w:tcPr>
            <w:tcW w:w="1153" w:type="pct"/>
            <w:gridSpan w:val="2"/>
            <w:noWrap w:val="0"/>
            <w:vAlign w:val="center"/>
          </w:tcPr>
          <w:p w14:paraId="2E7D40FE">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44558C33">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1224FAA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3C57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79" w:type="pct"/>
            <w:noWrap w:val="0"/>
            <w:vAlign w:val="center"/>
          </w:tcPr>
          <w:p w14:paraId="611AF47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9.税费</w:t>
            </w:r>
          </w:p>
        </w:tc>
        <w:tc>
          <w:tcPr>
            <w:tcW w:w="1144" w:type="pct"/>
            <w:noWrap w:val="0"/>
            <w:vAlign w:val="center"/>
          </w:tcPr>
          <w:p w14:paraId="5E61CF7E">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9.1中国政府根据现行税法向中标人征收的与合同有关的一切税费均由中标人负责。</w:t>
            </w:r>
          </w:p>
        </w:tc>
        <w:tc>
          <w:tcPr>
            <w:tcW w:w="1153" w:type="pct"/>
            <w:gridSpan w:val="2"/>
            <w:noWrap w:val="0"/>
            <w:vAlign w:val="center"/>
          </w:tcPr>
          <w:p w14:paraId="550AA865">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62C7CE08">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6CAF484E">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bl>
    <w:p w14:paraId="3C242DB9">
      <w:pPr>
        <w:spacing w:line="400" w:lineRule="exact"/>
        <w:rPr>
          <w:rFonts w:hint="eastAsia" w:ascii="宋体" w:hAnsi="宋体" w:cs="Arial"/>
          <w:bCs/>
          <w:szCs w:val="21"/>
        </w:rPr>
      </w:pPr>
    </w:p>
    <w:p w14:paraId="689E4660">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招标文件商务要求</w:t>
      </w:r>
      <w:r>
        <w:rPr>
          <w:rFonts w:hint="eastAsia" w:ascii="宋体" w:hAnsi="宋体" w:cs="Arial"/>
          <w:bCs/>
          <w:szCs w:val="21"/>
        </w:rPr>
        <w:t>”一栏逐一列出招标文件第二章《项目需求》中“</w:t>
      </w:r>
      <w:r>
        <w:rPr>
          <w:rFonts w:hint="eastAsia" w:ascii="宋体" w:hAnsi="宋体" w:cs="Arial"/>
          <w:b/>
          <w:bCs/>
          <w:szCs w:val="21"/>
        </w:rPr>
        <w:t>三、</w:t>
      </w:r>
      <w:r>
        <w:rPr>
          <w:rFonts w:hint="eastAsia" w:ascii="宋体" w:hAnsi="宋体" w:cs="Arial"/>
          <w:b/>
          <w:bCs/>
          <w:szCs w:val="21"/>
          <w:lang w:eastAsia="zh-CN"/>
        </w:rPr>
        <w:t>项目</w:t>
      </w:r>
      <w:r>
        <w:rPr>
          <w:rFonts w:hint="eastAsia" w:ascii="宋体" w:hAnsi="宋体" w:cs="Arial"/>
          <w:b/>
          <w:bCs/>
          <w:szCs w:val="21"/>
        </w:rPr>
        <w:t>商务要求</w:t>
      </w:r>
      <w:r>
        <w:rPr>
          <w:rFonts w:hint="eastAsia" w:ascii="宋体" w:hAnsi="宋体" w:cs="Arial"/>
          <w:bCs/>
          <w:szCs w:val="21"/>
        </w:rPr>
        <w:t>”的内容；“</w:t>
      </w:r>
      <w:r>
        <w:rPr>
          <w:rFonts w:hint="eastAsia" w:ascii="宋体" w:hAnsi="宋体"/>
          <w:szCs w:val="21"/>
          <w:lang w:eastAsia="zh-CN"/>
        </w:rPr>
        <w:t>投标文件商务响应</w:t>
      </w:r>
      <w:r>
        <w:rPr>
          <w:rFonts w:hint="eastAsia" w:ascii="宋体" w:hAnsi="宋体" w:cs="Arial"/>
          <w:bCs/>
          <w:szCs w:val="21"/>
        </w:rPr>
        <w:t>”一栏应详细填写投标商务条款的响应内容。</w:t>
      </w:r>
    </w:p>
    <w:p w14:paraId="539CDEDB">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r>
        <w:rPr>
          <w:rFonts w:hint="eastAsia" w:ascii="宋体" w:hAnsi="宋体"/>
          <w:kern w:val="0"/>
          <w:szCs w:val="21"/>
        </w:rPr>
        <w:t>★</w:t>
      </w:r>
      <w:r>
        <w:rPr>
          <w:rFonts w:hint="eastAsia" w:ascii="宋体" w:hAnsi="宋体" w:eastAsia="宋体"/>
          <w:szCs w:val="21"/>
        </w:rPr>
        <w:t>条款为不可负偏离的实质性条款，投标文件响应为“负偏离”或未响应的，投标文件将按无效投标处理。</w:t>
      </w:r>
    </w:p>
    <w:p w14:paraId="34A33A33">
      <w:pPr>
        <w:spacing w:line="400" w:lineRule="exact"/>
        <w:ind w:firstLine="420" w:firstLineChars="200"/>
      </w:pPr>
      <w:r>
        <w:rPr>
          <w:rFonts w:hint="eastAsia" w:ascii="宋体" w:hAnsi="宋体" w:eastAsia="宋体"/>
          <w:szCs w:val="21"/>
        </w:rPr>
        <w:t>3、</w:t>
      </w:r>
      <w:r>
        <w:rPr>
          <w:rFonts w:hint="eastAsia" w:ascii="宋体" w:hAnsi="宋体" w:cs="宋体"/>
          <w:bCs/>
          <w:szCs w:val="21"/>
        </w:rPr>
        <w:t>如</w:t>
      </w:r>
      <w:r>
        <w:rPr>
          <w:rFonts w:hint="eastAsia" w:ascii="宋体" w:hAnsi="宋体" w:eastAsia="宋体"/>
          <w:bCs/>
          <w:kern w:val="0"/>
          <w:szCs w:val="21"/>
        </w:rPr>
        <w:t>招标文件</w:t>
      </w:r>
      <w:r>
        <w:rPr>
          <w:rFonts w:hint="eastAsia" w:ascii="宋体" w:hAnsi="宋体" w:cs="宋体"/>
          <w:bCs/>
          <w:szCs w:val="21"/>
        </w:rPr>
        <w:t>要求提供证明材料，</w:t>
      </w:r>
      <w:r>
        <w:rPr>
          <w:rFonts w:hint="eastAsia" w:ascii="宋体" w:hAnsi="宋体"/>
          <w:szCs w:val="21"/>
          <w:lang w:eastAsia="zh-CN"/>
        </w:rPr>
        <w:t>供应商</w:t>
      </w:r>
      <w:r>
        <w:rPr>
          <w:rFonts w:hint="eastAsia" w:ascii="宋体" w:hAnsi="宋体" w:eastAsia="宋体"/>
          <w:szCs w:val="21"/>
        </w:rPr>
        <w:t>应在“说明”一栏中列出商务条款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w:t>
      </w:r>
      <w:r>
        <w:rPr>
          <w:rFonts w:hint="eastAsia" w:ascii="宋体" w:hAnsi="宋体"/>
          <w:szCs w:val="21"/>
          <w:lang w:eastAsia="zh-CN"/>
        </w:rPr>
        <w:t>供应商</w:t>
      </w:r>
      <w:r>
        <w:rPr>
          <w:rFonts w:hint="eastAsia" w:ascii="宋体" w:hAnsi="宋体" w:eastAsia="宋体"/>
          <w:szCs w:val="21"/>
        </w:rPr>
        <w:t>可以不提供。</w:t>
      </w:r>
    </w:p>
    <w:p w14:paraId="7EBD2864">
      <w:pPr>
        <w:adjustRightInd w:val="0"/>
        <w:snapToGrid w:val="0"/>
        <w:spacing w:line="300" w:lineRule="auto"/>
        <w:rPr>
          <w:rFonts w:eastAsia="楷体_GB2312"/>
          <w:snapToGrid w:val="0"/>
          <w:kern w:val="0"/>
        </w:rPr>
      </w:pPr>
    </w:p>
    <w:p w14:paraId="06021D56">
      <w:pPr>
        <w:adjustRightInd w:val="0"/>
        <w:snapToGrid w:val="0"/>
        <w:spacing w:line="300" w:lineRule="auto"/>
        <w:rPr>
          <w:rFonts w:hint="eastAsia"/>
          <w:snapToGrid w:val="0"/>
          <w:kern w:val="0"/>
        </w:rPr>
      </w:pPr>
    </w:p>
    <w:p w14:paraId="061DDB5D">
      <w:pPr>
        <w:adjustRightInd w:val="0"/>
        <w:snapToGrid w:val="0"/>
        <w:spacing w:line="300" w:lineRule="auto"/>
        <w:rPr>
          <w:snapToGrid w:val="0"/>
          <w:kern w:val="0"/>
        </w:rPr>
      </w:pPr>
      <w:r>
        <w:rPr>
          <w:rFonts w:hint="eastAsia"/>
          <w:snapToGrid w:val="0"/>
          <w:kern w:val="0"/>
        </w:rPr>
        <w:t>投标单位：（</w:t>
      </w:r>
      <w:r>
        <w:rPr>
          <w:rFonts w:hint="eastAsia" w:eastAsia="宋体"/>
          <w:snapToGrid w:val="0"/>
          <w:kern w:val="0"/>
          <w:lang w:eastAsia="zh-CN"/>
        </w:rPr>
        <w:t>加盖公章</w:t>
      </w:r>
      <w:r>
        <w:rPr>
          <w:rFonts w:hint="eastAsia"/>
          <w:snapToGrid w:val="0"/>
          <w:kern w:val="0"/>
        </w:rPr>
        <w:t>）</w:t>
      </w:r>
    </w:p>
    <w:p w14:paraId="19DF4E71">
      <w:pPr>
        <w:adjustRightInd w:val="0"/>
        <w:snapToGrid w:val="0"/>
        <w:spacing w:line="300" w:lineRule="auto"/>
        <w:rPr>
          <w:snapToGrid w:val="0"/>
          <w:kern w:val="0"/>
        </w:rPr>
      </w:pPr>
    </w:p>
    <w:p w14:paraId="5E58092A">
      <w:pPr>
        <w:adjustRightInd w:val="0"/>
        <w:snapToGrid w:val="0"/>
        <w:spacing w:line="300" w:lineRule="auto"/>
        <w:rPr>
          <w:snapToGrid w:val="0"/>
          <w:kern w:val="0"/>
        </w:rPr>
      </w:pPr>
    </w:p>
    <w:p w14:paraId="0EEC26D9">
      <w:pPr>
        <w:adjustRightInd w:val="0"/>
        <w:snapToGrid w:val="0"/>
        <w:spacing w:line="300" w:lineRule="auto"/>
        <w:rPr>
          <w:rFonts w:ascii="宋体" w:hAnsi="宋体"/>
          <w:bCs/>
        </w:rPr>
      </w:pPr>
      <w:r>
        <w:rPr>
          <w:rFonts w:hint="eastAsia"/>
          <w:snapToGrid w:val="0"/>
          <w:kern w:val="0"/>
        </w:rPr>
        <w:t>年    月   日</w:t>
      </w:r>
    </w:p>
    <w:p w14:paraId="23BBB006">
      <w:pPr>
        <w:adjustRightInd w:val="0"/>
        <w:snapToGrid w:val="0"/>
        <w:spacing w:line="300" w:lineRule="auto"/>
        <w:ind w:right="420"/>
        <w:jc w:val="center"/>
        <w:rPr>
          <w:snapToGrid w:val="0"/>
          <w:kern w:val="0"/>
        </w:rPr>
      </w:pPr>
    </w:p>
    <w:p w14:paraId="31E1438E">
      <w:pPr>
        <w:adjustRightInd w:val="0"/>
        <w:snapToGrid w:val="0"/>
        <w:spacing w:line="300" w:lineRule="auto"/>
        <w:ind w:right="420"/>
        <w:jc w:val="center"/>
      </w:pPr>
      <w:r>
        <w:br w:type="page"/>
      </w:r>
    </w:p>
    <w:p w14:paraId="0AEA44AC">
      <w:pPr>
        <w:adjustRightInd w:val="0"/>
        <w:snapToGrid w:val="0"/>
        <w:spacing w:line="300" w:lineRule="auto"/>
        <w:ind w:right="420"/>
        <w:jc w:val="center"/>
      </w:pPr>
    </w:p>
    <w:p w14:paraId="6B595AA9">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格式1</w:t>
      </w:r>
      <w:r>
        <w:rPr>
          <w:rFonts w:hint="eastAsia" w:ascii="宋体" w:hAnsi="宋体"/>
          <w:sz w:val="24"/>
          <w:lang w:val="en-US" w:eastAsia="zh-CN"/>
        </w:rPr>
        <w:t>0</w:t>
      </w:r>
      <w:r>
        <w:rPr>
          <w:rFonts w:hint="eastAsia" w:ascii="宋体" w:hAnsi="宋体"/>
          <w:sz w:val="24"/>
        </w:rPr>
        <w:t xml:space="preserve">  采购文件要求的其他资料或供应商认为需要补充的资料</w:t>
      </w:r>
    </w:p>
    <w:p w14:paraId="5D34C6D0">
      <w:pPr>
        <w:spacing w:line="360" w:lineRule="auto"/>
        <w:jc w:val="center"/>
      </w:pPr>
    </w:p>
    <w:p w14:paraId="039DDA16">
      <w:pPr>
        <w:spacing w:line="360" w:lineRule="auto"/>
        <w:ind w:firstLine="420" w:firstLineChars="200"/>
      </w:pPr>
      <w:r>
        <w:rPr>
          <w:szCs w:val="20"/>
        </w:rPr>
        <w:t>供应商</w:t>
      </w:r>
      <w:r>
        <w:rPr>
          <w:rFonts w:hint="eastAsia"/>
          <w:szCs w:val="20"/>
        </w:rPr>
        <w:t>须</w:t>
      </w:r>
      <w:r>
        <w:rPr>
          <w:szCs w:val="20"/>
        </w:rPr>
        <w:t>按要求编制响应文件，提供的内容要详细、真实、可靠。若提供的资料不齐，将导致扣分；若严重缺项、漏项，其响应将被拒绝。</w:t>
      </w:r>
    </w:p>
    <w:p w14:paraId="678A007C">
      <w:pPr>
        <w:adjustRightInd w:val="0"/>
        <w:snapToGrid w:val="0"/>
        <w:spacing w:line="360" w:lineRule="auto"/>
        <w:ind w:firstLine="420" w:firstLineChars="200"/>
        <w:rPr>
          <w:bCs/>
          <w:snapToGrid w:val="0"/>
          <w:kern w:val="0"/>
        </w:rPr>
      </w:pPr>
    </w:p>
    <w:p w14:paraId="49FE0C9C">
      <w:pPr>
        <w:adjustRightInd w:val="0"/>
        <w:snapToGrid w:val="0"/>
        <w:spacing w:line="300" w:lineRule="auto"/>
        <w:ind w:firstLine="420" w:firstLineChars="200"/>
        <w:rPr>
          <w:rFonts w:hint="eastAsia" w:ascii="Times New Roman" w:hAnsi="Times New Roman" w:cs="Times New Roman"/>
          <w:bCs/>
          <w:snapToGrid w:val="0"/>
          <w:kern w:val="0"/>
        </w:rPr>
      </w:pPr>
      <w:r>
        <w:rPr>
          <w:rFonts w:hint="eastAsia" w:ascii="Times New Roman" w:hAnsi="Times New Roman" w:cs="Times New Roman"/>
          <w:bCs/>
          <w:snapToGrid w:val="0"/>
          <w:kern w:val="0"/>
        </w:rPr>
        <w:t>注：</w:t>
      </w:r>
    </w:p>
    <w:p w14:paraId="58BCA0CB">
      <w:pPr>
        <w:adjustRightInd w:val="0"/>
        <w:snapToGrid w:val="0"/>
        <w:spacing w:line="300" w:lineRule="auto"/>
        <w:ind w:firstLine="420" w:firstLineChars="200"/>
        <w:rPr>
          <w:rFonts w:hint="default" w:ascii="宋体" w:hAnsi="宋体" w:eastAsia="宋体" w:cs="宋体"/>
          <w:bCs/>
          <w:snapToGrid w:val="0"/>
          <w:kern w:val="0"/>
          <w:highlight w:val="yellow"/>
          <w:lang w:val="en-US" w:eastAsia="zh-CN"/>
        </w:rPr>
      </w:pPr>
      <w:r>
        <w:rPr>
          <w:rFonts w:hint="eastAsia" w:ascii="宋体" w:hAnsi="宋体" w:eastAsia="宋体" w:cs="宋体"/>
          <w:bCs/>
          <w:snapToGrid w:val="0"/>
          <w:kern w:val="0"/>
          <w:highlight w:val="yellow"/>
          <w:lang w:val="en-US" w:eastAsia="zh-CN"/>
        </w:rPr>
        <w:t>1.社保证明材料截图（应对应《供应商基本情况表》人员）</w:t>
      </w:r>
    </w:p>
    <w:p w14:paraId="455BE174">
      <w:pPr>
        <w:adjustRightInd w:val="0"/>
        <w:snapToGrid w:val="0"/>
        <w:spacing w:line="300" w:lineRule="auto"/>
        <w:ind w:firstLine="420" w:firstLineChars="200"/>
        <w:rPr>
          <w:rFonts w:hint="eastAsia" w:ascii="Times New Roman" w:hAnsi="Times New Roman" w:cs="Times New Roman"/>
          <w:bCs/>
          <w:snapToGrid w:val="0"/>
          <w:kern w:val="0"/>
        </w:rPr>
      </w:pPr>
      <w:r>
        <w:rPr>
          <w:rFonts w:hint="eastAsia" w:ascii="宋体" w:hAnsi="宋体" w:eastAsia="宋体" w:cs="宋体"/>
          <w:bCs/>
          <w:snapToGrid w:val="0"/>
          <w:kern w:val="0"/>
          <w:lang w:val="en-US" w:eastAsia="zh-CN"/>
        </w:rPr>
        <w:t>2.</w:t>
      </w:r>
      <w:r>
        <w:rPr>
          <w:rFonts w:hint="eastAsia" w:ascii="宋体" w:hAnsi="宋体" w:eastAsia="宋体" w:cs="宋体"/>
          <w:bCs/>
          <w:snapToGrid w:val="0"/>
          <w:kern w:val="0"/>
        </w:rPr>
        <w:t>如需提供</w:t>
      </w:r>
      <w:r>
        <w:rPr>
          <w:rFonts w:hint="eastAsia" w:ascii="Times New Roman" w:hAnsi="Times New Roman" w:cs="Times New Roman"/>
          <w:bCs/>
          <w:snapToGrid w:val="0"/>
          <w:kern w:val="0"/>
        </w:rPr>
        <w:t>补充资料，本部分资料格式不做统一规定，由供应商自行设计。</w:t>
      </w:r>
    </w:p>
    <w:p w14:paraId="75B2361B">
      <w:pPr>
        <w:pStyle w:val="2"/>
        <w:keepNext w:val="0"/>
        <w:rPr>
          <w:b w:val="0"/>
          <w:snapToGrid w:val="0"/>
          <w:kern w:val="0"/>
          <w:sz w:val="52"/>
          <w:szCs w:val="52"/>
        </w:rPr>
      </w:pPr>
    </w:p>
    <w:p w14:paraId="621CF9A7"/>
    <w:p w14:paraId="7093762F"/>
    <w:p w14:paraId="476E1245"/>
    <w:p w14:paraId="561D6E74"/>
    <w:p w14:paraId="2461B720"/>
    <w:p w14:paraId="6CB41F78"/>
    <w:p w14:paraId="09E24C18"/>
    <w:p w14:paraId="2EE420DA"/>
    <w:p w14:paraId="7FFF8A31"/>
    <w:p w14:paraId="63CE35F7"/>
    <w:p w14:paraId="422C544C"/>
    <w:p w14:paraId="44D9FAE5"/>
    <w:p w14:paraId="374165BE"/>
    <w:p w14:paraId="64679793"/>
    <w:p w14:paraId="7BFDC8B7"/>
    <w:p w14:paraId="645A0CED"/>
    <w:p w14:paraId="1866F37D"/>
    <w:p w14:paraId="6A3C164C"/>
    <w:p w14:paraId="1603AB0A">
      <w:pPr>
        <w:tabs>
          <w:tab w:val="left" w:pos="1875"/>
        </w:tabs>
      </w:pPr>
      <w:r>
        <w:tab/>
      </w:r>
    </w:p>
    <w:p w14:paraId="4DE89DC6">
      <w:pPr>
        <w:tabs>
          <w:tab w:val="left" w:pos="1875"/>
        </w:tabs>
      </w:pPr>
    </w:p>
    <w:p w14:paraId="5D90D0B3">
      <w:pPr>
        <w:tabs>
          <w:tab w:val="left" w:pos="1875"/>
        </w:tabs>
      </w:pPr>
    </w:p>
    <w:p w14:paraId="714913B9">
      <w:pPr>
        <w:tabs>
          <w:tab w:val="left" w:pos="1875"/>
        </w:tabs>
      </w:pPr>
    </w:p>
    <w:p w14:paraId="2E847FE5">
      <w:pPr>
        <w:tabs>
          <w:tab w:val="left" w:pos="1875"/>
        </w:tabs>
      </w:pPr>
    </w:p>
    <w:p w14:paraId="04C8E94B">
      <w:pPr>
        <w:tabs>
          <w:tab w:val="left" w:pos="1875"/>
        </w:tabs>
      </w:pPr>
    </w:p>
    <w:p w14:paraId="5BEDBC48">
      <w:pPr>
        <w:tabs>
          <w:tab w:val="left" w:pos="1875"/>
        </w:tabs>
      </w:pPr>
    </w:p>
    <w:p w14:paraId="3CBEA767">
      <w:pPr>
        <w:tabs>
          <w:tab w:val="left" w:pos="1875"/>
        </w:tabs>
      </w:pPr>
    </w:p>
    <w:p w14:paraId="0862038F">
      <w:pPr>
        <w:tabs>
          <w:tab w:val="left" w:pos="1875"/>
        </w:tabs>
      </w:pPr>
    </w:p>
    <w:p w14:paraId="3F237AC7">
      <w:pPr>
        <w:tabs>
          <w:tab w:val="left" w:pos="1875"/>
        </w:tabs>
      </w:pPr>
    </w:p>
    <w:p w14:paraId="4959C6A4">
      <w:pPr>
        <w:tabs>
          <w:tab w:val="left" w:pos="1875"/>
        </w:tabs>
      </w:pPr>
    </w:p>
    <w:p w14:paraId="311DD63A">
      <w:pPr>
        <w:tabs>
          <w:tab w:val="left" w:pos="1875"/>
        </w:tabs>
      </w:pPr>
    </w:p>
    <w:p w14:paraId="605C5840">
      <w:pPr>
        <w:pStyle w:val="2"/>
        <w:spacing w:before="0" w:after="0"/>
      </w:pPr>
      <w:bookmarkStart w:id="72" w:name="_Toc12969"/>
      <w:r>
        <w:rPr>
          <w:rFonts w:hint="eastAsia"/>
        </w:rPr>
        <w:t>第八章  合同条款</w:t>
      </w:r>
      <w:bookmarkEnd w:id="72"/>
    </w:p>
    <w:p w14:paraId="239128F7">
      <w:pPr>
        <w:jc w:val="center"/>
        <w:rPr>
          <w:b/>
          <w:szCs w:val="21"/>
        </w:rPr>
      </w:pPr>
    </w:p>
    <w:p w14:paraId="601C94BE">
      <w:pPr>
        <w:adjustRightInd w:val="0"/>
        <w:snapToGrid w:val="0"/>
        <w:spacing w:after="60" w:line="360" w:lineRule="auto"/>
        <w:jc w:val="center"/>
        <w:rPr>
          <w:rFonts w:ascii="Times New Roman" w:hAnsi="Times New Roman" w:eastAsia="宋体" w:cs="Times New Roman"/>
          <w:b/>
          <w:snapToGrid w:val="0"/>
          <w:kern w:val="0"/>
          <w:sz w:val="24"/>
        </w:rPr>
      </w:pPr>
      <w:r>
        <w:rPr>
          <w:rFonts w:hint="eastAsia" w:ascii="Times New Roman" w:hAnsi="Times New Roman" w:eastAsia="宋体" w:cs="Times New Roman"/>
          <w:b/>
          <w:snapToGrid w:val="0"/>
          <w:kern w:val="0"/>
          <w:sz w:val="24"/>
        </w:rPr>
        <w:t>（</w:t>
      </w:r>
      <w:r>
        <w:rPr>
          <w:rFonts w:hint="eastAsia" w:cs="Times New Roman"/>
          <w:b/>
          <w:snapToGrid w:val="0"/>
          <w:kern w:val="0"/>
          <w:sz w:val="24"/>
          <w:lang w:eastAsia="zh-CN"/>
        </w:rPr>
        <w:t>仅供参考，具体以项目需求及采购结果为准</w:t>
      </w:r>
      <w:r>
        <w:rPr>
          <w:rFonts w:hint="eastAsia" w:ascii="Times New Roman" w:hAnsi="Times New Roman" w:eastAsia="宋体" w:cs="Times New Roman"/>
          <w:b/>
          <w:snapToGrid w:val="0"/>
          <w:kern w:val="0"/>
          <w:sz w:val="24"/>
        </w:rPr>
        <w:t>）</w:t>
      </w:r>
    </w:p>
    <w:p w14:paraId="2036DEAA">
      <w:pPr>
        <w:adjustRightInd w:val="0"/>
        <w:snapToGrid w:val="0"/>
        <w:spacing w:line="360" w:lineRule="auto"/>
        <w:jc w:val="center"/>
        <w:rPr>
          <w:rFonts w:ascii="Times New Roman" w:hAnsi="Times New Roman" w:eastAsia="宋体" w:cs="Times New Roman"/>
          <w:b/>
          <w:snapToGrid w:val="0"/>
          <w:kern w:val="0"/>
          <w:sz w:val="28"/>
        </w:rPr>
      </w:pPr>
    </w:p>
    <w:p w14:paraId="6875FB28">
      <w:pPr>
        <w:widowControl w:val="0"/>
        <w:jc w:val="both"/>
        <w:rPr>
          <w:rFonts w:hint="eastAsia" w:ascii="黑体" w:hAnsi="黑体" w:eastAsia="黑体" w:cs="黑体"/>
          <w:kern w:val="2"/>
          <w:sz w:val="21"/>
          <w:szCs w:val="21"/>
          <w:lang w:val="en-US" w:eastAsia="zh-CN" w:bidi="ar-SA"/>
        </w:rPr>
      </w:pPr>
      <w:bookmarkStart w:id="73" w:name="_Toc23844_WPSOffice_Level1"/>
    </w:p>
    <w:bookmarkEnd w:id="73"/>
    <w:p w14:paraId="21A64A57">
      <w:pPr>
        <w:spacing w:line="360" w:lineRule="auto"/>
        <w:ind w:firstLine="0" w:firstLineChars="0"/>
        <w:jc w:val="center"/>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医疗责任保险服务项目协议书（模板）</w:t>
      </w:r>
    </w:p>
    <w:p w14:paraId="27A54F85">
      <w:pPr>
        <w:spacing w:line="360" w:lineRule="auto"/>
        <w:ind w:firstLine="0" w:firstLineChars="0"/>
        <w:jc w:val="left"/>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甲方：</w:t>
      </w:r>
    </w:p>
    <w:p w14:paraId="59F55C9C">
      <w:pPr>
        <w:ind w:firstLine="0" w:firstLineChars="0"/>
        <w:jc w:val="left"/>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地址：</w:t>
      </w:r>
    </w:p>
    <w:p w14:paraId="7E505B1F">
      <w:pPr>
        <w:ind w:firstLine="0" w:firstLineChars="0"/>
        <w:jc w:val="left"/>
        <w:rPr>
          <w:rFonts w:hint="eastAsia" w:ascii="宋体" w:hAnsi="宋体" w:eastAsia="宋体" w:cs="宋体"/>
          <w:b w:val="0"/>
          <w:bCs w:val="0"/>
          <w:color w:val="000000"/>
          <w:kern w:val="0"/>
          <w:sz w:val="21"/>
          <w:szCs w:val="21"/>
          <w:highlight w:val="none"/>
          <w:lang w:val="en-US" w:eastAsia="zh-CN"/>
        </w:rPr>
      </w:pPr>
    </w:p>
    <w:p w14:paraId="0B4347B3">
      <w:pPr>
        <w:spacing w:line="360" w:lineRule="auto"/>
        <w:ind w:firstLine="0" w:firstLineChars="0"/>
        <w:jc w:val="left"/>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乙方</w:t>
      </w:r>
    </w:p>
    <w:p w14:paraId="6141DD91">
      <w:pPr>
        <w:ind w:firstLine="0" w:firstLineChars="0"/>
        <w:jc w:val="left"/>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地址：</w:t>
      </w:r>
    </w:p>
    <w:p w14:paraId="3A764DA1">
      <w:pPr>
        <w:spacing w:line="276" w:lineRule="auto"/>
        <w:ind w:firstLine="420" w:firstLineChars="200"/>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依照《中华人民共和国民法典》、《中华人民共和国保险法》等有关法律、法规，甲、乙双方遵循平等、自愿、公平和诚实信用的原则，经友好协商，一致同意就本项目的保险事宜，订立如下合同。</w:t>
      </w:r>
    </w:p>
    <w:p w14:paraId="6D48CB92">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第一部分  定义</w:t>
      </w:r>
    </w:p>
    <w:p w14:paraId="379FAD5F">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一、投保人</w:t>
      </w:r>
    </w:p>
    <w:p w14:paraId="100D3DA8">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本协议中所指的投保人均为甲方。</w:t>
      </w:r>
    </w:p>
    <w:p w14:paraId="09EE9118">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二、被保险人</w:t>
      </w:r>
    </w:p>
    <w:p w14:paraId="36F4B4DC">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（一）被保险人：深圳市xx医院</w:t>
      </w:r>
    </w:p>
    <w:p w14:paraId="1FB1506A">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地址：深圳市xxx</w:t>
      </w:r>
    </w:p>
    <w:p w14:paraId="14D2E458">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（二）被保险人（下属社康、关联机构）</w:t>
      </w:r>
    </w:p>
    <w:p w14:paraId="4AB84F2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1.被保险人：深圳市xx医院xx社区健康服务站</w:t>
      </w:r>
    </w:p>
    <w:p w14:paraId="0203DB88">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2.被保险人：深圳市xx医院xx社区健康服务站</w:t>
      </w:r>
    </w:p>
    <w:p w14:paraId="0CFC2316">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3.被保险人：深圳市xx医院xx社区健康服务站</w:t>
      </w:r>
    </w:p>
    <w:p w14:paraId="4A7BEB1E">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4.被保险人：深圳市xx医院xx社区健康服务站</w:t>
      </w:r>
    </w:p>
    <w:p w14:paraId="74835851">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本协议中所指的被保险人均为经国家有关部门认定合格的医疗机构。</w:t>
      </w:r>
    </w:p>
    <w:p w14:paraId="1D72B352">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被保险人包括协议期间内新增的社康中心。</w:t>
      </w:r>
    </w:p>
    <w:p w14:paraId="2B96F3F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三、保险人</w:t>
      </w:r>
    </w:p>
    <w:p w14:paraId="759E1027">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四</w:t>
      </w:r>
      <w:r>
        <w:rPr>
          <w:rFonts w:hint="eastAsia" w:ascii="宋体" w:hAnsi="宋体" w:eastAsia="宋体" w:cs="宋体"/>
          <w:b w:val="0"/>
          <w:bCs w:val="0"/>
          <w:color w:val="000000"/>
          <w:kern w:val="0"/>
          <w:sz w:val="21"/>
          <w:szCs w:val="21"/>
          <w:highlight w:val="none"/>
        </w:rPr>
        <w:t>、保险对象</w:t>
      </w:r>
    </w:p>
    <w:p w14:paraId="5502098D">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五</w:t>
      </w:r>
      <w:r>
        <w:rPr>
          <w:rFonts w:hint="eastAsia" w:ascii="宋体" w:hAnsi="宋体" w:eastAsia="宋体" w:cs="宋体"/>
          <w:b w:val="0"/>
          <w:bCs w:val="0"/>
          <w:color w:val="000000"/>
          <w:kern w:val="0"/>
          <w:sz w:val="21"/>
          <w:szCs w:val="21"/>
          <w:highlight w:val="none"/>
        </w:rPr>
        <w:t>、货币单位</w:t>
      </w:r>
    </w:p>
    <w:p w14:paraId="22BC507A">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本合同中涉及的货币单位均为人民币。</w:t>
      </w:r>
    </w:p>
    <w:p w14:paraId="698AB3F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六</w:t>
      </w:r>
      <w:r>
        <w:rPr>
          <w:rFonts w:hint="eastAsia" w:ascii="宋体" w:hAnsi="宋体" w:eastAsia="宋体" w:cs="宋体"/>
          <w:b w:val="0"/>
          <w:bCs w:val="0"/>
          <w:color w:val="000000"/>
          <w:kern w:val="0"/>
          <w:sz w:val="21"/>
          <w:szCs w:val="21"/>
          <w:highlight w:val="none"/>
        </w:rPr>
        <w:t>、司法鉴定机构</w:t>
      </w:r>
    </w:p>
    <w:p w14:paraId="49959F68">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本协议所指司法鉴定机构是指具备经营资质的法定鉴定机构，包括但不限于广东省高级人民法院指定的、进入法院鉴定机构名录的机构。</w:t>
      </w:r>
    </w:p>
    <w:p w14:paraId="1196D06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七</w:t>
      </w:r>
      <w:r>
        <w:rPr>
          <w:rFonts w:hint="eastAsia" w:ascii="宋体" w:hAnsi="宋体" w:eastAsia="宋体" w:cs="宋体"/>
          <w:b w:val="0"/>
          <w:bCs w:val="0"/>
          <w:color w:val="000000"/>
          <w:kern w:val="0"/>
          <w:sz w:val="21"/>
          <w:szCs w:val="21"/>
          <w:highlight w:val="none"/>
        </w:rPr>
        <w:t>、医学会</w:t>
      </w:r>
    </w:p>
    <w:p w14:paraId="7CAA0CE6">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本协议所指医学会是指深圳市医学会或广东省医学会或中华医学会，以及其他得到广东省高级人民法院指定的、进入法院鉴定机构名录的医学会。</w:t>
      </w:r>
    </w:p>
    <w:p w14:paraId="55FD4C97">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八</w:t>
      </w:r>
      <w:r>
        <w:rPr>
          <w:rFonts w:hint="eastAsia" w:ascii="宋体" w:hAnsi="宋体" w:eastAsia="宋体" w:cs="宋体"/>
          <w:b w:val="0"/>
          <w:bCs w:val="0"/>
          <w:color w:val="000000"/>
          <w:kern w:val="0"/>
          <w:sz w:val="21"/>
          <w:szCs w:val="21"/>
          <w:highlight w:val="none"/>
        </w:rPr>
        <w:t>、仲裁院</w:t>
      </w:r>
    </w:p>
    <w:p w14:paraId="04A7214B">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本协议所指仲裁院是指深圳国际仲裁院。</w:t>
      </w:r>
    </w:p>
    <w:p w14:paraId="5F2EF5A8">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九</w:t>
      </w:r>
      <w:r>
        <w:rPr>
          <w:rFonts w:hint="eastAsia" w:ascii="宋体" w:hAnsi="宋体" w:eastAsia="宋体" w:cs="宋体"/>
          <w:b w:val="0"/>
          <w:bCs w:val="0"/>
          <w:color w:val="000000"/>
          <w:kern w:val="0"/>
          <w:sz w:val="21"/>
          <w:szCs w:val="21"/>
          <w:highlight w:val="none"/>
        </w:rPr>
        <w:t>、医调委</w:t>
      </w:r>
    </w:p>
    <w:p w14:paraId="7CC38113">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本协议所指由深圳市司法局（或区司法局）监督成立的医疗纠纷调解组织，其他机构成立的医疗纠纷调解组织不在保险合同认可范围之内。</w:t>
      </w:r>
    </w:p>
    <w:p w14:paraId="3A0BE838">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第二部分  保险责任期限</w:t>
      </w:r>
    </w:p>
    <w:p w14:paraId="5C3DBD64">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一、保险期限</w:t>
      </w:r>
    </w:p>
    <w:p w14:paraId="192BFE7A">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二、保险追溯期</w:t>
      </w:r>
    </w:p>
    <w:p w14:paraId="0C325FA5">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第三部分  承保明细表</w:t>
      </w:r>
    </w:p>
    <w:p w14:paraId="0DC9FFB4">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一、适用条款</w:t>
      </w:r>
    </w:p>
    <w:p w14:paraId="7344E6F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二、保单承保方式</w:t>
      </w:r>
    </w:p>
    <w:p w14:paraId="524E8ECA">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期内索赔制</w:t>
      </w:r>
    </w:p>
    <w:p w14:paraId="1BA2FDD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期内索赔制是指凡在保险单中列明的保险期间或追溯期内，被保险人或其医务人员在从事与其资格相符的诊疗护理活动中造成患者人身损害，患者或其近亲属及代理人首次向被保险人提出索赔申请（包括患方首次投诉时间）在保险期限内的，本保险按照合同约定予以赔偿。即保险人承担保险责任的前提条件必须是同时满足以下两个条件：</w:t>
      </w:r>
    </w:p>
    <w:p w14:paraId="043CBF1F">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（1）患者接受诊疗护理活动及因此导致人身损害的时间必须发生在保险期限或追溯期内；</w:t>
      </w:r>
    </w:p>
    <w:p w14:paraId="75384E6A">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患者或其近亲属及代理人因上述人身损害首次向被保险人提出损害赔偿请求的时间（包括患方首次投诉时间）必须在保险期限内。首次投保合同生效之日前患者或其近亲属及代理人已经对同一事由提出过索赔申请（无论之前已提出的索赔申请是否采用书面形式或再次提出索赔申请的索赔金额或事故原因等情况是否与已提出的索赔申请一致）的，保险人不负责赔偿。</w:t>
      </w:r>
    </w:p>
    <w:p w14:paraId="61ADB4C3">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三、赔偿限额</w:t>
      </w:r>
    </w:p>
    <w:p w14:paraId="6AE33A5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四、保单绝对免赔额</w:t>
      </w:r>
    </w:p>
    <w:p w14:paraId="7ADFB8DC">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每次事故      元或损失金额的    %，以高者为准。</w:t>
      </w:r>
    </w:p>
    <w:p w14:paraId="7441D07C">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五、保险费</w:t>
      </w:r>
    </w:p>
    <w:p w14:paraId="6732DE43">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大写：人民币xx元整 </w:t>
      </w:r>
    </w:p>
    <w:p w14:paraId="5D02B81E">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小写：￥xx,xxx.00元</w:t>
      </w:r>
    </w:p>
    <w:p w14:paraId="5FFEA231">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六、保险责任</w:t>
      </w:r>
    </w:p>
    <w:p w14:paraId="057A68CA">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七、保险费支付约定</w:t>
      </w:r>
    </w:p>
    <w:p w14:paraId="5BF2EB2A">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八、司法管辖</w:t>
      </w:r>
    </w:p>
    <w:p w14:paraId="4381887B">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中华人民共和国（港、澳、台除外）司法管辖</w:t>
      </w:r>
    </w:p>
    <w:p w14:paraId="54DE8C40">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第四部分  理赔处理原则</w:t>
      </w:r>
    </w:p>
    <w:p w14:paraId="69F482B7">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第五部分  理赔处理流程</w:t>
      </w:r>
    </w:p>
    <w:p w14:paraId="106E6F8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为了快捷、专业地为医疗机构提供优质服务，乙方组成了专门联合服务体系，在整个保险过程中，乙方都将在人力、专业技术、服务保障、医疗纠纷协调处理等方面给予充分的保证和支持。</w:t>
      </w:r>
    </w:p>
    <w:p w14:paraId="58159717">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（一）报案</w:t>
      </w:r>
    </w:p>
    <w:p w14:paraId="2C073686">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（二）医疗纠纷的调查取证</w:t>
      </w:r>
    </w:p>
    <w:p w14:paraId="634B9E24">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（三）技术评估</w:t>
      </w:r>
    </w:p>
    <w:p w14:paraId="5CFD96FE">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（四）损失的评估</w:t>
      </w:r>
    </w:p>
    <w:p w14:paraId="1453620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（五）保险理赔时限</w:t>
      </w:r>
    </w:p>
    <w:p w14:paraId="2B35EDF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（六）诉讼、仲裁案件</w:t>
      </w:r>
    </w:p>
    <w:p w14:paraId="55F8FCE1">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第六部分  理赔处理单证要求</w:t>
      </w:r>
    </w:p>
    <w:p w14:paraId="1B32A50F">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理赔服务中涉及报案、查勘、理赔单证等相关资料以及工作程序将由保险公司派专人与医院进行对接协调。</w:t>
      </w:r>
    </w:p>
    <w:p w14:paraId="6052733C">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第七部分  其他</w:t>
      </w:r>
    </w:p>
    <w:p w14:paraId="6FEB9150">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第八部分  投保人声明</w:t>
      </w:r>
    </w:p>
    <w:p w14:paraId="0C194D8C">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保险人已向投保人详细介绍并提供了投保险种所使用的条款，并对免除保险人责任的条款（包括但不限于责任免除、投保人被保险人义务、赔偿处理、附则等），向投保人做了明确说明，投保人已充分理解并接受上述内容，同意以此作为订立保险合同的依据。</w:t>
      </w:r>
    </w:p>
    <w:p w14:paraId="58FDB52B">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第九部分  消费者权益保护条款</w:t>
      </w:r>
    </w:p>
    <w:p w14:paraId="40E3F6F0">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第十部分  违约责任及争议处理</w:t>
      </w:r>
    </w:p>
    <w:p w14:paraId="0124F529">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乙方应按照合同履行服务约定，如有违约，甲方有权终止次年续约。甲乙双方之间的一切有关本合同的争议应通过友好协商解决。如果协商不成，可向甲方管辖地法院提起诉讼。在诉讼期间，本合同不涉及争议的条款仍须履行。</w:t>
      </w:r>
    </w:p>
    <w:p w14:paraId="5F36EB72">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第十一部分  合同的变更</w:t>
      </w:r>
    </w:p>
    <w:p w14:paraId="6E8CEE4C">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在本合同正常履行期间，合同内容的任何修改、变更，须经甲、乙双方一致书面同意。</w:t>
      </w:r>
    </w:p>
    <w:p w14:paraId="13A51032">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第十二部分  保密条款</w:t>
      </w:r>
    </w:p>
    <w:p w14:paraId="3B5C611E">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自本合同生效之日起，乙方不得将本合同涉及的所有有形、无形的信息及资料（包括但不限于各方的往来书面文字文件、电子邮件及信息、软盘资料等）泄露给其他团体或个人</w:t>
      </w:r>
    </w:p>
    <w:p w14:paraId="1FD50F6A">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第十三部分  合同组成文件</w:t>
      </w:r>
    </w:p>
    <w:p w14:paraId="393E27BF">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下列文件应被认为是组成本合同的一部分，并互为补充和解释，如各文件存在冲突之处，以甲方解释为准：</w:t>
      </w:r>
    </w:p>
    <w:p w14:paraId="50036B47">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第十四部分  法律责任</w:t>
      </w:r>
    </w:p>
    <w:p w14:paraId="67F97619">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由于本合同任何一方当事人的过错，造成本合同不能履行或者不能完全履行的，由有过错的一方依法承担违约责任；如属各方当事人的过错，则根据各方当事人过错的实际情况，由各方当事人分别承担各自应负的违约责任；</w:t>
      </w:r>
    </w:p>
    <w:p w14:paraId="5E68F61F">
      <w:pPr>
        <w:spacing w:line="360" w:lineRule="auto"/>
        <w:ind w:firstLine="411" w:firstLineChars="196"/>
        <w:jc w:val="left"/>
        <w:rPr>
          <w:rFonts w:hint="eastAsia" w:ascii="宋体" w:hAnsi="宋体" w:eastAsia="宋体" w:cs="宋体"/>
          <w:color w:val="000000"/>
          <w:kern w:val="0"/>
          <w:sz w:val="21"/>
          <w:szCs w:val="21"/>
          <w:highlight w:val="none"/>
        </w:rPr>
      </w:pPr>
    </w:p>
    <w:p w14:paraId="3C1D24F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甲方：               </w:t>
      </w:r>
    </w:p>
    <w:p w14:paraId="128FB09B">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负责人：    </w:t>
      </w:r>
    </w:p>
    <w:p w14:paraId="1804806E">
      <w:pPr>
        <w:spacing w:line="360" w:lineRule="auto"/>
        <w:ind w:firstLine="411" w:firstLineChars="196"/>
        <w:jc w:val="left"/>
        <w:rPr>
          <w:rFonts w:hint="eastAsia" w:ascii="宋体" w:hAnsi="宋体" w:eastAsia="宋体" w:cs="宋体"/>
          <w:color w:val="000000"/>
          <w:kern w:val="0"/>
          <w:sz w:val="21"/>
          <w:szCs w:val="21"/>
          <w:highlight w:val="none"/>
        </w:rPr>
      </w:pPr>
    </w:p>
    <w:p w14:paraId="46A2ED9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乙方：</w:t>
      </w:r>
    </w:p>
    <w:p w14:paraId="7332B2B6">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负责人：</w:t>
      </w:r>
    </w:p>
    <w:p w14:paraId="31E154AD">
      <w:pPr>
        <w:spacing w:line="360" w:lineRule="auto"/>
        <w:ind w:firstLine="411" w:firstLineChars="196"/>
        <w:jc w:val="left"/>
        <w:rPr>
          <w:rFonts w:hint="eastAsia" w:ascii="宋体" w:hAnsi="宋体" w:eastAsia="宋体" w:cs="宋体"/>
          <w:color w:val="000000"/>
          <w:kern w:val="0"/>
          <w:sz w:val="21"/>
          <w:szCs w:val="21"/>
          <w:highlight w:val="none"/>
        </w:rPr>
      </w:pPr>
    </w:p>
    <w:p w14:paraId="3DD2615E">
      <w:pPr>
        <w:keepNext w:val="0"/>
        <w:keepLines w:val="0"/>
        <w:widowControl/>
        <w:bidi w:val="0"/>
        <w:spacing w:before="0" w:beforeLines="0" w:beforeAutospacing="0" w:after="0" w:afterLines="0" w:afterAutospacing="0" w:line="360" w:lineRule="auto"/>
        <w:ind w:firstLine="411" w:firstLineChars="196"/>
        <w:jc w:val="left"/>
        <w:outlineLvl w:val="9"/>
        <w:rPr>
          <w:rFonts w:hint="eastAsia" w:ascii="宋体" w:hAnsi="宋体" w:eastAsia="宋体" w:cs="宋体"/>
          <w:b w:val="0"/>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合同签订日期：      年     月     日</w:t>
      </w:r>
    </w:p>
    <w:p w14:paraId="68F13E9C">
      <w:pPr>
        <w:widowControl/>
        <w:spacing w:line="360" w:lineRule="auto"/>
        <w:jc w:val="both"/>
        <w:rPr>
          <w:rFonts w:hint="eastAsia" w:ascii="仿宋" w:hAnsi="仿宋" w:eastAsia="仿宋" w:cs="仿宋"/>
          <w:sz w:val="30"/>
          <w:szCs w:val="30"/>
          <w:highlight w:val="none"/>
          <w:u w:val="single"/>
          <w:lang w:val="en-US" w:eastAsia="zh-CN"/>
        </w:rPr>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1AB74">
    <w:pPr>
      <w:pStyle w:val="33"/>
      <w:framePr w:wrap="around" w:vAnchor="text" w:hAnchor="margin" w:xAlign="center" w:y="1"/>
      <w:rPr>
        <w:rStyle w:val="56"/>
      </w:rPr>
    </w:pPr>
    <w:r>
      <w:rPr>
        <w:rStyle w:val="56"/>
      </w:rPr>
      <w:fldChar w:fldCharType="begin"/>
    </w:r>
    <w:r>
      <w:rPr>
        <w:rStyle w:val="56"/>
      </w:rPr>
      <w:instrText xml:space="preserve">PAGE  </w:instrText>
    </w:r>
    <w:r>
      <w:rPr>
        <w:rStyle w:val="56"/>
      </w:rPr>
      <w:fldChar w:fldCharType="separate"/>
    </w:r>
    <w:r>
      <w:rPr>
        <w:rStyle w:val="56"/>
      </w:rPr>
      <w:t>5</w:t>
    </w:r>
    <w:r>
      <w:rPr>
        <w:rStyle w:val="56"/>
      </w:rPr>
      <w:fldChar w:fldCharType="end"/>
    </w:r>
  </w:p>
  <w:p w14:paraId="1F51AF9D">
    <w:pPr>
      <w:pStyle w:val="33"/>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C77D">
    <w:pPr>
      <w:pStyle w:val="34"/>
      <w:tabs>
        <w:tab w:val="center" w:pos="4819"/>
        <w:tab w:val="right" w:pos="9638"/>
      </w:tabs>
      <w:jc w:val="left"/>
      <w:rPr>
        <w:rFonts w:hint="eastAsia" w:ascii="宋体" w:hAnsi="宋体"/>
      </w:rPr>
    </w:pPr>
    <w:r>
      <w:rPr>
        <w:rFonts w:hint="eastAsia" w:ascii="宋体" w:hAnsi="宋体"/>
      </w:rPr>
      <w:t>项目名称：</w:t>
    </w:r>
    <w:r>
      <w:rPr>
        <w:rFonts w:hint="eastAsia" w:ascii="宋体" w:hAnsi="宋体"/>
        <w:lang w:eastAsia="zh-CN"/>
      </w:rPr>
      <w:t>2026年度医疗责任保险（重新采购第1次）</w:t>
    </w:r>
    <w:r>
      <w:rPr>
        <w:rFonts w:hint="eastAsia" w:ascii="宋体" w:hAnsi="宋体"/>
      </w:rPr>
      <w:t xml:space="preserve"> </w:t>
    </w:r>
  </w:p>
  <w:p w14:paraId="77454E49">
    <w:pPr>
      <w:pStyle w:val="34"/>
      <w:tabs>
        <w:tab w:val="center" w:pos="4819"/>
        <w:tab w:val="right" w:pos="9638"/>
      </w:tabs>
      <w:jc w:val="left"/>
      <w:rPr>
        <w:rFonts w:hint="eastAsia" w:ascii="宋体" w:hAnsi="宋体" w:eastAsia="宋体"/>
        <w:lang w:eastAsia="zh-CN"/>
      </w:rPr>
    </w:pPr>
    <w:r>
      <w:rPr>
        <w:rFonts w:hint="eastAsia" w:ascii="宋体" w:hAnsi="宋体"/>
      </w:rPr>
      <w:t>项目编号：</w:t>
    </w:r>
    <w:r>
      <w:rPr>
        <w:rFonts w:hint="eastAsia" w:ascii="宋体" w:hAnsi="宋体"/>
        <w:lang w:eastAsia="zh-CN"/>
      </w:rPr>
      <w:t>LGZXDL-2026-00802（LGQRMYY-2026002A）</w:t>
    </w:r>
  </w:p>
  <w:p w14:paraId="64FBD516">
    <w:pPr>
      <w:pStyle w:val="34"/>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99CC2B"/>
    <w:multiLevelType w:val="singleLevel"/>
    <w:tmpl w:val="9399CC2B"/>
    <w:lvl w:ilvl="0" w:tentative="0">
      <w:start w:val="1"/>
      <w:numFmt w:val="decimal"/>
      <w:suff w:val="space"/>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1"/>
    <w:multiLevelType w:val="multilevel"/>
    <w:tmpl w:val="00000001"/>
    <w:lvl w:ilvl="0" w:tentative="0">
      <w:start w:val="1"/>
      <w:numFmt w:val="decimal"/>
      <w:pStyle w:val="400"/>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02"/>
    <w:multiLevelType w:val="multilevel"/>
    <w:tmpl w:val="00000002"/>
    <w:lvl w:ilvl="0" w:tentative="0">
      <w:start w:val="1"/>
      <w:numFmt w:val="japaneseCounting"/>
      <w:pStyle w:val="25"/>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3"/>
    <w:multiLevelType w:val="multilevel"/>
    <w:tmpl w:val="00000003"/>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5">
    <w:nsid w:val="04FF9E9E"/>
    <w:multiLevelType w:val="singleLevel"/>
    <w:tmpl w:val="04FF9E9E"/>
    <w:lvl w:ilvl="0" w:tentative="0">
      <w:start w:val="2"/>
      <w:numFmt w:val="decimal"/>
      <w:suff w:val="nothing"/>
      <w:lvlText w:val="%1、"/>
      <w:lvlJc w:val="left"/>
    </w:lvl>
  </w:abstractNum>
  <w:abstractNum w:abstractNumId="6">
    <w:nsid w:val="5060E267"/>
    <w:multiLevelType w:val="singleLevel"/>
    <w:tmpl w:val="5060E267"/>
    <w:lvl w:ilvl="0" w:tentative="0">
      <w:start w:val="1"/>
      <w:numFmt w:val="decimal"/>
      <w:suff w:val="nothing"/>
      <w:lvlText w:val="%1、"/>
      <w:lvlJc w:val="left"/>
    </w:lvl>
  </w:abstractNum>
  <w:abstractNum w:abstractNumId="7">
    <w:nsid w:val="7ECD554B"/>
    <w:multiLevelType w:val="multilevel"/>
    <w:tmpl w:val="7ECD554B"/>
    <w:lvl w:ilvl="0" w:tentative="0">
      <w:start w:val="1"/>
      <w:numFmt w:val="decimal"/>
      <w:pStyle w:val="17"/>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num w:numId="1">
    <w:abstractNumId w:val="7"/>
  </w:num>
  <w:num w:numId="2">
    <w:abstractNumId w:val="3"/>
  </w:num>
  <w:num w:numId="3">
    <w:abstractNumId w:val="2"/>
  </w:num>
  <w:num w:numId="4">
    <w:abstractNumId w:val="0"/>
  </w:num>
  <w:num w:numId="5">
    <w:abstractNumId w:val="6"/>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WM2YmRlNDU3NGEzNjI1NDQyMDllNWVlNzk1MzhhMzIifQ=="/>
  </w:docVars>
  <w:rsids>
    <w:rsidRoot w:val="00073A58"/>
    <w:rsid w:val="00006698"/>
    <w:rsid w:val="00011290"/>
    <w:rsid w:val="00015B64"/>
    <w:rsid w:val="00020A40"/>
    <w:rsid w:val="00023C12"/>
    <w:rsid w:val="00036C5A"/>
    <w:rsid w:val="0004607B"/>
    <w:rsid w:val="00051BB2"/>
    <w:rsid w:val="000573A6"/>
    <w:rsid w:val="00073A58"/>
    <w:rsid w:val="000B35C8"/>
    <w:rsid w:val="000B6F26"/>
    <w:rsid w:val="000E3549"/>
    <w:rsid w:val="000E5F74"/>
    <w:rsid w:val="000F78C8"/>
    <w:rsid w:val="001063E7"/>
    <w:rsid w:val="00121C23"/>
    <w:rsid w:val="00124013"/>
    <w:rsid w:val="00124DE1"/>
    <w:rsid w:val="00126E79"/>
    <w:rsid w:val="00140B17"/>
    <w:rsid w:val="001741A4"/>
    <w:rsid w:val="001756A7"/>
    <w:rsid w:val="001914AB"/>
    <w:rsid w:val="001948AD"/>
    <w:rsid w:val="001A7D2B"/>
    <w:rsid w:val="001C7FE3"/>
    <w:rsid w:val="001E11F1"/>
    <w:rsid w:val="001E776B"/>
    <w:rsid w:val="001F078B"/>
    <w:rsid w:val="001F1CF0"/>
    <w:rsid w:val="002020A8"/>
    <w:rsid w:val="00203D7D"/>
    <w:rsid w:val="00213F9F"/>
    <w:rsid w:val="00250B67"/>
    <w:rsid w:val="002555CA"/>
    <w:rsid w:val="00260905"/>
    <w:rsid w:val="0027254F"/>
    <w:rsid w:val="00286DB8"/>
    <w:rsid w:val="00294AF3"/>
    <w:rsid w:val="002A093B"/>
    <w:rsid w:val="002A12FA"/>
    <w:rsid w:val="002B31AB"/>
    <w:rsid w:val="002D2AB7"/>
    <w:rsid w:val="002E0EC4"/>
    <w:rsid w:val="002F03CE"/>
    <w:rsid w:val="00313EF5"/>
    <w:rsid w:val="003163CA"/>
    <w:rsid w:val="00320ADE"/>
    <w:rsid w:val="003219B6"/>
    <w:rsid w:val="00364C74"/>
    <w:rsid w:val="00367ED1"/>
    <w:rsid w:val="00374E88"/>
    <w:rsid w:val="00387EC8"/>
    <w:rsid w:val="00395C76"/>
    <w:rsid w:val="003A7269"/>
    <w:rsid w:val="003B0B0F"/>
    <w:rsid w:val="003B213F"/>
    <w:rsid w:val="003B56DE"/>
    <w:rsid w:val="003D1A03"/>
    <w:rsid w:val="003E4E8A"/>
    <w:rsid w:val="00421084"/>
    <w:rsid w:val="00424850"/>
    <w:rsid w:val="00431EBD"/>
    <w:rsid w:val="00436AE2"/>
    <w:rsid w:val="00452666"/>
    <w:rsid w:val="00464631"/>
    <w:rsid w:val="004731ED"/>
    <w:rsid w:val="00493E17"/>
    <w:rsid w:val="004B0F90"/>
    <w:rsid w:val="004C5FD9"/>
    <w:rsid w:val="004C7381"/>
    <w:rsid w:val="004E1F1D"/>
    <w:rsid w:val="004F0481"/>
    <w:rsid w:val="00535C22"/>
    <w:rsid w:val="00552CA8"/>
    <w:rsid w:val="00556420"/>
    <w:rsid w:val="0058588C"/>
    <w:rsid w:val="00595BC2"/>
    <w:rsid w:val="005B3C6B"/>
    <w:rsid w:val="005B45FA"/>
    <w:rsid w:val="005E03C4"/>
    <w:rsid w:val="00631ABF"/>
    <w:rsid w:val="006614AD"/>
    <w:rsid w:val="0066596F"/>
    <w:rsid w:val="006859F3"/>
    <w:rsid w:val="00697293"/>
    <w:rsid w:val="006D5D74"/>
    <w:rsid w:val="006F60A0"/>
    <w:rsid w:val="007114E2"/>
    <w:rsid w:val="00742824"/>
    <w:rsid w:val="007542B7"/>
    <w:rsid w:val="00777B3B"/>
    <w:rsid w:val="00795B94"/>
    <w:rsid w:val="007B4BEE"/>
    <w:rsid w:val="007B4EE7"/>
    <w:rsid w:val="007C3B48"/>
    <w:rsid w:val="007C45B2"/>
    <w:rsid w:val="007E7669"/>
    <w:rsid w:val="007F4FD8"/>
    <w:rsid w:val="00803DC0"/>
    <w:rsid w:val="00810B4B"/>
    <w:rsid w:val="00814423"/>
    <w:rsid w:val="008722D7"/>
    <w:rsid w:val="00883C59"/>
    <w:rsid w:val="00886986"/>
    <w:rsid w:val="008878A0"/>
    <w:rsid w:val="008C6C96"/>
    <w:rsid w:val="008E38EC"/>
    <w:rsid w:val="008F2898"/>
    <w:rsid w:val="00927A58"/>
    <w:rsid w:val="009654F8"/>
    <w:rsid w:val="00966BDF"/>
    <w:rsid w:val="009C1230"/>
    <w:rsid w:val="009C6578"/>
    <w:rsid w:val="009E1921"/>
    <w:rsid w:val="00A1258E"/>
    <w:rsid w:val="00A15BF2"/>
    <w:rsid w:val="00A21A00"/>
    <w:rsid w:val="00A300F8"/>
    <w:rsid w:val="00A46B01"/>
    <w:rsid w:val="00A47108"/>
    <w:rsid w:val="00A67C72"/>
    <w:rsid w:val="00A71BE3"/>
    <w:rsid w:val="00A9010E"/>
    <w:rsid w:val="00A91059"/>
    <w:rsid w:val="00AD2F0D"/>
    <w:rsid w:val="00AD7023"/>
    <w:rsid w:val="00AD7639"/>
    <w:rsid w:val="00AF0335"/>
    <w:rsid w:val="00AF7EBC"/>
    <w:rsid w:val="00B072C2"/>
    <w:rsid w:val="00B21854"/>
    <w:rsid w:val="00B36340"/>
    <w:rsid w:val="00B41645"/>
    <w:rsid w:val="00B41CF3"/>
    <w:rsid w:val="00B5563D"/>
    <w:rsid w:val="00B66E2A"/>
    <w:rsid w:val="00B67545"/>
    <w:rsid w:val="00B70398"/>
    <w:rsid w:val="00B73CE0"/>
    <w:rsid w:val="00B803B1"/>
    <w:rsid w:val="00B84746"/>
    <w:rsid w:val="00BC2BA1"/>
    <w:rsid w:val="00BC5CF9"/>
    <w:rsid w:val="00BC6297"/>
    <w:rsid w:val="00BD0976"/>
    <w:rsid w:val="00BD2B7B"/>
    <w:rsid w:val="00BD4A60"/>
    <w:rsid w:val="00BE3019"/>
    <w:rsid w:val="00BE3526"/>
    <w:rsid w:val="00C24089"/>
    <w:rsid w:val="00C2767A"/>
    <w:rsid w:val="00C52EEB"/>
    <w:rsid w:val="00C60BAC"/>
    <w:rsid w:val="00C715C7"/>
    <w:rsid w:val="00C81005"/>
    <w:rsid w:val="00C97216"/>
    <w:rsid w:val="00CA5370"/>
    <w:rsid w:val="00CC2F1F"/>
    <w:rsid w:val="00CE3130"/>
    <w:rsid w:val="00CE58CE"/>
    <w:rsid w:val="00CE5BB8"/>
    <w:rsid w:val="00CF0FA6"/>
    <w:rsid w:val="00D011CE"/>
    <w:rsid w:val="00D1068E"/>
    <w:rsid w:val="00D14EA0"/>
    <w:rsid w:val="00D17A76"/>
    <w:rsid w:val="00D23E02"/>
    <w:rsid w:val="00D27DD4"/>
    <w:rsid w:val="00D40FFA"/>
    <w:rsid w:val="00D41C7D"/>
    <w:rsid w:val="00D43677"/>
    <w:rsid w:val="00D517B8"/>
    <w:rsid w:val="00D8265A"/>
    <w:rsid w:val="00D86F09"/>
    <w:rsid w:val="00D902C8"/>
    <w:rsid w:val="00DA1DD7"/>
    <w:rsid w:val="00DB19CC"/>
    <w:rsid w:val="00DB5704"/>
    <w:rsid w:val="00DB7C13"/>
    <w:rsid w:val="00DE3557"/>
    <w:rsid w:val="00DE3565"/>
    <w:rsid w:val="00DF12A3"/>
    <w:rsid w:val="00E07FD1"/>
    <w:rsid w:val="00E10BE4"/>
    <w:rsid w:val="00E36C3B"/>
    <w:rsid w:val="00E546BE"/>
    <w:rsid w:val="00E66F50"/>
    <w:rsid w:val="00E85808"/>
    <w:rsid w:val="00E87F0F"/>
    <w:rsid w:val="00EA1B0C"/>
    <w:rsid w:val="00EA3E67"/>
    <w:rsid w:val="00EB51F3"/>
    <w:rsid w:val="00EB6D25"/>
    <w:rsid w:val="00EC0946"/>
    <w:rsid w:val="00EC50B3"/>
    <w:rsid w:val="00EC7B33"/>
    <w:rsid w:val="00EF01F0"/>
    <w:rsid w:val="00EF0476"/>
    <w:rsid w:val="00F329BB"/>
    <w:rsid w:val="00F474AC"/>
    <w:rsid w:val="00F479A5"/>
    <w:rsid w:val="00F47FC5"/>
    <w:rsid w:val="00F80400"/>
    <w:rsid w:val="00FA506F"/>
    <w:rsid w:val="00FA5C2E"/>
    <w:rsid w:val="00FB0D15"/>
    <w:rsid w:val="00FB70FC"/>
    <w:rsid w:val="00FD3959"/>
    <w:rsid w:val="00FD771B"/>
    <w:rsid w:val="00FE7DC5"/>
    <w:rsid w:val="00FF274F"/>
    <w:rsid w:val="01172A03"/>
    <w:rsid w:val="012515C4"/>
    <w:rsid w:val="013E2686"/>
    <w:rsid w:val="01483505"/>
    <w:rsid w:val="01545A05"/>
    <w:rsid w:val="016C0FA1"/>
    <w:rsid w:val="01730508"/>
    <w:rsid w:val="01C261B9"/>
    <w:rsid w:val="01E274B5"/>
    <w:rsid w:val="02005B8D"/>
    <w:rsid w:val="0213141D"/>
    <w:rsid w:val="022C24DE"/>
    <w:rsid w:val="022E6257"/>
    <w:rsid w:val="02474DED"/>
    <w:rsid w:val="024B505A"/>
    <w:rsid w:val="025B2DC4"/>
    <w:rsid w:val="0299351D"/>
    <w:rsid w:val="02B246DC"/>
    <w:rsid w:val="02BF3353"/>
    <w:rsid w:val="02CD301E"/>
    <w:rsid w:val="02DA3425"/>
    <w:rsid w:val="03062D2F"/>
    <w:rsid w:val="031F3DF1"/>
    <w:rsid w:val="034018FF"/>
    <w:rsid w:val="03661A20"/>
    <w:rsid w:val="036B5288"/>
    <w:rsid w:val="03906F4F"/>
    <w:rsid w:val="03C53EEA"/>
    <w:rsid w:val="03FA6D38"/>
    <w:rsid w:val="042A0CA0"/>
    <w:rsid w:val="04316DEE"/>
    <w:rsid w:val="04A94FDC"/>
    <w:rsid w:val="04B50EB1"/>
    <w:rsid w:val="04F80D9E"/>
    <w:rsid w:val="05034379"/>
    <w:rsid w:val="052D6C99"/>
    <w:rsid w:val="056D178C"/>
    <w:rsid w:val="05706E5C"/>
    <w:rsid w:val="05976809"/>
    <w:rsid w:val="05A6639B"/>
    <w:rsid w:val="05B86E29"/>
    <w:rsid w:val="05C375AD"/>
    <w:rsid w:val="05D77A88"/>
    <w:rsid w:val="05E51322"/>
    <w:rsid w:val="05EA6B19"/>
    <w:rsid w:val="05F501C5"/>
    <w:rsid w:val="06450013"/>
    <w:rsid w:val="069D39AB"/>
    <w:rsid w:val="06BB2651"/>
    <w:rsid w:val="06D80E87"/>
    <w:rsid w:val="071A324D"/>
    <w:rsid w:val="07612C2A"/>
    <w:rsid w:val="0761648D"/>
    <w:rsid w:val="076D5A73"/>
    <w:rsid w:val="07832BA1"/>
    <w:rsid w:val="07854B6B"/>
    <w:rsid w:val="07C733D5"/>
    <w:rsid w:val="07CD07F3"/>
    <w:rsid w:val="081E6049"/>
    <w:rsid w:val="08393BA7"/>
    <w:rsid w:val="083E4BF0"/>
    <w:rsid w:val="08646E76"/>
    <w:rsid w:val="08BA6A96"/>
    <w:rsid w:val="08DD0B8C"/>
    <w:rsid w:val="091A0E76"/>
    <w:rsid w:val="092108C3"/>
    <w:rsid w:val="09660687"/>
    <w:rsid w:val="097D56CF"/>
    <w:rsid w:val="09862E1C"/>
    <w:rsid w:val="09DC47EA"/>
    <w:rsid w:val="0A043E81"/>
    <w:rsid w:val="0A20501F"/>
    <w:rsid w:val="0A2F6403"/>
    <w:rsid w:val="0A4A5BF8"/>
    <w:rsid w:val="0AE80976"/>
    <w:rsid w:val="0B3537E8"/>
    <w:rsid w:val="0B4368DB"/>
    <w:rsid w:val="0B565E48"/>
    <w:rsid w:val="0BB974D9"/>
    <w:rsid w:val="0C56527D"/>
    <w:rsid w:val="0C6C454B"/>
    <w:rsid w:val="0CBB4B8B"/>
    <w:rsid w:val="0CD81BE1"/>
    <w:rsid w:val="0CE265BB"/>
    <w:rsid w:val="0CE84A75"/>
    <w:rsid w:val="0CF956B3"/>
    <w:rsid w:val="0D1150F2"/>
    <w:rsid w:val="0D521B2A"/>
    <w:rsid w:val="0D6F0DB1"/>
    <w:rsid w:val="0D9D1FC6"/>
    <w:rsid w:val="0D9D74EB"/>
    <w:rsid w:val="0DFE35DB"/>
    <w:rsid w:val="0E5057A7"/>
    <w:rsid w:val="0E770F85"/>
    <w:rsid w:val="0E8518F4"/>
    <w:rsid w:val="0ECA7307"/>
    <w:rsid w:val="0F056591"/>
    <w:rsid w:val="0F06164F"/>
    <w:rsid w:val="0F06693D"/>
    <w:rsid w:val="0F2D3FA2"/>
    <w:rsid w:val="0F331226"/>
    <w:rsid w:val="0F3975B4"/>
    <w:rsid w:val="0F4F660B"/>
    <w:rsid w:val="0F515C7A"/>
    <w:rsid w:val="0FB51D65"/>
    <w:rsid w:val="0FBD0C1A"/>
    <w:rsid w:val="0FE905D1"/>
    <w:rsid w:val="101822F4"/>
    <w:rsid w:val="103B3E0D"/>
    <w:rsid w:val="103B4960"/>
    <w:rsid w:val="10482BD9"/>
    <w:rsid w:val="11074842"/>
    <w:rsid w:val="110F2985"/>
    <w:rsid w:val="112234DC"/>
    <w:rsid w:val="11290C5D"/>
    <w:rsid w:val="112E0021"/>
    <w:rsid w:val="11421D1E"/>
    <w:rsid w:val="11427949"/>
    <w:rsid w:val="117F6ACF"/>
    <w:rsid w:val="11C646FD"/>
    <w:rsid w:val="11D73D2B"/>
    <w:rsid w:val="11DC5CCF"/>
    <w:rsid w:val="120D7343"/>
    <w:rsid w:val="121E62E8"/>
    <w:rsid w:val="123003A2"/>
    <w:rsid w:val="12716202"/>
    <w:rsid w:val="127203E1"/>
    <w:rsid w:val="1302137F"/>
    <w:rsid w:val="132C233E"/>
    <w:rsid w:val="133438E9"/>
    <w:rsid w:val="13767A5D"/>
    <w:rsid w:val="137B1518"/>
    <w:rsid w:val="13801782"/>
    <w:rsid w:val="13CE1647"/>
    <w:rsid w:val="13DF1AA7"/>
    <w:rsid w:val="14045069"/>
    <w:rsid w:val="14096B23"/>
    <w:rsid w:val="141C1C2F"/>
    <w:rsid w:val="142B6A9A"/>
    <w:rsid w:val="1436664D"/>
    <w:rsid w:val="143A0A8B"/>
    <w:rsid w:val="14787805"/>
    <w:rsid w:val="148443FC"/>
    <w:rsid w:val="14B30CFC"/>
    <w:rsid w:val="14C52A4A"/>
    <w:rsid w:val="14DC45CF"/>
    <w:rsid w:val="14E07884"/>
    <w:rsid w:val="159B19FD"/>
    <w:rsid w:val="15D55C6E"/>
    <w:rsid w:val="16344858"/>
    <w:rsid w:val="16461969"/>
    <w:rsid w:val="165B2F3A"/>
    <w:rsid w:val="16833EB6"/>
    <w:rsid w:val="168340B4"/>
    <w:rsid w:val="16DE4297"/>
    <w:rsid w:val="1713221D"/>
    <w:rsid w:val="174C16BC"/>
    <w:rsid w:val="174D6D27"/>
    <w:rsid w:val="17554377"/>
    <w:rsid w:val="17563E2E"/>
    <w:rsid w:val="179655BC"/>
    <w:rsid w:val="17BF70EE"/>
    <w:rsid w:val="17D73118"/>
    <w:rsid w:val="17FA6EAF"/>
    <w:rsid w:val="1821268E"/>
    <w:rsid w:val="183F702F"/>
    <w:rsid w:val="18584184"/>
    <w:rsid w:val="18702CCD"/>
    <w:rsid w:val="188034A7"/>
    <w:rsid w:val="189270E7"/>
    <w:rsid w:val="18932F4B"/>
    <w:rsid w:val="18D94D16"/>
    <w:rsid w:val="19040553"/>
    <w:rsid w:val="19466124"/>
    <w:rsid w:val="198F1879"/>
    <w:rsid w:val="199E1ABC"/>
    <w:rsid w:val="19A03A86"/>
    <w:rsid w:val="19C67441"/>
    <w:rsid w:val="19D90D46"/>
    <w:rsid w:val="1A0A53A3"/>
    <w:rsid w:val="1A1104E0"/>
    <w:rsid w:val="1A116732"/>
    <w:rsid w:val="1A4F223F"/>
    <w:rsid w:val="1A530AF8"/>
    <w:rsid w:val="1A89276C"/>
    <w:rsid w:val="1ABD2416"/>
    <w:rsid w:val="1AEE25CF"/>
    <w:rsid w:val="1B7E3953"/>
    <w:rsid w:val="1B8B23C3"/>
    <w:rsid w:val="1BAB226E"/>
    <w:rsid w:val="1BAD248A"/>
    <w:rsid w:val="1BFC2ACA"/>
    <w:rsid w:val="1C033E58"/>
    <w:rsid w:val="1C197B20"/>
    <w:rsid w:val="1C6B037B"/>
    <w:rsid w:val="1C705992"/>
    <w:rsid w:val="1C76287C"/>
    <w:rsid w:val="1D7E40DE"/>
    <w:rsid w:val="1D7F1C04"/>
    <w:rsid w:val="1D8B05A9"/>
    <w:rsid w:val="1DDB7433"/>
    <w:rsid w:val="1E0F11DA"/>
    <w:rsid w:val="1E592455"/>
    <w:rsid w:val="1E635082"/>
    <w:rsid w:val="1ED86D4C"/>
    <w:rsid w:val="1EF95068"/>
    <w:rsid w:val="1F8843FC"/>
    <w:rsid w:val="1FB43DE7"/>
    <w:rsid w:val="1FD55B0C"/>
    <w:rsid w:val="20126D60"/>
    <w:rsid w:val="201400DE"/>
    <w:rsid w:val="20684BD2"/>
    <w:rsid w:val="207D2D54"/>
    <w:rsid w:val="20832566"/>
    <w:rsid w:val="208E288A"/>
    <w:rsid w:val="20A2271B"/>
    <w:rsid w:val="20B147CB"/>
    <w:rsid w:val="20FF5536"/>
    <w:rsid w:val="217575A6"/>
    <w:rsid w:val="21985BE7"/>
    <w:rsid w:val="22093CF7"/>
    <w:rsid w:val="221040FE"/>
    <w:rsid w:val="22474B56"/>
    <w:rsid w:val="227821C1"/>
    <w:rsid w:val="22951F2D"/>
    <w:rsid w:val="22993768"/>
    <w:rsid w:val="22E06CA1"/>
    <w:rsid w:val="23071485"/>
    <w:rsid w:val="235F22BC"/>
    <w:rsid w:val="23BD17E3"/>
    <w:rsid w:val="23DE7685"/>
    <w:rsid w:val="240B2444"/>
    <w:rsid w:val="24262DDA"/>
    <w:rsid w:val="24523BCF"/>
    <w:rsid w:val="24653902"/>
    <w:rsid w:val="2466767A"/>
    <w:rsid w:val="247C0C4C"/>
    <w:rsid w:val="247C4A71"/>
    <w:rsid w:val="248874F6"/>
    <w:rsid w:val="248F2C00"/>
    <w:rsid w:val="24AA6DC4"/>
    <w:rsid w:val="24CA7C09"/>
    <w:rsid w:val="24DB0F2F"/>
    <w:rsid w:val="24FC3F3E"/>
    <w:rsid w:val="25695674"/>
    <w:rsid w:val="25711A56"/>
    <w:rsid w:val="25AE6362"/>
    <w:rsid w:val="25BA170C"/>
    <w:rsid w:val="260C2602"/>
    <w:rsid w:val="2610789E"/>
    <w:rsid w:val="261F3F85"/>
    <w:rsid w:val="2622686D"/>
    <w:rsid w:val="26240F0C"/>
    <w:rsid w:val="266F2DDD"/>
    <w:rsid w:val="26794A16"/>
    <w:rsid w:val="26A85D28"/>
    <w:rsid w:val="26C62652"/>
    <w:rsid w:val="26E256DE"/>
    <w:rsid w:val="271138CD"/>
    <w:rsid w:val="272F69CE"/>
    <w:rsid w:val="274E0EEF"/>
    <w:rsid w:val="278422F1"/>
    <w:rsid w:val="27912C60"/>
    <w:rsid w:val="27A45BF5"/>
    <w:rsid w:val="27DE7716"/>
    <w:rsid w:val="27FA6A57"/>
    <w:rsid w:val="28040188"/>
    <w:rsid w:val="280E42B1"/>
    <w:rsid w:val="28212236"/>
    <w:rsid w:val="287F6F5C"/>
    <w:rsid w:val="28846321"/>
    <w:rsid w:val="28AF339E"/>
    <w:rsid w:val="28B27332"/>
    <w:rsid w:val="292F44DF"/>
    <w:rsid w:val="29341AF5"/>
    <w:rsid w:val="29AA1DB7"/>
    <w:rsid w:val="29C20384"/>
    <w:rsid w:val="29CA6637"/>
    <w:rsid w:val="29D14C31"/>
    <w:rsid w:val="29F01EC0"/>
    <w:rsid w:val="2A3F69A3"/>
    <w:rsid w:val="2A720B27"/>
    <w:rsid w:val="2AE61515"/>
    <w:rsid w:val="2B261206"/>
    <w:rsid w:val="2B307DCF"/>
    <w:rsid w:val="2B62521D"/>
    <w:rsid w:val="2B7D7783"/>
    <w:rsid w:val="2B836D64"/>
    <w:rsid w:val="2B894233"/>
    <w:rsid w:val="2C1B0D4A"/>
    <w:rsid w:val="2C6170A5"/>
    <w:rsid w:val="2C8156C5"/>
    <w:rsid w:val="2C921B0A"/>
    <w:rsid w:val="2D202ABC"/>
    <w:rsid w:val="2D247924"/>
    <w:rsid w:val="2D2F0F51"/>
    <w:rsid w:val="2D300512"/>
    <w:rsid w:val="2D611093"/>
    <w:rsid w:val="2D8F379E"/>
    <w:rsid w:val="2D940EA8"/>
    <w:rsid w:val="2DA2383B"/>
    <w:rsid w:val="2DB8031C"/>
    <w:rsid w:val="2DBB0A37"/>
    <w:rsid w:val="2DD83397"/>
    <w:rsid w:val="2DDD3AA0"/>
    <w:rsid w:val="2E1161C9"/>
    <w:rsid w:val="2E5A1FFE"/>
    <w:rsid w:val="2EBF6305"/>
    <w:rsid w:val="2F034443"/>
    <w:rsid w:val="2F162BDB"/>
    <w:rsid w:val="2F3A598B"/>
    <w:rsid w:val="2F3E191F"/>
    <w:rsid w:val="2F4053B4"/>
    <w:rsid w:val="2F6D637B"/>
    <w:rsid w:val="2F947237"/>
    <w:rsid w:val="30077F63"/>
    <w:rsid w:val="301306B6"/>
    <w:rsid w:val="304E047D"/>
    <w:rsid w:val="309D61D2"/>
    <w:rsid w:val="31140B8A"/>
    <w:rsid w:val="31523460"/>
    <w:rsid w:val="31742C42"/>
    <w:rsid w:val="31A33CBC"/>
    <w:rsid w:val="31BC0566"/>
    <w:rsid w:val="3231017E"/>
    <w:rsid w:val="32494863"/>
    <w:rsid w:val="325F5E35"/>
    <w:rsid w:val="32B815D2"/>
    <w:rsid w:val="32BF68D3"/>
    <w:rsid w:val="32CE2FBA"/>
    <w:rsid w:val="331210F9"/>
    <w:rsid w:val="333A648A"/>
    <w:rsid w:val="335B49CB"/>
    <w:rsid w:val="33A51F6D"/>
    <w:rsid w:val="33AE7649"/>
    <w:rsid w:val="342D5ABF"/>
    <w:rsid w:val="342E05FB"/>
    <w:rsid w:val="345179FF"/>
    <w:rsid w:val="34BB756E"/>
    <w:rsid w:val="34DD74E5"/>
    <w:rsid w:val="35170C48"/>
    <w:rsid w:val="35207F94"/>
    <w:rsid w:val="35260DFF"/>
    <w:rsid w:val="3538296D"/>
    <w:rsid w:val="35F42690"/>
    <w:rsid w:val="366A14CB"/>
    <w:rsid w:val="367125DA"/>
    <w:rsid w:val="36713175"/>
    <w:rsid w:val="36730100"/>
    <w:rsid w:val="36B23791"/>
    <w:rsid w:val="36C11399"/>
    <w:rsid w:val="36C344B8"/>
    <w:rsid w:val="36C40EA1"/>
    <w:rsid w:val="371F620A"/>
    <w:rsid w:val="372C4753"/>
    <w:rsid w:val="37502563"/>
    <w:rsid w:val="37757EA8"/>
    <w:rsid w:val="379528C6"/>
    <w:rsid w:val="37A20571"/>
    <w:rsid w:val="37B564F7"/>
    <w:rsid w:val="37F95BA7"/>
    <w:rsid w:val="3801173C"/>
    <w:rsid w:val="38123949"/>
    <w:rsid w:val="382D5FA0"/>
    <w:rsid w:val="382E1E58"/>
    <w:rsid w:val="383218F5"/>
    <w:rsid w:val="383438BF"/>
    <w:rsid w:val="383B4C4E"/>
    <w:rsid w:val="3851222B"/>
    <w:rsid w:val="38726196"/>
    <w:rsid w:val="387D5266"/>
    <w:rsid w:val="38BE762D"/>
    <w:rsid w:val="391536F1"/>
    <w:rsid w:val="39392C1C"/>
    <w:rsid w:val="395E1608"/>
    <w:rsid w:val="39754190"/>
    <w:rsid w:val="39886D15"/>
    <w:rsid w:val="39932868"/>
    <w:rsid w:val="399D1DD6"/>
    <w:rsid w:val="3A013C75"/>
    <w:rsid w:val="3A1413DB"/>
    <w:rsid w:val="3A2762EE"/>
    <w:rsid w:val="3A5F231C"/>
    <w:rsid w:val="3AA0523C"/>
    <w:rsid w:val="3AD1189A"/>
    <w:rsid w:val="3AD54DCB"/>
    <w:rsid w:val="3B0408DD"/>
    <w:rsid w:val="3B091033"/>
    <w:rsid w:val="3B1C1B01"/>
    <w:rsid w:val="3B39499C"/>
    <w:rsid w:val="3B514D07"/>
    <w:rsid w:val="3B567FF1"/>
    <w:rsid w:val="3B866620"/>
    <w:rsid w:val="3B914B85"/>
    <w:rsid w:val="3BB70A8F"/>
    <w:rsid w:val="3BCE402B"/>
    <w:rsid w:val="3BD0786E"/>
    <w:rsid w:val="3CCD7E3F"/>
    <w:rsid w:val="3D595B76"/>
    <w:rsid w:val="3DB1150E"/>
    <w:rsid w:val="3DF80EEB"/>
    <w:rsid w:val="3E691DE9"/>
    <w:rsid w:val="3E7B2671"/>
    <w:rsid w:val="3ECA2888"/>
    <w:rsid w:val="3ED7217B"/>
    <w:rsid w:val="3ED86169"/>
    <w:rsid w:val="3EE576C2"/>
    <w:rsid w:val="3EE8492E"/>
    <w:rsid w:val="3F364027"/>
    <w:rsid w:val="3F473ED8"/>
    <w:rsid w:val="3F6D3C7B"/>
    <w:rsid w:val="3F79605C"/>
    <w:rsid w:val="3F8F3FC4"/>
    <w:rsid w:val="3FC50026"/>
    <w:rsid w:val="400E49F6"/>
    <w:rsid w:val="40447564"/>
    <w:rsid w:val="40520A72"/>
    <w:rsid w:val="40E90FBF"/>
    <w:rsid w:val="412B1985"/>
    <w:rsid w:val="41466C64"/>
    <w:rsid w:val="415E19AD"/>
    <w:rsid w:val="41823CCA"/>
    <w:rsid w:val="4194717D"/>
    <w:rsid w:val="41C42D6E"/>
    <w:rsid w:val="420E6F2F"/>
    <w:rsid w:val="427F0546"/>
    <w:rsid w:val="428471F1"/>
    <w:rsid w:val="42CF2B62"/>
    <w:rsid w:val="42D53EF1"/>
    <w:rsid w:val="43102CB3"/>
    <w:rsid w:val="43E9096D"/>
    <w:rsid w:val="43F1324E"/>
    <w:rsid w:val="440920A4"/>
    <w:rsid w:val="4423169B"/>
    <w:rsid w:val="4430552F"/>
    <w:rsid w:val="4466465B"/>
    <w:rsid w:val="447C5195"/>
    <w:rsid w:val="447D65EE"/>
    <w:rsid w:val="44801C3A"/>
    <w:rsid w:val="44F05012"/>
    <w:rsid w:val="45224F9B"/>
    <w:rsid w:val="454113CA"/>
    <w:rsid w:val="455C26A8"/>
    <w:rsid w:val="455D69EF"/>
    <w:rsid w:val="45725A27"/>
    <w:rsid w:val="45B7168C"/>
    <w:rsid w:val="45BA3A6E"/>
    <w:rsid w:val="45F24A93"/>
    <w:rsid w:val="461D3BE5"/>
    <w:rsid w:val="461E795D"/>
    <w:rsid w:val="462A4554"/>
    <w:rsid w:val="462A6302"/>
    <w:rsid w:val="464C6278"/>
    <w:rsid w:val="4688249B"/>
    <w:rsid w:val="468A0B4E"/>
    <w:rsid w:val="470923BB"/>
    <w:rsid w:val="475E2707"/>
    <w:rsid w:val="477E657B"/>
    <w:rsid w:val="47AB5220"/>
    <w:rsid w:val="47D12ED9"/>
    <w:rsid w:val="48205C0E"/>
    <w:rsid w:val="483E426C"/>
    <w:rsid w:val="48684EBF"/>
    <w:rsid w:val="48797891"/>
    <w:rsid w:val="488F2EE8"/>
    <w:rsid w:val="48AA360B"/>
    <w:rsid w:val="48E713AE"/>
    <w:rsid w:val="48FF75D2"/>
    <w:rsid w:val="493F3E72"/>
    <w:rsid w:val="49635DB3"/>
    <w:rsid w:val="49836455"/>
    <w:rsid w:val="49887640"/>
    <w:rsid w:val="49D354A0"/>
    <w:rsid w:val="49D64A0F"/>
    <w:rsid w:val="4A053683"/>
    <w:rsid w:val="4A3E0131"/>
    <w:rsid w:val="4A812911"/>
    <w:rsid w:val="4AC705C3"/>
    <w:rsid w:val="4AE54917"/>
    <w:rsid w:val="4AF764A2"/>
    <w:rsid w:val="4AFA62A3"/>
    <w:rsid w:val="4B25595C"/>
    <w:rsid w:val="4B2C6678"/>
    <w:rsid w:val="4B2E10EA"/>
    <w:rsid w:val="4B5A0F03"/>
    <w:rsid w:val="4B5C51AF"/>
    <w:rsid w:val="4B6469EB"/>
    <w:rsid w:val="4B8B339F"/>
    <w:rsid w:val="4BA3693A"/>
    <w:rsid w:val="4BDC3A9E"/>
    <w:rsid w:val="4D115B26"/>
    <w:rsid w:val="4D7C442B"/>
    <w:rsid w:val="4D844549"/>
    <w:rsid w:val="4D913251"/>
    <w:rsid w:val="4D966D48"/>
    <w:rsid w:val="4DC0603F"/>
    <w:rsid w:val="4E0B1523"/>
    <w:rsid w:val="4E21623C"/>
    <w:rsid w:val="4E3C4E24"/>
    <w:rsid w:val="4E3C6BD2"/>
    <w:rsid w:val="4E6A1991"/>
    <w:rsid w:val="4E7323A2"/>
    <w:rsid w:val="4EC70B92"/>
    <w:rsid w:val="4EE71C25"/>
    <w:rsid w:val="4F7800DE"/>
    <w:rsid w:val="4F7C266E"/>
    <w:rsid w:val="4F8844C4"/>
    <w:rsid w:val="4F90367A"/>
    <w:rsid w:val="4F952A3E"/>
    <w:rsid w:val="4FC155E1"/>
    <w:rsid w:val="4FD01CC8"/>
    <w:rsid w:val="4FE70DC0"/>
    <w:rsid w:val="505F62A4"/>
    <w:rsid w:val="50CA6717"/>
    <w:rsid w:val="50D43A3A"/>
    <w:rsid w:val="50EC2B32"/>
    <w:rsid w:val="51595081"/>
    <w:rsid w:val="51960CEF"/>
    <w:rsid w:val="51A85057"/>
    <w:rsid w:val="51CA3C6B"/>
    <w:rsid w:val="51CB2747"/>
    <w:rsid w:val="5228494D"/>
    <w:rsid w:val="523C53F3"/>
    <w:rsid w:val="528E1018"/>
    <w:rsid w:val="52A54D98"/>
    <w:rsid w:val="52B7716F"/>
    <w:rsid w:val="52D90E94"/>
    <w:rsid w:val="52EB37F4"/>
    <w:rsid w:val="533D7674"/>
    <w:rsid w:val="536A41E2"/>
    <w:rsid w:val="53835A62"/>
    <w:rsid w:val="539841D9"/>
    <w:rsid w:val="53B611D5"/>
    <w:rsid w:val="53C7142F"/>
    <w:rsid w:val="541D1254"/>
    <w:rsid w:val="547B096A"/>
    <w:rsid w:val="54952808"/>
    <w:rsid w:val="54D062C6"/>
    <w:rsid w:val="551B1C37"/>
    <w:rsid w:val="55313D73"/>
    <w:rsid w:val="56664680"/>
    <w:rsid w:val="56A11DA7"/>
    <w:rsid w:val="56DE4CCA"/>
    <w:rsid w:val="57030BD5"/>
    <w:rsid w:val="5737498B"/>
    <w:rsid w:val="576A030D"/>
    <w:rsid w:val="57841381"/>
    <w:rsid w:val="57CA34A1"/>
    <w:rsid w:val="57CC53C5"/>
    <w:rsid w:val="57FD5624"/>
    <w:rsid w:val="584470E8"/>
    <w:rsid w:val="587358E6"/>
    <w:rsid w:val="58924095"/>
    <w:rsid w:val="58975A79"/>
    <w:rsid w:val="58AB1524"/>
    <w:rsid w:val="58B02697"/>
    <w:rsid w:val="59452184"/>
    <w:rsid w:val="594E3962"/>
    <w:rsid w:val="597C6A1D"/>
    <w:rsid w:val="59940314"/>
    <w:rsid w:val="59CC3500"/>
    <w:rsid w:val="5A225074"/>
    <w:rsid w:val="5A56726E"/>
    <w:rsid w:val="5A663955"/>
    <w:rsid w:val="5A785436"/>
    <w:rsid w:val="5A9E249C"/>
    <w:rsid w:val="5AD54636"/>
    <w:rsid w:val="5AE709EC"/>
    <w:rsid w:val="5AE824B9"/>
    <w:rsid w:val="5B12588A"/>
    <w:rsid w:val="5B2630E4"/>
    <w:rsid w:val="5B2B4256"/>
    <w:rsid w:val="5B4B66A7"/>
    <w:rsid w:val="5B4F0623"/>
    <w:rsid w:val="5B8B059D"/>
    <w:rsid w:val="5B8C462A"/>
    <w:rsid w:val="5B8E707B"/>
    <w:rsid w:val="5BBD4E94"/>
    <w:rsid w:val="5BC85F49"/>
    <w:rsid w:val="5BEF34D6"/>
    <w:rsid w:val="5BF64864"/>
    <w:rsid w:val="5C14069B"/>
    <w:rsid w:val="5C447CC6"/>
    <w:rsid w:val="5C480E38"/>
    <w:rsid w:val="5C713B4F"/>
    <w:rsid w:val="5C721473"/>
    <w:rsid w:val="5C935DC2"/>
    <w:rsid w:val="5CE46DB3"/>
    <w:rsid w:val="5D0E3E30"/>
    <w:rsid w:val="5D170E48"/>
    <w:rsid w:val="5D537A94"/>
    <w:rsid w:val="5D663C6C"/>
    <w:rsid w:val="5DE97750"/>
    <w:rsid w:val="5DF9063C"/>
    <w:rsid w:val="5E237616"/>
    <w:rsid w:val="5E5D7EFC"/>
    <w:rsid w:val="5E7D23D2"/>
    <w:rsid w:val="5E9842F9"/>
    <w:rsid w:val="5EB46DD5"/>
    <w:rsid w:val="5F5C70D4"/>
    <w:rsid w:val="5FBA58A5"/>
    <w:rsid w:val="5FD40C2B"/>
    <w:rsid w:val="5FE77383"/>
    <w:rsid w:val="6036401A"/>
    <w:rsid w:val="603718EF"/>
    <w:rsid w:val="60786190"/>
    <w:rsid w:val="609603C4"/>
    <w:rsid w:val="60A056E7"/>
    <w:rsid w:val="60B50139"/>
    <w:rsid w:val="60BC12A8"/>
    <w:rsid w:val="60CE4002"/>
    <w:rsid w:val="61121318"/>
    <w:rsid w:val="61203536"/>
    <w:rsid w:val="61470022"/>
    <w:rsid w:val="61880654"/>
    <w:rsid w:val="61FD43B7"/>
    <w:rsid w:val="621225F9"/>
    <w:rsid w:val="621731AC"/>
    <w:rsid w:val="62354F1E"/>
    <w:rsid w:val="6283706E"/>
    <w:rsid w:val="638E0709"/>
    <w:rsid w:val="63B84AF5"/>
    <w:rsid w:val="640146EE"/>
    <w:rsid w:val="640B2E77"/>
    <w:rsid w:val="64721CF9"/>
    <w:rsid w:val="64C00105"/>
    <w:rsid w:val="651367E1"/>
    <w:rsid w:val="654552FF"/>
    <w:rsid w:val="65921AA2"/>
    <w:rsid w:val="659A2704"/>
    <w:rsid w:val="65A62A08"/>
    <w:rsid w:val="65A860E9"/>
    <w:rsid w:val="65B0785A"/>
    <w:rsid w:val="65E40436"/>
    <w:rsid w:val="66171FA7"/>
    <w:rsid w:val="662F5366"/>
    <w:rsid w:val="66470A5B"/>
    <w:rsid w:val="665A1AAA"/>
    <w:rsid w:val="66D60BB3"/>
    <w:rsid w:val="66ED0F5A"/>
    <w:rsid w:val="67277FC8"/>
    <w:rsid w:val="67787B9A"/>
    <w:rsid w:val="67897DDC"/>
    <w:rsid w:val="678C42CF"/>
    <w:rsid w:val="679E74BA"/>
    <w:rsid w:val="67CE48E7"/>
    <w:rsid w:val="67ED21B8"/>
    <w:rsid w:val="67F72090"/>
    <w:rsid w:val="67FD3D8B"/>
    <w:rsid w:val="68112A26"/>
    <w:rsid w:val="6832131A"/>
    <w:rsid w:val="683D714A"/>
    <w:rsid w:val="68572B2F"/>
    <w:rsid w:val="68CC52CB"/>
    <w:rsid w:val="696A6892"/>
    <w:rsid w:val="69877444"/>
    <w:rsid w:val="69DD52B6"/>
    <w:rsid w:val="69FC1BE0"/>
    <w:rsid w:val="69FF574A"/>
    <w:rsid w:val="6A294057"/>
    <w:rsid w:val="6A786D8C"/>
    <w:rsid w:val="6A837C0B"/>
    <w:rsid w:val="6AA858C3"/>
    <w:rsid w:val="6AAA64F3"/>
    <w:rsid w:val="6AE508C6"/>
    <w:rsid w:val="6B032AFA"/>
    <w:rsid w:val="6B3B6738"/>
    <w:rsid w:val="6B3C600C"/>
    <w:rsid w:val="6B687B9E"/>
    <w:rsid w:val="6B8579B3"/>
    <w:rsid w:val="6BA047ED"/>
    <w:rsid w:val="6BAC4F3F"/>
    <w:rsid w:val="6BAE1A8F"/>
    <w:rsid w:val="6BF47D6A"/>
    <w:rsid w:val="6C382C77"/>
    <w:rsid w:val="6C473F98"/>
    <w:rsid w:val="6C5D640D"/>
    <w:rsid w:val="6C820241"/>
    <w:rsid w:val="6C922387"/>
    <w:rsid w:val="6C942417"/>
    <w:rsid w:val="6CCD1611"/>
    <w:rsid w:val="6CE55202"/>
    <w:rsid w:val="6CF22E26"/>
    <w:rsid w:val="6CF7668E"/>
    <w:rsid w:val="6D0F1C2A"/>
    <w:rsid w:val="6DC5678C"/>
    <w:rsid w:val="6DC9627D"/>
    <w:rsid w:val="6DE229CA"/>
    <w:rsid w:val="6E175FF8"/>
    <w:rsid w:val="6E7F4B8D"/>
    <w:rsid w:val="6E8D24E4"/>
    <w:rsid w:val="6E9A5523"/>
    <w:rsid w:val="6E9D3265"/>
    <w:rsid w:val="6EC151A6"/>
    <w:rsid w:val="6F2B0871"/>
    <w:rsid w:val="6F52221E"/>
    <w:rsid w:val="6F9401C4"/>
    <w:rsid w:val="6FB42615"/>
    <w:rsid w:val="6FD15666"/>
    <w:rsid w:val="701A2DBF"/>
    <w:rsid w:val="70383246"/>
    <w:rsid w:val="70453E20"/>
    <w:rsid w:val="70645DE9"/>
    <w:rsid w:val="70A61026"/>
    <w:rsid w:val="70D867D7"/>
    <w:rsid w:val="70E7212E"/>
    <w:rsid w:val="711200BC"/>
    <w:rsid w:val="711D77A1"/>
    <w:rsid w:val="717958C4"/>
    <w:rsid w:val="718C272C"/>
    <w:rsid w:val="719D6674"/>
    <w:rsid w:val="71AA2CF2"/>
    <w:rsid w:val="71AB5C99"/>
    <w:rsid w:val="71C01745"/>
    <w:rsid w:val="71D247CC"/>
    <w:rsid w:val="7205184D"/>
    <w:rsid w:val="721B1DBC"/>
    <w:rsid w:val="723F53B1"/>
    <w:rsid w:val="726A16B0"/>
    <w:rsid w:val="72783DCD"/>
    <w:rsid w:val="72F7214C"/>
    <w:rsid w:val="734144F1"/>
    <w:rsid w:val="73760242"/>
    <w:rsid w:val="742F2BB2"/>
    <w:rsid w:val="74454183"/>
    <w:rsid w:val="74602A39"/>
    <w:rsid w:val="747E212E"/>
    <w:rsid w:val="74A34824"/>
    <w:rsid w:val="75220B60"/>
    <w:rsid w:val="75232716"/>
    <w:rsid w:val="752A37A6"/>
    <w:rsid w:val="75581C94"/>
    <w:rsid w:val="75C56580"/>
    <w:rsid w:val="75C64DE3"/>
    <w:rsid w:val="7603422F"/>
    <w:rsid w:val="760A34A2"/>
    <w:rsid w:val="76124165"/>
    <w:rsid w:val="761958C7"/>
    <w:rsid w:val="76B81E6E"/>
    <w:rsid w:val="76B9063D"/>
    <w:rsid w:val="76E47C83"/>
    <w:rsid w:val="77672662"/>
    <w:rsid w:val="77B91110"/>
    <w:rsid w:val="77C47AB5"/>
    <w:rsid w:val="77E577CC"/>
    <w:rsid w:val="77E80FFF"/>
    <w:rsid w:val="78430448"/>
    <w:rsid w:val="78554DE6"/>
    <w:rsid w:val="78994A9D"/>
    <w:rsid w:val="78CF0B3A"/>
    <w:rsid w:val="78DB6E64"/>
    <w:rsid w:val="78F711B4"/>
    <w:rsid w:val="794744F9"/>
    <w:rsid w:val="79742E51"/>
    <w:rsid w:val="79963906"/>
    <w:rsid w:val="79B053F1"/>
    <w:rsid w:val="79B853F7"/>
    <w:rsid w:val="7A150154"/>
    <w:rsid w:val="7A41719B"/>
    <w:rsid w:val="7A735DDD"/>
    <w:rsid w:val="7A7C01D3"/>
    <w:rsid w:val="7AA5597C"/>
    <w:rsid w:val="7AAF67FA"/>
    <w:rsid w:val="7AD0177D"/>
    <w:rsid w:val="7AD67B2C"/>
    <w:rsid w:val="7B041159"/>
    <w:rsid w:val="7B186EC8"/>
    <w:rsid w:val="7B254BB7"/>
    <w:rsid w:val="7B386AB8"/>
    <w:rsid w:val="7B3F0E5E"/>
    <w:rsid w:val="7B4A3BA0"/>
    <w:rsid w:val="7B5B49DF"/>
    <w:rsid w:val="7B892068"/>
    <w:rsid w:val="7BB40E1A"/>
    <w:rsid w:val="7BB75966"/>
    <w:rsid w:val="7C411F65"/>
    <w:rsid w:val="7C880E39"/>
    <w:rsid w:val="7C887303"/>
    <w:rsid w:val="7CF90201"/>
    <w:rsid w:val="7D01475A"/>
    <w:rsid w:val="7D0A41BC"/>
    <w:rsid w:val="7D2A2168"/>
    <w:rsid w:val="7D2B3B83"/>
    <w:rsid w:val="7D31799A"/>
    <w:rsid w:val="7D467C47"/>
    <w:rsid w:val="7D796DE1"/>
    <w:rsid w:val="7DB61C4E"/>
    <w:rsid w:val="7DDF6063"/>
    <w:rsid w:val="7DFB111E"/>
    <w:rsid w:val="7E097FCF"/>
    <w:rsid w:val="7E156974"/>
    <w:rsid w:val="7E320279"/>
    <w:rsid w:val="7E582D05"/>
    <w:rsid w:val="7ED06D3F"/>
    <w:rsid w:val="7EDD4D1B"/>
    <w:rsid w:val="7F1E5463"/>
    <w:rsid w:val="7F671451"/>
    <w:rsid w:val="7F6C65CA"/>
    <w:rsid w:val="7FBF303C"/>
    <w:rsid w:val="7FC543CA"/>
    <w:rsid w:val="7FCE77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qFormat="1" w:unhideWhenUsed="0" w:uiPriority="0" w:semiHidden="0"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4"/>
    <w:qFormat/>
    <w:uiPriority w:val="9"/>
    <w:pPr>
      <w:spacing w:before="460" w:after="450" w:line="360" w:lineRule="auto"/>
      <w:jc w:val="center"/>
      <w:outlineLvl w:val="0"/>
    </w:pPr>
    <w:rPr>
      <w:bCs w:val="0"/>
      <w:kern w:val="44"/>
      <w:sz w:val="44"/>
      <w:szCs w:val="28"/>
    </w:rPr>
  </w:style>
  <w:style w:type="paragraph" w:styleId="4">
    <w:name w:val="heading 2"/>
    <w:basedOn w:val="1"/>
    <w:next w:val="1"/>
    <w:link w:val="65"/>
    <w:unhideWhenUsed/>
    <w:qFormat/>
    <w:uiPriority w:val="9"/>
    <w:pPr>
      <w:keepNext/>
      <w:keepLines/>
      <w:spacing w:before="260" w:after="260" w:line="416" w:lineRule="auto"/>
      <w:jc w:val="center"/>
      <w:outlineLvl w:val="1"/>
    </w:pPr>
    <w:rPr>
      <w:rFonts w:ascii="Arial" w:hAnsi="Arial"/>
      <w:b/>
      <w:bCs/>
      <w:sz w:val="28"/>
      <w:szCs w:val="32"/>
    </w:rPr>
  </w:style>
  <w:style w:type="paragraph" w:styleId="3">
    <w:name w:val="heading 3"/>
    <w:basedOn w:val="1"/>
    <w:next w:val="1"/>
    <w:link w:val="63"/>
    <w:unhideWhenUsed/>
    <w:qFormat/>
    <w:uiPriority w:val="9"/>
    <w:pPr>
      <w:keepNext/>
      <w:keepLines/>
      <w:spacing w:before="260" w:after="260" w:line="416" w:lineRule="auto"/>
      <w:jc w:val="left"/>
      <w:outlineLvl w:val="2"/>
    </w:pPr>
    <w:rPr>
      <w:b/>
      <w:bCs/>
      <w:sz w:val="24"/>
      <w:szCs w:val="32"/>
    </w:rPr>
  </w:style>
  <w:style w:type="paragraph" w:styleId="5">
    <w:name w:val="heading 4"/>
    <w:basedOn w:val="1"/>
    <w:next w:val="1"/>
    <w:link w:val="66"/>
    <w:unhideWhenUsed/>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8"/>
    <w:unhideWhenUsed/>
    <w:qFormat/>
    <w:uiPriority w:val="9"/>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9"/>
    <w:semiHidden/>
    <w:unhideWhenUsed/>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70"/>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71"/>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72"/>
    <w:qFormat/>
    <w:uiPriority w:val="0"/>
    <w:pPr>
      <w:keepNext/>
      <w:keepLines/>
      <w:numPr>
        <w:ilvl w:val="8"/>
        <w:numId w:val="1"/>
      </w:numPr>
      <w:spacing w:before="240" w:after="64" w:line="319" w:lineRule="auto"/>
      <w:outlineLvl w:val="8"/>
    </w:pPr>
    <w:rPr>
      <w:rFonts w:ascii="Arial" w:hAnsi="Arial" w:eastAsia="黑体"/>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7"/>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table of authorities"/>
    <w:basedOn w:val="1"/>
    <w:next w:val="1"/>
    <w:qFormat/>
    <w:uiPriority w:val="0"/>
    <w:pPr>
      <w:ind w:left="420" w:leftChars="200"/>
    </w:pPr>
  </w:style>
  <w:style w:type="paragraph" w:styleId="15">
    <w:name w:val="List Bullet 4"/>
    <w:basedOn w:val="1"/>
    <w:qFormat/>
    <w:uiPriority w:val="0"/>
    <w:pPr>
      <w:tabs>
        <w:tab w:val="left" w:pos="425"/>
        <w:tab w:val="left" w:pos="1620"/>
      </w:tabs>
      <w:ind w:left="425" w:hanging="425"/>
    </w:pPr>
    <w:rPr>
      <w:szCs w:val="20"/>
    </w:rPr>
  </w:style>
  <w:style w:type="paragraph" w:styleId="16">
    <w:name w:val="caption"/>
    <w:basedOn w:val="1"/>
    <w:next w:val="1"/>
    <w:link w:val="300"/>
    <w:qFormat/>
    <w:uiPriority w:val="0"/>
    <w:rPr>
      <w:rFonts w:ascii="Cambria" w:hAnsi="Cambria" w:eastAsia="黑体"/>
    </w:rPr>
  </w:style>
  <w:style w:type="paragraph" w:styleId="17">
    <w:name w:val="List Bullet"/>
    <w:basedOn w:val="1"/>
    <w:qFormat/>
    <w:uiPriority w:val="0"/>
    <w:pPr>
      <w:numPr>
        <w:ilvl w:val="0"/>
        <w:numId w:val="1"/>
      </w:numPr>
      <w:tabs>
        <w:tab w:val="clear" w:pos="371"/>
      </w:tabs>
    </w:pPr>
    <w:rPr>
      <w:szCs w:val="20"/>
    </w:rPr>
  </w:style>
  <w:style w:type="paragraph" w:styleId="18">
    <w:name w:val="Document Map"/>
    <w:basedOn w:val="1"/>
    <w:link w:val="77"/>
    <w:qFormat/>
    <w:uiPriority w:val="0"/>
    <w:pPr>
      <w:shd w:val="clear" w:color="auto" w:fill="000080"/>
    </w:pPr>
  </w:style>
  <w:style w:type="paragraph" w:styleId="19">
    <w:name w:val="annotation text"/>
    <w:basedOn w:val="1"/>
    <w:link w:val="73"/>
    <w:qFormat/>
    <w:uiPriority w:val="0"/>
    <w:pPr>
      <w:jc w:val="left"/>
    </w:pPr>
  </w:style>
  <w:style w:type="paragraph" w:styleId="20">
    <w:name w:val="index 6"/>
    <w:basedOn w:val="1"/>
    <w:next w:val="1"/>
    <w:qFormat/>
    <w:uiPriority w:val="0"/>
    <w:pPr>
      <w:tabs>
        <w:tab w:val="left" w:pos="426"/>
      </w:tabs>
      <w:ind w:left="2100"/>
    </w:pPr>
  </w:style>
  <w:style w:type="paragraph" w:styleId="21">
    <w:name w:val="Body Text 3"/>
    <w:basedOn w:val="1"/>
    <w:link w:val="461"/>
    <w:qFormat/>
    <w:uiPriority w:val="0"/>
    <w:pPr>
      <w:spacing w:after="120"/>
    </w:pPr>
    <w:rPr>
      <w:sz w:val="16"/>
      <w:szCs w:val="16"/>
    </w:rPr>
  </w:style>
  <w:style w:type="paragraph" w:styleId="22">
    <w:name w:val="Body Text"/>
    <w:basedOn w:val="1"/>
    <w:next w:val="1"/>
    <w:link w:val="75"/>
    <w:qFormat/>
    <w:uiPriority w:val="0"/>
    <w:pPr>
      <w:spacing w:after="120"/>
    </w:pPr>
  </w:style>
  <w:style w:type="paragraph" w:styleId="23">
    <w:name w:val="Body Text Indent"/>
    <w:basedOn w:val="1"/>
    <w:link w:val="78"/>
    <w:qFormat/>
    <w:uiPriority w:val="0"/>
    <w:pPr>
      <w:spacing w:after="120"/>
      <w:ind w:left="420" w:leftChars="200"/>
    </w:pPr>
  </w:style>
  <w:style w:type="paragraph" w:styleId="24">
    <w:name w:val="Block Text"/>
    <w:basedOn w:val="1"/>
    <w:qFormat/>
    <w:uiPriority w:val="0"/>
    <w:pPr>
      <w:spacing w:after="120"/>
      <w:ind w:left="1440" w:leftChars="700" w:right="1440" w:rightChars="700"/>
    </w:pPr>
  </w:style>
  <w:style w:type="paragraph" w:styleId="25">
    <w:name w:val="List Bullet 2"/>
    <w:basedOn w:val="1"/>
    <w:qFormat/>
    <w:uiPriority w:val="0"/>
    <w:pPr>
      <w:numPr>
        <w:ilvl w:val="0"/>
        <w:numId w:val="2"/>
      </w:numPr>
      <w:tabs>
        <w:tab w:val="left" w:pos="780"/>
      </w:tabs>
    </w:pPr>
    <w:rPr>
      <w:szCs w:val="20"/>
    </w:rPr>
  </w:style>
  <w:style w:type="paragraph" w:styleId="26">
    <w:name w:val="toc 5"/>
    <w:basedOn w:val="1"/>
    <w:next w:val="1"/>
    <w:qFormat/>
    <w:uiPriority w:val="0"/>
    <w:pPr>
      <w:ind w:left="840"/>
      <w:jc w:val="left"/>
    </w:pPr>
    <w:rPr>
      <w:szCs w:val="21"/>
    </w:rPr>
  </w:style>
  <w:style w:type="paragraph" w:styleId="27">
    <w:name w:val="toc 3"/>
    <w:basedOn w:val="1"/>
    <w:next w:val="1"/>
    <w:qFormat/>
    <w:uiPriority w:val="39"/>
    <w:pPr>
      <w:ind w:left="420"/>
      <w:jc w:val="left"/>
    </w:pPr>
    <w:rPr>
      <w:iCs/>
    </w:rPr>
  </w:style>
  <w:style w:type="paragraph" w:styleId="28">
    <w:name w:val="Plain Text"/>
    <w:basedOn w:val="1"/>
    <w:link w:val="79"/>
    <w:qFormat/>
    <w:uiPriority w:val="0"/>
    <w:rPr>
      <w:rFonts w:ascii="宋体" w:hAnsi="Courier New"/>
      <w:szCs w:val="20"/>
    </w:rPr>
  </w:style>
  <w:style w:type="paragraph" w:styleId="29">
    <w:name w:val="toc 8"/>
    <w:basedOn w:val="1"/>
    <w:next w:val="1"/>
    <w:qFormat/>
    <w:uiPriority w:val="0"/>
    <w:pPr>
      <w:ind w:left="1470"/>
      <w:jc w:val="left"/>
    </w:pPr>
    <w:rPr>
      <w:szCs w:val="21"/>
    </w:rPr>
  </w:style>
  <w:style w:type="paragraph" w:styleId="30">
    <w:name w:val="Date"/>
    <w:basedOn w:val="1"/>
    <w:next w:val="1"/>
    <w:link w:val="319"/>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1">
    <w:name w:val="Body Text Indent 2"/>
    <w:basedOn w:val="1"/>
    <w:link w:val="80"/>
    <w:qFormat/>
    <w:uiPriority w:val="0"/>
    <w:pPr>
      <w:spacing w:after="120" w:line="480" w:lineRule="auto"/>
      <w:ind w:left="420" w:leftChars="200"/>
    </w:pPr>
  </w:style>
  <w:style w:type="paragraph" w:styleId="32">
    <w:name w:val="Balloon Text"/>
    <w:basedOn w:val="1"/>
    <w:link w:val="81"/>
    <w:qFormat/>
    <w:uiPriority w:val="0"/>
    <w:rPr>
      <w:sz w:val="18"/>
      <w:szCs w:val="18"/>
    </w:rPr>
  </w:style>
  <w:style w:type="paragraph" w:styleId="33">
    <w:name w:val="footer"/>
    <w:basedOn w:val="1"/>
    <w:link w:val="82"/>
    <w:qFormat/>
    <w:uiPriority w:val="99"/>
    <w:pPr>
      <w:tabs>
        <w:tab w:val="center" w:pos="4153"/>
        <w:tab w:val="right" w:pos="8306"/>
      </w:tabs>
      <w:snapToGrid w:val="0"/>
      <w:jc w:val="left"/>
    </w:pPr>
    <w:rPr>
      <w:sz w:val="18"/>
      <w:szCs w:val="18"/>
    </w:rPr>
  </w:style>
  <w:style w:type="paragraph" w:styleId="34">
    <w:name w:val="header"/>
    <w:basedOn w:val="1"/>
    <w:link w:val="83"/>
    <w:qFormat/>
    <w:uiPriority w:val="99"/>
    <w:pPr>
      <w:pBdr>
        <w:bottom w:val="single" w:color="auto" w:sz="6" w:space="1"/>
      </w:pBdr>
      <w:tabs>
        <w:tab w:val="center" w:pos="4153"/>
        <w:tab w:val="right" w:pos="8306"/>
      </w:tabs>
      <w:snapToGrid w:val="0"/>
      <w:jc w:val="center"/>
    </w:pPr>
    <w:rPr>
      <w:sz w:val="18"/>
      <w:szCs w:val="18"/>
    </w:rPr>
  </w:style>
  <w:style w:type="paragraph" w:styleId="35">
    <w:name w:val="Signature"/>
    <w:basedOn w:val="1"/>
    <w:link w:val="290"/>
    <w:qFormat/>
    <w:uiPriority w:val="0"/>
    <w:pPr>
      <w:ind w:left="4320"/>
    </w:pPr>
    <w:rPr>
      <w:rFonts w:eastAsia="楷体_GB2312"/>
      <w:szCs w:val="20"/>
    </w:rPr>
  </w:style>
  <w:style w:type="paragraph" w:styleId="36">
    <w:name w:val="toc 1"/>
    <w:basedOn w:val="1"/>
    <w:next w:val="1"/>
    <w:qFormat/>
    <w:uiPriority w:val="39"/>
    <w:pPr>
      <w:spacing w:before="120" w:after="120"/>
      <w:jc w:val="left"/>
    </w:pPr>
    <w:rPr>
      <w:b/>
      <w:bCs/>
      <w:caps/>
    </w:rPr>
  </w:style>
  <w:style w:type="paragraph" w:styleId="37">
    <w:name w:val="toc 4"/>
    <w:basedOn w:val="1"/>
    <w:next w:val="1"/>
    <w:qFormat/>
    <w:uiPriority w:val="0"/>
    <w:pPr>
      <w:ind w:left="630"/>
      <w:jc w:val="left"/>
    </w:pPr>
    <w:rPr>
      <w:szCs w:val="21"/>
    </w:rPr>
  </w:style>
  <w:style w:type="paragraph" w:styleId="38">
    <w:name w:val="index heading"/>
    <w:basedOn w:val="1"/>
    <w:next w:val="39"/>
    <w:qFormat/>
    <w:uiPriority w:val="0"/>
    <w:rPr>
      <w:szCs w:val="20"/>
    </w:rPr>
  </w:style>
  <w:style w:type="paragraph" w:styleId="39">
    <w:name w:val="index 1"/>
    <w:basedOn w:val="1"/>
    <w:next w:val="1"/>
    <w:qFormat/>
    <w:uiPriority w:val="0"/>
  </w:style>
  <w:style w:type="paragraph" w:styleId="40">
    <w:name w:val="footnote text"/>
    <w:basedOn w:val="1"/>
    <w:link w:val="466"/>
    <w:qFormat/>
    <w:uiPriority w:val="0"/>
    <w:pPr>
      <w:snapToGrid w:val="0"/>
      <w:jc w:val="left"/>
    </w:pPr>
    <w:rPr>
      <w:sz w:val="18"/>
      <w:szCs w:val="18"/>
    </w:rPr>
  </w:style>
  <w:style w:type="paragraph" w:styleId="41">
    <w:name w:val="toc 6"/>
    <w:basedOn w:val="1"/>
    <w:next w:val="1"/>
    <w:qFormat/>
    <w:uiPriority w:val="0"/>
    <w:pPr>
      <w:ind w:left="1050"/>
      <w:jc w:val="left"/>
    </w:pPr>
    <w:rPr>
      <w:szCs w:val="21"/>
    </w:rPr>
  </w:style>
  <w:style w:type="paragraph" w:styleId="42">
    <w:name w:val="Body Text Indent 3"/>
    <w:basedOn w:val="1"/>
    <w:link w:val="316"/>
    <w:qFormat/>
    <w:uiPriority w:val="0"/>
    <w:pPr>
      <w:ind w:firstLine="426"/>
    </w:pPr>
    <w:rPr>
      <w:szCs w:val="20"/>
    </w:rPr>
  </w:style>
  <w:style w:type="paragraph" w:styleId="43">
    <w:name w:val="toc 2"/>
    <w:basedOn w:val="1"/>
    <w:next w:val="1"/>
    <w:qFormat/>
    <w:uiPriority w:val="39"/>
    <w:pPr>
      <w:ind w:left="210"/>
      <w:jc w:val="left"/>
    </w:pPr>
    <w:rPr>
      <w:smallCaps/>
    </w:rPr>
  </w:style>
  <w:style w:type="paragraph" w:styleId="44">
    <w:name w:val="toc 9"/>
    <w:basedOn w:val="1"/>
    <w:next w:val="1"/>
    <w:qFormat/>
    <w:uiPriority w:val="0"/>
    <w:pPr>
      <w:ind w:left="1680"/>
      <w:jc w:val="left"/>
    </w:pPr>
    <w:rPr>
      <w:szCs w:val="21"/>
    </w:rPr>
  </w:style>
  <w:style w:type="paragraph" w:styleId="45">
    <w:name w:val="Body Text 2"/>
    <w:basedOn w:val="1"/>
    <w:link w:val="309"/>
    <w:qFormat/>
    <w:uiPriority w:val="0"/>
    <w:rPr>
      <w:sz w:val="28"/>
      <w:szCs w:val="20"/>
    </w:rPr>
  </w:style>
  <w:style w:type="paragraph" w:styleId="46">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7">
    <w:name w:val="Normal (Web)"/>
    <w:basedOn w:val="1"/>
    <w:qFormat/>
    <w:uiPriority w:val="0"/>
    <w:pPr>
      <w:widowControl/>
      <w:spacing w:before="100" w:beforeAutospacing="1" w:after="100" w:afterAutospacing="1"/>
      <w:jc w:val="left"/>
    </w:pPr>
    <w:rPr>
      <w:kern w:val="0"/>
      <w:sz w:val="24"/>
    </w:rPr>
  </w:style>
  <w:style w:type="paragraph" w:styleId="48">
    <w:name w:val="Title"/>
    <w:basedOn w:val="1"/>
    <w:link w:val="85"/>
    <w:qFormat/>
    <w:uiPriority w:val="10"/>
    <w:pPr>
      <w:spacing w:before="240" w:after="60"/>
      <w:jc w:val="center"/>
      <w:outlineLvl w:val="0"/>
    </w:pPr>
    <w:rPr>
      <w:rFonts w:ascii="Arial" w:hAnsi="Arial" w:eastAsia="隶书"/>
      <w:b/>
      <w:bCs/>
      <w:sz w:val="32"/>
      <w:szCs w:val="32"/>
    </w:rPr>
  </w:style>
  <w:style w:type="paragraph" w:styleId="49">
    <w:name w:val="annotation subject"/>
    <w:basedOn w:val="19"/>
    <w:next w:val="19"/>
    <w:link w:val="74"/>
    <w:qFormat/>
    <w:uiPriority w:val="0"/>
    <w:rPr>
      <w:b/>
      <w:bCs/>
    </w:rPr>
  </w:style>
  <w:style w:type="paragraph" w:styleId="50">
    <w:name w:val="Body Text First Indent"/>
    <w:basedOn w:val="22"/>
    <w:link w:val="76"/>
    <w:qFormat/>
    <w:uiPriority w:val="0"/>
    <w:pPr>
      <w:ind w:firstLine="420" w:firstLineChars="100"/>
    </w:pPr>
  </w:style>
  <w:style w:type="paragraph" w:styleId="51">
    <w:name w:val="Body Text First Indent 2"/>
    <w:basedOn w:val="23"/>
    <w:next w:val="1"/>
    <w:link w:val="295"/>
    <w:qFormat/>
    <w:uiPriority w:val="0"/>
    <w:pPr>
      <w:spacing w:after="160" w:line="360" w:lineRule="auto"/>
      <w:ind w:firstLine="480" w:firstLineChars="200"/>
    </w:pPr>
    <w:rPr>
      <w:kern w:val="0"/>
      <w:sz w:val="24"/>
    </w:rPr>
  </w:style>
  <w:style w:type="table" w:styleId="53">
    <w:name w:val="Table Grid"/>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5">
    <w:name w:val="Strong"/>
    <w:basedOn w:val="54"/>
    <w:qFormat/>
    <w:uiPriority w:val="22"/>
    <w:rPr>
      <w:b/>
      <w:bCs/>
    </w:rPr>
  </w:style>
  <w:style w:type="character" w:styleId="56">
    <w:name w:val="page number"/>
    <w:basedOn w:val="54"/>
    <w:qFormat/>
    <w:uiPriority w:val="0"/>
  </w:style>
  <w:style w:type="character" w:styleId="57">
    <w:name w:val="FollowedHyperlink"/>
    <w:basedOn w:val="54"/>
    <w:qFormat/>
    <w:uiPriority w:val="0"/>
    <w:rPr>
      <w:color w:val="800080"/>
      <w:u w:val="single"/>
    </w:rPr>
  </w:style>
  <w:style w:type="character" w:styleId="58">
    <w:name w:val="Emphasis"/>
    <w:basedOn w:val="54"/>
    <w:qFormat/>
    <w:uiPriority w:val="2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纯文本1"/>
    <w:basedOn w:val="1"/>
    <w:qFormat/>
    <w:uiPriority w:val="0"/>
    <w:rPr>
      <w:rFonts w:ascii="宋体" w:hAnsi="Courier New"/>
      <w:szCs w:val="20"/>
    </w:rPr>
  </w:style>
  <w:style w:type="paragraph" w:customStyle="1" w:styleId="62">
    <w:name w:val="Default"/>
    <w:next w:val="20"/>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character" w:customStyle="1" w:styleId="63">
    <w:name w:val="标题 3 Char"/>
    <w:basedOn w:val="54"/>
    <w:link w:val="3"/>
    <w:qFormat/>
    <w:uiPriority w:val="0"/>
    <w:rPr>
      <w:b/>
      <w:bCs/>
      <w:kern w:val="2"/>
      <w:sz w:val="24"/>
      <w:szCs w:val="32"/>
    </w:rPr>
  </w:style>
  <w:style w:type="character" w:customStyle="1" w:styleId="64">
    <w:name w:val="标题 1 Char"/>
    <w:basedOn w:val="54"/>
    <w:link w:val="2"/>
    <w:qFormat/>
    <w:uiPriority w:val="0"/>
    <w:rPr>
      <w:rFonts w:eastAsia="宋体"/>
      <w:b/>
      <w:kern w:val="44"/>
      <w:sz w:val="44"/>
      <w:szCs w:val="28"/>
    </w:rPr>
  </w:style>
  <w:style w:type="character" w:customStyle="1" w:styleId="65">
    <w:name w:val="标题 2 Char"/>
    <w:basedOn w:val="54"/>
    <w:link w:val="4"/>
    <w:qFormat/>
    <w:uiPriority w:val="0"/>
    <w:rPr>
      <w:rFonts w:ascii="Arial" w:hAnsi="Arial" w:eastAsia="宋体"/>
      <w:b/>
      <w:bCs/>
      <w:kern w:val="2"/>
      <w:sz w:val="28"/>
      <w:szCs w:val="32"/>
    </w:rPr>
  </w:style>
  <w:style w:type="character" w:customStyle="1" w:styleId="66">
    <w:name w:val="标题 4 Char1"/>
    <w:basedOn w:val="54"/>
    <w:link w:val="5"/>
    <w:qFormat/>
    <w:uiPriority w:val="99"/>
    <w:rPr>
      <w:rFonts w:ascii="Arial" w:hAnsi="Arial" w:eastAsia="黑体"/>
      <w:b/>
      <w:bCs/>
      <w:kern w:val="2"/>
      <w:sz w:val="28"/>
      <w:szCs w:val="28"/>
    </w:rPr>
  </w:style>
  <w:style w:type="character" w:customStyle="1" w:styleId="67">
    <w:name w:val="正文缩进 Char"/>
    <w:link w:val="7"/>
    <w:qFormat/>
    <w:uiPriority w:val="0"/>
    <w:rPr>
      <w:rFonts w:eastAsia="宋体"/>
      <w:kern w:val="2"/>
      <w:sz w:val="21"/>
      <w:szCs w:val="24"/>
      <w:lang w:val="en-US" w:eastAsia="zh-CN" w:bidi="ar-SA"/>
    </w:rPr>
  </w:style>
  <w:style w:type="character" w:customStyle="1" w:styleId="68">
    <w:name w:val="标题 5 Char1"/>
    <w:basedOn w:val="54"/>
    <w:link w:val="6"/>
    <w:qFormat/>
    <w:uiPriority w:val="0"/>
    <w:rPr>
      <w:b/>
      <w:kern w:val="2"/>
      <w:sz w:val="28"/>
      <w:szCs w:val="24"/>
    </w:rPr>
  </w:style>
  <w:style w:type="character" w:customStyle="1" w:styleId="69">
    <w:name w:val="标题 6 Char1"/>
    <w:basedOn w:val="54"/>
    <w:link w:val="8"/>
    <w:qFormat/>
    <w:uiPriority w:val="9"/>
    <w:rPr>
      <w:rFonts w:ascii="Arial" w:hAnsi="Arial" w:eastAsia="黑体"/>
      <w:b/>
      <w:kern w:val="2"/>
      <w:sz w:val="24"/>
      <w:szCs w:val="24"/>
    </w:rPr>
  </w:style>
  <w:style w:type="character" w:customStyle="1" w:styleId="70">
    <w:name w:val="标题 7 Char1"/>
    <w:basedOn w:val="54"/>
    <w:link w:val="9"/>
    <w:qFormat/>
    <w:uiPriority w:val="9"/>
    <w:rPr>
      <w:b/>
      <w:kern w:val="2"/>
      <w:sz w:val="24"/>
      <w:szCs w:val="24"/>
    </w:rPr>
  </w:style>
  <w:style w:type="character" w:customStyle="1" w:styleId="71">
    <w:name w:val="标题 8 Char1"/>
    <w:basedOn w:val="54"/>
    <w:link w:val="10"/>
    <w:qFormat/>
    <w:uiPriority w:val="9"/>
    <w:rPr>
      <w:rFonts w:ascii="Arial" w:hAnsi="Arial" w:eastAsia="黑体"/>
      <w:kern w:val="2"/>
      <w:sz w:val="24"/>
      <w:szCs w:val="24"/>
    </w:rPr>
  </w:style>
  <w:style w:type="character" w:customStyle="1" w:styleId="72">
    <w:name w:val="标题 9 Char1"/>
    <w:basedOn w:val="54"/>
    <w:link w:val="11"/>
    <w:qFormat/>
    <w:uiPriority w:val="0"/>
    <w:rPr>
      <w:rFonts w:ascii="Arial" w:hAnsi="Arial" w:eastAsia="黑体"/>
      <w:kern w:val="2"/>
      <w:sz w:val="21"/>
      <w:szCs w:val="24"/>
    </w:rPr>
  </w:style>
  <w:style w:type="character" w:customStyle="1" w:styleId="73">
    <w:name w:val="批注文字 Char"/>
    <w:link w:val="19"/>
    <w:qFormat/>
    <w:uiPriority w:val="0"/>
    <w:rPr>
      <w:kern w:val="2"/>
      <w:sz w:val="21"/>
      <w:szCs w:val="24"/>
    </w:rPr>
  </w:style>
  <w:style w:type="character" w:customStyle="1" w:styleId="74">
    <w:name w:val="批注主题 Char"/>
    <w:basedOn w:val="73"/>
    <w:link w:val="49"/>
    <w:qFormat/>
    <w:uiPriority w:val="0"/>
    <w:rPr>
      <w:b/>
      <w:bCs/>
      <w:kern w:val="2"/>
      <w:sz w:val="21"/>
      <w:szCs w:val="24"/>
    </w:rPr>
  </w:style>
  <w:style w:type="character" w:customStyle="1" w:styleId="75">
    <w:name w:val="正文文本 Char"/>
    <w:basedOn w:val="54"/>
    <w:link w:val="22"/>
    <w:qFormat/>
    <w:uiPriority w:val="0"/>
    <w:rPr>
      <w:kern w:val="2"/>
      <w:sz w:val="21"/>
      <w:szCs w:val="24"/>
    </w:rPr>
  </w:style>
  <w:style w:type="character" w:customStyle="1" w:styleId="76">
    <w:name w:val="正文首行缩进 Char"/>
    <w:link w:val="50"/>
    <w:qFormat/>
    <w:uiPriority w:val="0"/>
    <w:rPr>
      <w:rFonts w:eastAsia="宋体"/>
      <w:kern w:val="2"/>
      <w:sz w:val="21"/>
      <w:szCs w:val="24"/>
      <w:lang w:val="en-US" w:eastAsia="zh-CN" w:bidi="ar-SA"/>
    </w:rPr>
  </w:style>
  <w:style w:type="character" w:customStyle="1" w:styleId="77">
    <w:name w:val="文档结构图 Char"/>
    <w:basedOn w:val="54"/>
    <w:link w:val="18"/>
    <w:qFormat/>
    <w:uiPriority w:val="0"/>
    <w:rPr>
      <w:kern w:val="2"/>
      <w:sz w:val="21"/>
      <w:szCs w:val="24"/>
      <w:shd w:val="clear" w:color="auto" w:fill="000080"/>
    </w:rPr>
  </w:style>
  <w:style w:type="character" w:customStyle="1" w:styleId="78">
    <w:name w:val="正文文本缩进 Char1"/>
    <w:basedOn w:val="54"/>
    <w:link w:val="23"/>
    <w:qFormat/>
    <w:uiPriority w:val="0"/>
    <w:rPr>
      <w:kern w:val="2"/>
      <w:sz w:val="21"/>
      <w:szCs w:val="24"/>
    </w:rPr>
  </w:style>
  <w:style w:type="character" w:customStyle="1" w:styleId="79">
    <w:name w:val="纯文本 Char"/>
    <w:link w:val="28"/>
    <w:qFormat/>
    <w:uiPriority w:val="0"/>
    <w:rPr>
      <w:rFonts w:ascii="宋体" w:hAnsi="Courier New" w:eastAsia="宋体"/>
      <w:kern w:val="2"/>
      <w:sz w:val="21"/>
      <w:lang w:val="en-US" w:eastAsia="zh-CN" w:bidi="ar-SA"/>
    </w:rPr>
  </w:style>
  <w:style w:type="character" w:customStyle="1" w:styleId="80">
    <w:name w:val="正文文本缩进 2 Char1"/>
    <w:link w:val="31"/>
    <w:qFormat/>
    <w:uiPriority w:val="0"/>
    <w:rPr>
      <w:kern w:val="2"/>
      <w:sz w:val="21"/>
      <w:szCs w:val="24"/>
    </w:rPr>
  </w:style>
  <w:style w:type="character" w:customStyle="1" w:styleId="81">
    <w:name w:val="批注框文本 Char"/>
    <w:basedOn w:val="54"/>
    <w:link w:val="32"/>
    <w:qFormat/>
    <w:uiPriority w:val="99"/>
    <w:rPr>
      <w:kern w:val="2"/>
      <w:sz w:val="18"/>
      <w:szCs w:val="18"/>
    </w:rPr>
  </w:style>
  <w:style w:type="character" w:customStyle="1" w:styleId="82">
    <w:name w:val="页脚 Char"/>
    <w:basedOn w:val="54"/>
    <w:link w:val="33"/>
    <w:qFormat/>
    <w:uiPriority w:val="99"/>
    <w:rPr>
      <w:kern w:val="2"/>
      <w:sz w:val="18"/>
      <w:szCs w:val="18"/>
    </w:rPr>
  </w:style>
  <w:style w:type="character" w:customStyle="1" w:styleId="83">
    <w:name w:val="页眉 Char"/>
    <w:link w:val="34"/>
    <w:qFormat/>
    <w:uiPriority w:val="99"/>
    <w:rPr>
      <w:kern w:val="2"/>
      <w:sz w:val="18"/>
      <w:szCs w:val="18"/>
    </w:rPr>
  </w:style>
  <w:style w:type="character" w:customStyle="1" w:styleId="84">
    <w:name w:val="HTML 预设格式 Char1"/>
    <w:link w:val="46"/>
    <w:qFormat/>
    <w:uiPriority w:val="0"/>
    <w:rPr>
      <w:rFonts w:ascii="宋体" w:hAnsi="宋体" w:cs="宋体"/>
      <w:sz w:val="24"/>
      <w:szCs w:val="24"/>
    </w:rPr>
  </w:style>
  <w:style w:type="character" w:customStyle="1" w:styleId="85">
    <w:name w:val="标题 Char"/>
    <w:link w:val="48"/>
    <w:qFormat/>
    <w:uiPriority w:val="0"/>
    <w:rPr>
      <w:rFonts w:ascii="Arial" w:hAnsi="Arial" w:eastAsia="隶书" w:cs="Arial"/>
      <w:b/>
      <w:bCs/>
      <w:kern w:val="2"/>
      <w:sz w:val="32"/>
      <w:szCs w:val="32"/>
    </w:rPr>
  </w:style>
  <w:style w:type="paragraph" w:customStyle="1" w:styleId="86">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7">
    <w:name w:val="样式1 Char Char"/>
    <w:basedOn w:val="1"/>
    <w:next w:val="1"/>
    <w:link w:val="88"/>
    <w:qFormat/>
    <w:uiPriority w:val="0"/>
    <w:pPr>
      <w:spacing w:line="360" w:lineRule="auto"/>
      <w:ind w:firstLine="516" w:firstLineChars="215"/>
    </w:pPr>
    <w:rPr>
      <w:sz w:val="24"/>
      <w:szCs w:val="20"/>
    </w:rPr>
  </w:style>
  <w:style w:type="character" w:customStyle="1" w:styleId="88">
    <w:name w:val="样式1 Char Char Char"/>
    <w:link w:val="87"/>
    <w:qFormat/>
    <w:uiPriority w:val="0"/>
    <w:rPr>
      <w:rFonts w:eastAsia="宋体"/>
      <w:kern w:val="2"/>
      <w:sz w:val="24"/>
      <w:lang w:val="en-US" w:eastAsia="zh-CN" w:bidi="ar-SA"/>
    </w:rPr>
  </w:style>
  <w:style w:type="paragraph" w:customStyle="1" w:styleId="89">
    <w:name w:val="样式1"/>
    <w:basedOn w:val="48"/>
    <w:link w:val="90"/>
    <w:qFormat/>
    <w:uiPriority w:val="0"/>
    <w:pPr>
      <w:spacing w:before="120" w:after="120"/>
    </w:pPr>
    <w:rPr>
      <w:rFonts w:eastAsia="黑体" w:cs="Arial"/>
      <w:b w:val="0"/>
      <w:sz w:val="30"/>
      <w:szCs w:val="21"/>
    </w:rPr>
  </w:style>
  <w:style w:type="character" w:customStyle="1" w:styleId="90">
    <w:name w:val="样式1 Char"/>
    <w:link w:val="89"/>
    <w:qFormat/>
    <w:uiPriority w:val="0"/>
    <w:rPr>
      <w:rFonts w:ascii="Arial" w:hAnsi="Arial" w:eastAsia="黑体" w:cs="Arial"/>
      <w:bCs/>
      <w:kern w:val="2"/>
      <w:sz w:val="30"/>
      <w:szCs w:val="21"/>
      <w:lang w:val="en-US" w:eastAsia="zh-CN" w:bidi="ar-SA"/>
    </w:rPr>
  </w:style>
  <w:style w:type="paragraph" w:customStyle="1" w:styleId="9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2">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4">
    <w:name w:val="Char1"/>
    <w:basedOn w:val="1"/>
    <w:qFormat/>
    <w:uiPriority w:val="0"/>
    <w:rPr>
      <w:rFonts w:ascii="仿宋_GB2312" w:eastAsia="仿宋_GB2312"/>
      <w:b/>
      <w:sz w:val="32"/>
      <w:szCs w:val="32"/>
    </w:rPr>
  </w:style>
  <w:style w:type="character" w:customStyle="1" w:styleId="95">
    <w:name w:val="tpc_title1"/>
    <w:qFormat/>
    <w:uiPriority w:val="0"/>
    <w:rPr>
      <w:b/>
      <w:bCs/>
      <w:sz w:val="18"/>
      <w:szCs w:val="18"/>
    </w:rPr>
  </w:style>
  <w:style w:type="character" w:customStyle="1" w:styleId="96">
    <w:name w:val="tpc_content1"/>
    <w:qFormat/>
    <w:uiPriority w:val="0"/>
    <w:rPr>
      <w:sz w:val="20"/>
      <w:szCs w:val="20"/>
    </w:rPr>
  </w:style>
  <w:style w:type="paragraph" w:customStyle="1" w:styleId="97">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8">
    <w:name w:val="列出段落1"/>
    <w:basedOn w:val="1"/>
    <w:link w:val="99"/>
    <w:qFormat/>
    <w:uiPriority w:val="0"/>
    <w:pPr>
      <w:ind w:firstLine="420" w:firstLineChars="200"/>
    </w:pPr>
  </w:style>
  <w:style w:type="character" w:customStyle="1" w:styleId="99">
    <w:name w:val="列表段落 字符"/>
    <w:link w:val="98"/>
    <w:qFormat/>
    <w:uiPriority w:val="34"/>
    <w:rPr>
      <w:kern w:val="2"/>
      <w:sz w:val="21"/>
      <w:szCs w:val="24"/>
    </w:rPr>
  </w:style>
  <w:style w:type="paragraph" w:customStyle="1" w:styleId="100">
    <w:name w:val="正文1"/>
    <w:basedOn w:val="1"/>
    <w:qFormat/>
    <w:uiPriority w:val="0"/>
    <w:pPr>
      <w:tabs>
        <w:tab w:val="left" w:pos="4"/>
      </w:tabs>
      <w:spacing w:line="360" w:lineRule="auto"/>
      <w:ind w:left="-2" w:firstLine="482"/>
    </w:pPr>
    <w:rPr>
      <w:rFonts w:ascii="宋体" w:hAnsi="宋体"/>
      <w:sz w:val="24"/>
    </w:rPr>
  </w:style>
  <w:style w:type="paragraph" w:customStyle="1" w:styleId="101">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102">
    <w:name w:val="缩进正文"/>
    <w:basedOn w:val="1"/>
    <w:link w:val="103"/>
    <w:qFormat/>
    <w:uiPriority w:val="0"/>
    <w:pPr>
      <w:ind w:firstLine="560" w:firstLineChars="200"/>
    </w:pPr>
    <w:rPr>
      <w:rFonts w:eastAsia="仿宋_GB2312" w:cs="宋体"/>
      <w:sz w:val="28"/>
      <w:szCs w:val="20"/>
    </w:rPr>
  </w:style>
  <w:style w:type="character" w:customStyle="1" w:styleId="103">
    <w:name w:val="缩进正文 Char"/>
    <w:link w:val="102"/>
    <w:qFormat/>
    <w:uiPriority w:val="0"/>
    <w:rPr>
      <w:rFonts w:eastAsia="仿宋_GB2312" w:cs="宋体"/>
      <w:kern w:val="2"/>
      <w:sz w:val="28"/>
      <w:lang w:val="en-US" w:eastAsia="zh-CN" w:bidi="ar-SA"/>
    </w:rPr>
  </w:style>
  <w:style w:type="character" w:customStyle="1" w:styleId="104">
    <w:name w:val="访问过的超链接1"/>
    <w:qFormat/>
    <w:uiPriority w:val="0"/>
    <w:rPr>
      <w:color w:val="800080"/>
      <w:u w:val="single"/>
    </w:rPr>
  </w:style>
  <w:style w:type="paragraph" w:customStyle="1" w:styleId="105">
    <w:name w:val="Char Char Char Char Char Char Char"/>
    <w:basedOn w:val="1"/>
    <w:qFormat/>
    <w:uiPriority w:val="0"/>
    <w:pPr>
      <w:widowControl/>
      <w:adjustRightInd w:val="0"/>
      <w:spacing w:after="160" w:line="240" w:lineRule="exact"/>
      <w:jc w:val="left"/>
      <w:textAlignment w:val="baseline"/>
    </w:pPr>
  </w:style>
  <w:style w:type="character" w:customStyle="1" w:styleId="106">
    <w:name w:val="正文缩进 Char1"/>
    <w:qFormat/>
    <w:uiPriority w:val="0"/>
    <w:rPr>
      <w:rFonts w:eastAsia="宋体"/>
      <w:kern w:val="2"/>
      <w:sz w:val="21"/>
      <w:lang w:val="en-US" w:eastAsia="zh-CN" w:bidi="ar-SA"/>
    </w:rPr>
  </w:style>
  <w:style w:type="paragraph" w:customStyle="1" w:styleId="107">
    <w:name w:val="列出段落11"/>
    <w:basedOn w:val="1"/>
    <w:qFormat/>
    <w:uiPriority w:val="34"/>
    <w:pPr>
      <w:ind w:firstLine="420" w:firstLineChars="200"/>
    </w:pPr>
  </w:style>
  <w:style w:type="paragraph" w:customStyle="1" w:styleId="108">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9">
    <w:name w:val="font11"/>
    <w:basedOn w:val="54"/>
    <w:qFormat/>
    <w:uiPriority w:val="0"/>
    <w:rPr>
      <w:rFonts w:hint="eastAsia" w:ascii="宋体" w:hAnsi="宋体" w:eastAsia="宋体" w:cs="宋体"/>
      <w:b/>
      <w:color w:val="000000"/>
      <w:sz w:val="21"/>
      <w:szCs w:val="21"/>
      <w:u w:val="none"/>
    </w:rPr>
  </w:style>
  <w:style w:type="character" w:customStyle="1" w:styleId="110">
    <w:name w:val="批注文字 Char1"/>
    <w:qFormat/>
    <w:uiPriority w:val="0"/>
    <w:rPr>
      <w:rFonts w:ascii="Calibri" w:hAnsi="Calibri" w:eastAsia="宋体" w:cs="Calibri"/>
      <w:szCs w:val="21"/>
    </w:rPr>
  </w:style>
  <w:style w:type="character" w:customStyle="1" w:styleId="111">
    <w:name w:val="title1"/>
    <w:qFormat/>
    <w:uiPriority w:val="0"/>
    <w:rPr>
      <w:rFonts w:hint="eastAsia" w:ascii="微软雅黑" w:hAnsi="微软雅黑" w:eastAsia="微软雅黑"/>
      <w:sz w:val="21"/>
      <w:szCs w:val="21"/>
    </w:rPr>
  </w:style>
  <w:style w:type="character" w:customStyle="1" w:styleId="112">
    <w:name w:val="sect2title1"/>
    <w:qFormat/>
    <w:uiPriority w:val="0"/>
    <w:rPr>
      <w:rFonts w:hint="eastAsia" w:ascii="微软雅黑" w:hAnsi="微软雅黑" w:eastAsia="微软雅黑"/>
      <w:b/>
      <w:bCs/>
      <w:sz w:val="21"/>
      <w:szCs w:val="21"/>
    </w:rPr>
  </w:style>
  <w:style w:type="paragraph" w:customStyle="1" w:styleId="113">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4">
    <w:name w:val="font01"/>
    <w:basedOn w:val="54"/>
    <w:qFormat/>
    <w:uiPriority w:val="0"/>
    <w:rPr>
      <w:rFonts w:ascii="Tahoma" w:hAnsi="Tahoma" w:eastAsia="Tahoma" w:cs="Tahoma"/>
      <w:color w:val="000000"/>
      <w:sz w:val="20"/>
      <w:szCs w:val="20"/>
      <w:u w:val="none"/>
    </w:rPr>
  </w:style>
  <w:style w:type="paragraph" w:customStyle="1" w:styleId="115">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7">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8">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9">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20">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21">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22">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3">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4">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5">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9">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3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2">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4">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7">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40">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42">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7">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8">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9">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0">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51">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52">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4">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5">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6">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7">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8">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9">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60">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61">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2">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3">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4">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5">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6">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7">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9">
    <w:name w:val="font41"/>
    <w:basedOn w:val="54"/>
    <w:qFormat/>
    <w:uiPriority w:val="0"/>
    <w:rPr>
      <w:rFonts w:hint="eastAsia" w:ascii="仿宋_GB2312" w:eastAsia="仿宋_GB2312" w:cs="仿宋_GB2312"/>
      <w:color w:val="000000"/>
      <w:sz w:val="20"/>
      <w:szCs w:val="20"/>
      <w:u w:val="none"/>
    </w:rPr>
  </w:style>
  <w:style w:type="character" w:customStyle="1" w:styleId="170">
    <w:name w:val="font31"/>
    <w:basedOn w:val="54"/>
    <w:qFormat/>
    <w:uiPriority w:val="0"/>
    <w:rPr>
      <w:rFonts w:hint="default" w:ascii="Symbol" w:hAnsi="Symbol" w:cs="Symbol"/>
      <w:color w:val="000000"/>
      <w:sz w:val="20"/>
      <w:szCs w:val="20"/>
      <w:u w:val="none"/>
    </w:rPr>
  </w:style>
  <w:style w:type="character" w:customStyle="1" w:styleId="171">
    <w:name w:val="font71"/>
    <w:basedOn w:val="54"/>
    <w:qFormat/>
    <w:uiPriority w:val="0"/>
    <w:rPr>
      <w:rFonts w:ascii="Arial" w:hAnsi="Arial" w:cs="Arial"/>
      <w:color w:val="000000"/>
      <w:sz w:val="20"/>
      <w:szCs w:val="20"/>
      <w:u w:val="none"/>
    </w:rPr>
  </w:style>
  <w:style w:type="character" w:customStyle="1" w:styleId="172">
    <w:name w:val="font21"/>
    <w:basedOn w:val="54"/>
    <w:qFormat/>
    <w:uiPriority w:val="0"/>
    <w:rPr>
      <w:rFonts w:hint="default" w:ascii="Symbol" w:hAnsi="Symbol" w:cs="Symbol"/>
      <w:color w:val="000000"/>
      <w:sz w:val="20"/>
      <w:szCs w:val="20"/>
      <w:u w:val="none"/>
    </w:rPr>
  </w:style>
  <w:style w:type="character" w:customStyle="1" w:styleId="173">
    <w:name w:val="font91"/>
    <w:basedOn w:val="54"/>
    <w:qFormat/>
    <w:uiPriority w:val="0"/>
    <w:rPr>
      <w:rFonts w:ascii="Arial" w:hAnsi="Arial" w:cs="Arial"/>
      <w:color w:val="000000"/>
      <w:sz w:val="20"/>
      <w:szCs w:val="20"/>
      <w:u w:val="none"/>
    </w:rPr>
  </w:style>
  <w:style w:type="character" w:customStyle="1" w:styleId="174">
    <w:name w:val="font51"/>
    <w:basedOn w:val="54"/>
    <w:qFormat/>
    <w:uiPriority w:val="0"/>
    <w:rPr>
      <w:rFonts w:ascii="仿宋" w:hAnsi="仿宋" w:eastAsia="仿宋" w:cs="仿宋"/>
      <w:color w:val="000000"/>
      <w:sz w:val="21"/>
      <w:szCs w:val="21"/>
      <w:u w:val="none"/>
    </w:rPr>
  </w:style>
  <w:style w:type="character" w:customStyle="1" w:styleId="175">
    <w:name w:val="font101"/>
    <w:basedOn w:val="54"/>
    <w:qFormat/>
    <w:uiPriority w:val="0"/>
    <w:rPr>
      <w:rFonts w:hint="eastAsia" w:ascii="仿宋_GB2312" w:eastAsia="仿宋_GB2312" w:cs="仿宋_GB2312"/>
      <w:color w:val="000000"/>
      <w:sz w:val="20"/>
      <w:szCs w:val="20"/>
      <w:u w:val="none"/>
    </w:rPr>
  </w:style>
  <w:style w:type="character" w:customStyle="1" w:styleId="176">
    <w:name w:val="font61"/>
    <w:basedOn w:val="54"/>
    <w:qFormat/>
    <w:uiPriority w:val="0"/>
    <w:rPr>
      <w:rFonts w:hint="eastAsia" w:ascii="宋体" w:hAnsi="宋体" w:eastAsia="宋体" w:cs="宋体"/>
      <w:color w:val="000000"/>
      <w:sz w:val="20"/>
      <w:szCs w:val="20"/>
      <w:u w:val="none"/>
    </w:rPr>
  </w:style>
  <w:style w:type="character" w:customStyle="1" w:styleId="177">
    <w:name w:val="font81"/>
    <w:basedOn w:val="54"/>
    <w:qFormat/>
    <w:uiPriority w:val="0"/>
    <w:rPr>
      <w:rFonts w:hint="eastAsia" w:ascii="仿宋" w:hAnsi="仿宋" w:eastAsia="仿宋" w:cs="仿宋"/>
      <w:color w:val="000000"/>
      <w:sz w:val="21"/>
      <w:szCs w:val="21"/>
      <w:u w:val="none"/>
    </w:rPr>
  </w:style>
  <w:style w:type="character" w:customStyle="1" w:styleId="178">
    <w:name w:val="font111"/>
    <w:basedOn w:val="54"/>
    <w:qFormat/>
    <w:uiPriority w:val="0"/>
    <w:rPr>
      <w:rFonts w:hint="eastAsia" w:ascii="仿宋_GB2312" w:eastAsia="仿宋_GB2312" w:cs="仿宋_GB2312"/>
      <w:color w:val="000000"/>
      <w:sz w:val="21"/>
      <w:szCs w:val="21"/>
      <w:u w:val="none"/>
    </w:rPr>
  </w:style>
  <w:style w:type="character" w:customStyle="1" w:styleId="179">
    <w:name w:val="font121"/>
    <w:basedOn w:val="54"/>
    <w:qFormat/>
    <w:uiPriority w:val="0"/>
    <w:rPr>
      <w:rFonts w:ascii="Arial" w:hAnsi="Arial" w:cs="Arial"/>
      <w:color w:val="000000"/>
      <w:sz w:val="20"/>
      <w:szCs w:val="20"/>
      <w:u w:val="none"/>
    </w:rPr>
  </w:style>
  <w:style w:type="character" w:customStyle="1" w:styleId="180">
    <w:name w:val="font112"/>
    <w:basedOn w:val="54"/>
    <w:qFormat/>
    <w:uiPriority w:val="0"/>
    <w:rPr>
      <w:rFonts w:hint="eastAsia" w:ascii="仿宋_GB2312" w:eastAsia="仿宋_GB2312" w:cs="仿宋_GB2312"/>
      <w:color w:val="000000"/>
      <w:sz w:val="21"/>
      <w:szCs w:val="21"/>
      <w:u w:val="none"/>
    </w:rPr>
  </w:style>
  <w:style w:type="paragraph" w:customStyle="1" w:styleId="181">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82">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3">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4">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5">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6">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7">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8">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9">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90">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3">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6">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7">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8">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9">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00">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01">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2">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3">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5">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6">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7">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8">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9">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10">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11">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12">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6">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7">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8">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9">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20">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22">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3">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4">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5">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6">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7">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8">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9">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0">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1">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2">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3">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4">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5">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6">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7">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8">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9">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0">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1">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2">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3">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5">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6">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7">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8">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9">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50">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3">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4">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5">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6">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8">
    <w:name w:val=".正文"/>
    <w:basedOn w:val="1"/>
    <w:qFormat/>
    <w:uiPriority w:val="0"/>
    <w:pPr>
      <w:spacing w:beforeLines="50"/>
      <w:ind w:firstLine="200" w:firstLineChars="200"/>
    </w:pPr>
    <w:rPr>
      <w:rFonts w:ascii="Calibri" w:hAnsi="Calibri" w:eastAsia="华文仿宋"/>
      <w:szCs w:val="22"/>
    </w:rPr>
  </w:style>
  <w:style w:type="paragraph" w:customStyle="1" w:styleId="259">
    <w:name w:val="正文A缩进"/>
    <w:basedOn w:val="1"/>
    <w:qFormat/>
    <w:uiPriority w:val="0"/>
    <w:pPr>
      <w:spacing w:line="360" w:lineRule="auto"/>
      <w:ind w:firstLine="200" w:firstLineChars="200"/>
    </w:pPr>
    <w:rPr>
      <w:kern w:val="0"/>
      <w:sz w:val="28"/>
      <w:szCs w:val="20"/>
    </w:rPr>
  </w:style>
  <w:style w:type="paragraph" w:customStyle="1" w:styleId="260">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61">
    <w:name w:val="标题 5 Char"/>
    <w:basedOn w:val="54"/>
    <w:qFormat/>
    <w:uiPriority w:val="0"/>
    <w:rPr>
      <w:b/>
      <w:bCs/>
      <w:kern w:val="2"/>
      <w:sz w:val="28"/>
      <w:szCs w:val="28"/>
    </w:rPr>
  </w:style>
  <w:style w:type="character" w:customStyle="1" w:styleId="262">
    <w:name w:val="标题 6 Char"/>
    <w:basedOn w:val="54"/>
    <w:qFormat/>
    <w:uiPriority w:val="9"/>
    <w:rPr>
      <w:rFonts w:ascii="Cambria" w:hAnsi="Cambria" w:eastAsia="宋体" w:cs="宋体"/>
      <w:b/>
      <w:bCs/>
      <w:kern w:val="2"/>
      <w:sz w:val="24"/>
      <w:szCs w:val="24"/>
    </w:rPr>
  </w:style>
  <w:style w:type="character" w:customStyle="1" w:styleId="263">
    <w:name w:val="标题 7 Char"/>
    <w:basedOn w:val="54"/>
    <w:qFormat/>
    <w:uiPriority w:val="9"/>
    <w:rPr>
      <w:b/>
      <w:bCs/>
      <w:kern w:val="2"/>
      <w:sz w:val="24"/>
      <w:szCs w:val="24"/>
    </w:rPr>
  </w:style>
  <w:style w:type="character" w:customStyle="1" w:styleId="264">
    <w:name w:val="标题 8 Char"/>
    <w:basedOn w:val="54"/>
    <w:qFormat/>
    <w:uiPriority w:val="9"/>
    <w:rPr>
      <w:rFonts w:ascii="Cambria" w:hAnsi="Cambria" w:eastAsia="宋体" w:cs="宋体"/>
      <w:kern w:val="2"/>
      <w:sz w:val="24"/>
      <w:szCs w:val="24"/>
    </w:rPr>
  </w:style>
  <w:style w:type="character" w:customStyle="1" w:styleId="265">
    <w:name w:val="标题 9 Char"/>
    <w:basedOn w:val="54"/>
    <w:qFormat/>
    <w:uiPriority w:val="0"/>
    <w:rPr>
      <w:rFonts w:ascii="Cambria" w:hAnsi="Cambria" w:eastAsia="宋体" w:cs="宋体"/>
      <w:kern w:val="2"/>
      <w:sz w:val="21"/>
      <w:szCs w:val="21"/>
    </w:rPr>
  </w:style>
  <w:style w:type="paragraph" w:customStyle="1" w:styleId="266">
    <w:name w:val="！表格内容"/>
    <w:basedOn w:val="1"/>
    <w:qFormat/>
    <w:uiPriority w:val="0"/>
    <w:pPr>
      <w:spacing w:line="320" w:lineRule="atLeast"/>
    </w:pPr>
  </w:style>
  <w:style w:type="character" w:customStyle="1" w:styleId="267">
    <w:name w:val="页眉 Char2"/>
    <w:basedOn w:val="54"/>
    <w:qFormat/>
    <w:uiPriority w:val="99"/>
    <w:rPr>
      <w:rFonts w:ascii="Times New Roman" w:hAnsi="Times New Roman" w:eastAsia="宋体" w:cs="Times New Roman"/>
      <w:sz w:val="18"/>
      <w:szCs w:val="18"/>
    </w:rPr>
  </w:style>
  <w:style w:type="character" w:customStyle="1" w:styleId="268">
    <w:name w:val="页脚 Char1"/>
    <w:basedOn w:val="54"/>
    <w:qFormat/>
    <w:uiPriority w:val="99"/>
    <w:rPr>
      <w:rFonts w:ascii="Times New Roman" w:hAnsi="Times New Roman" w:eastAsia="宋体" w:cs="Times New Roman"/>
      <w:sz w:val="18"/>
      <w:szCs w:val="18"/>
    </w:rPr>
  </w:style>
  <w:style w:type="paragraph" w:customStyle="1" w:styleId="269">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70">
    <w:name w:val="批注文字 字符"/>
    <w:basedOn w:val="54"/>
    <w:qFormat/>
    <w:uiPriority w:val="99"/>
    <w:rPr>
      <w:rFonts w:ascii="Times New Roman" w:hAnsi="Times New Roman" w:eastAsia="宋体" w:cs="Times New Roman"/>
      <w:szCs w:val="24"/>
    </w:rPr>
  </w:style>
  <w:style w:type="character" w:customStyle="1" w:styleId="271">
    <w:name w:val="文档结构图 Char1"/>
    <w:basedOn w:val="54"/>
    <w:qFormat/>
    <w:uiPriority w:val="0"/>
    <w:rPr>
      <w:rFonts w:ascii="宋体" w:hAnsi="Times New Roman" w:eastAsia="宋体" w:cs="Times New Roman"/>
      <w:sz w:val="18"/>
      <w:szCs w:val="18"/>
    </w:rPr>
  </w:style>
  <w:style w:type="character" w:customStyle="1" w:styleId="272">
    <w:name w:val="批注主题 Char1"/>
    <w:basedOn w:val="110"/>
    <w:qFormat/>
    <w:uiPriority w:val="0"/>
    <w:rPr>
      <w:rFonts w:ascii="Times New Roman" w:hAnsi="Times New Roman" w:eastAsia="宋体" w:cs="Times New Roman"/>
      <w:b/>
      <w:bCs/>
      <w:szCs w:val="24"/>
    </w:rPr>
  </w:style>
  <w:style w:type="character" w:customStyle="1" w:styleId="273">
    <w:name w:val="批注框文本 Char1"/>
    <w:basedOn w:val="54"/>
    <w:qFormat/>
    <w:uiPriority w:val="0"/>
    <w:rPr>
      <w:rFonts w:ascii="Times New Roman" w:hAnsi="Times New Roman" w:eastAsia="宋体" w:cs="Times New Roman"/>
      <w:sz w:val="18"/>
      <w:szCs w:val="18"/>
    </w:rPr>
  </w:style>
  <w:style w:type="character" w:customStyle="1" w:styleId="274">
    <w:name w:val="标题 1 Char1"/>
    <w:basedOn w:val="54"/>
    <w:qFormat/>
    <w:uiPriority w:val="0"/>
    <w:rPr>
      <w:b/>
      <w:bCs/>
      <w:kern w:val="44"/>
      <w:sz w:val="44"/>
      <w:szCs w:val="44"/>
    </w:rPr>
  </w:style>
  <w:style w:type="character" w:customStyle="1" w:styleId="275">
    <w:name w:val="标题 2 Char1"/>
    <w:basedOn w:val="54"/>
    <w:qFormat/>
    <w:uiPriority w:val="0"/>
    <w:rPr>
      <w:rFonts w:ascii="Cambria" w:hAnsi="Cambria" w:eastAsia="宋体" w:cs="宋体"/>
      <w:b/>
      <w:bCs/>
      <w:kern w:val="2"/>
      <w:sz w:val="32"/>
      <w:szCs w:val="32"/>
    </w:rPr>
  </w:style>
  <w:style w:type="character" w:customStyle="1" w:styleId="276">
    <w:name w:val="标题 3 Char1"/>
    <w:basedOn w:val="54"/>
    <w:qFormat/>
    <w:uiPriority w:val="99"/>
    <w:rPr>
      <w:rFonts w:ascii="宋体" w:hAnsi="Arial"/>
      <w:b/>
      <w:kern w:val="2"/>
      <w:sz w:val="28"/>
    </w:rPr>
  </w:style>
  <w:style w:type="character" w:customStyle="1" w:styleId="277">
    <w:name w:val="Char Char3"/>
    <w:qFormat/>
    <w:uiPriority w:val="0"/>
    <w:rPr>
      <w:rFonts w:hint="eastAsia" w:ascii="宋体" w:hAnsi="宋体" w:eastAsia="宋体"/>
      <w:kern w:val="2"/>
      <w:sz w:val="21"/>
      <w:szCs w:val="24"/>
      <w:lang w:val="en-US" w:eastAsia="zh-CN" w:bidi="ar-SA"/>
    </w:rPr>
  </w:style>
  <w:style w:type="character" w:customStyle="1" w:styleId="278">
    <w:name w:val="正文－段落 Char Char"/>
    <w:link w:val="279"/>
    <w:qFormat/>
    <w:uiPriority w:val="0"/>
    <w:rPr>
      <w:rFonts w:eastAsia="Times New Roman"/>
      <w:sz w:val="24"/>
      <w:szCs w:val="24"/>
    </w:rPr>
  </w:style>
  <w:style w:type="paragraph" w:customStyle="1" w:styleId="279">
    <w:name w:val="正文－段落"/>
    <w:link w:val="278"/>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80">
    <w:name w:val="纯文本 Char1"/>
    <w:qFormat/>
    <w:uiPriority w:val="0"/>
    <w:rPr>
      <w:rFonts w:ascii="宋体" w:hAnsi="Courier New"/>
      <w:spacing w:val="-8"/>
      <w:kern w:val="2"/>
      <w:sz w:val="24"/>
    </w:rPr>
  </w:style>
  <w:style w:type="character" w:customStyle="1" w:styleId="281">
    <w:name w:val="日期 Char"/>
    <w:qFormat/>
    <w:uiPriority w:val="0"/>
    <w:rPr>
      <w:rFonts w:ascii="宋体" w:hAnsi="宋体"/>
      <w:sz w:val="24"/>
    </w:rPr>
  </w:style>
  <w:style w:type="character" w:customStyle="1" w:styleId="282">
    <w:name w:val="Char Char9"/>
    <w:qFormat/>
    <w:uiPriority w:val="0"/>
    <w:rPr>
      <w:rFonts w:hint="default" w:ascii="Calibri" w:hAnsi="Calibri" w:eastAsia="宋体"/>
      <w:sz w:val="18"/>
      <w:szCs w:val="18"/>
      <w:lang w:bidi="ar-SA"/>
    </w:rPr>
  </w:style>
  <w:style w:type="character" w:customStyle="1" w:styleId="283">
    <w:name w:val="Char Char17"/>
    <w:qFormat/>
    <w:uiPriority w:val="0"/>
    <w:rPr>
      <w:rFonts w:hint="eastAsia" w:ascii="仿宋_GB2312" w:hAnsi="Calibri" w:eastAsia="仿宋_GB2312"/>
      <w:b/>
      <w:bCs/>
      <w:color w:val="000000"/>
      <w:kern w:val="2"/>
      <w:sz w:val="32"/>
      <w:szCs w:val="32"/>
      <w:lang w:bidi="ar-SA"/>
    </w:rPr>
  </w:style>
  <w:style w:type="character" w:customStyle="1" w:styleId="284">
    <w:name w:val="HTML 预设格式 Char"/>
    <w:qFormat/>
    <w:uiPriority w:val="0"/>
    <w:rPr>
      <w:rFonts w:ascii="黑体" w:hAnsi="Courier New" w:eastAsia="黑体" w:cs="Courier New"/>
    </w:rPr>
  </w:style>
  <w:style w:type="character" w:customStyle="1" w:styleId="285">
    <w:name w:val="1.5倍行距 Char Char"/>
    <w:link w:val="286"/>
    <w:qFormat/>
    <w:uiPriority w:val="0"/>
    <w:rPr>
      <w:kern w:val="2"/>
      <w:sz w:val="21"/>
      <w:szCs w:val="24"/>
    </w:rPr>
  </w:style>
  <w:style w:type="paragraph" w:customStyle="1" w:styleId="286">
    <w:name w:val="1.5倍行距"/>
    <w:basedOn w:val="1"/>
    <w:link w:val="285"/>
    <w:qFormat/>
    <w:uiPriority w:val="0"/>
    <w:pPr>
      <w:spacing w:line="360" w:lineRule="auto"/>
      <w:ind w:firstLine="420"/>
    </w:pPr>
  </w:style>
  <w:style w:type="character" w:customStyle="1" w:styleId="287">
    <w:name w:val="H2 Char1"/>
    <w:qFormat/>
    <w:uiPriority w:val="0"/>
    <w:rPr>
      <w:rFonts w:ascii="Cambria" w:hAnsi="Cambria"/>
      <w:b/>
      <w:bCs/>
      <w:sz w:val="32"/>
      <w:szCs w:val="32"/>
    </w:rPr>
  </w:style>
  <w:style w:type="character" w:customStyle="1" w:styleId="288">
    <w:name w:val="Char Char4"/>
    <w:qFormat/>
    <w:uiPriority w:val="0"/>
    <w:rPr>
      <w:rFonts w:hint="default" w:ascii="Calibri" w:hAnsi="Calibri" w:eastAsia="宋体"/>
      <w:kern w:val="2"/>
      <w:sz w:val="21"/>
      <w:szCs w:val="22"/>
      <w:lang w:val="en-US" w:eastAsia="zh-CN" w:bidi="ar-SA"/>
    </w:rPr>
  </w:style>
  <w:style w:type="character" w:customStyle="1" w:styleId="289">
    <w:name w:val="正文文本缩进 2 Char"/>
    <w:qFormat/>
    <w:uiPriority w:val="0"/>
    <w:rPr>
      <w:kern w:val="2"/>
      <w:sz w:val="21"/>
    </w:rPr>
  </w:style>
  <w:style w:type="character" w:customStyle="1" w:styleId="290">
    <w:name w:val="签名 Char1"/>
    <w:link w:val="35"/>
    <w:qFormat/>
    <w:uiPriority w:val="0"/>
    <w:rPr>
      <w:rFonts w:eastAsia="楷体_GB2312"/>
      <w:kern w:val="2"/>
      <w:sz w:val="21"/>
    </w:rPr>
  </w:style>
  <w:style w:type="character" w:customStyle="1" w:styleId="291">
    <w:name w:val="标题2 Char"/>
    <w:link w:val="292"/>
    <w:qFormat/>
    <w:uiPriority w:val="0"/>
    <w:rPr>
      <w:rFonts w:ascii="仿宋" w:hAnsi="仿宋" w:eastAsia="仿宋"/>
      <w:b/>
      <w:bCs/>
      <w:color w:val="000000"/>
      <w:kern w:val="2"/>
      <w:sz w:val="24"/>
      <w:szCs w:val="24"/>
    </w:rPr>
  </w:style>
  <w:style w:type="paragraph" w:customStyle="1" w:styleId="292">
    <w:name w:val="标题2"/>
    <w:basedOn w:val="293"/>
    <w:link w:val="291"/>
    <w:qFormat/>
    <w:uiPriority w:val="0"/>
    <w:pPr>
      <w:tabs>
        <w:tab w:val="left" w:pos="425"/>
        <w:tab w:val="left" w:pos="709"/>
        <w:tab w:val="left" w:pos="851"/>
        <w:tab w:val="left" w:pos="1419"/>
      </w:tabs>
    </w:pPr>
    <w:rPr>
      <w:szCs w:val="24"/>
    </w:rPr>
  </w:style>
  <w:style w:type="paragraph" w:customStyle="1" w:styleId="293">
    <w:name w:val="三级"/>
    <w:basedOn w:val="3"/>
    <w:link w:val="294"/>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4">
    <w:name w:val="三级 Char"/>
    <w:link w:val="293"/>
    <w:qFormat/>
    <w:uiPriority w:val="0"/>
    <w:rPr>
      <w:rFonts w:ascii="仿宋" w:hAnsi="仿宋" w:eastAsia="仿宋"/>
      <w:b/>
      <w:bCs/>
      <w:color w:val="000000"/>
      <w:kern w:val="2"/>
      <w:sz w:val="32"/>
      <w:szCs w:val="32"/>
    </w:rPr>
  </w:style>
  <w:style w:type="character" w:customStyle="1" w:styleId="295">
    <w:name w:val="正文首行缩进 2 Char"/>
    <w:link w:val="51"/>
    <w:qFormat/>
    <w:uiPriority w:val="0"/>
    <w:rPr>
      <w:sz w:val="24"/>
      <w:szCs w:val="24"/>
    </w:rPr>
  </w:style>
  <w:style w:type="character" w:customStyle="1" w:styleId="296">
    <w:name w:val="正文首行缩进 Char Char Char1"/>
    <w:qFormat/>
    <w:uiPriority w:val="0"/>
    <w:rPr>
      <w:rFonts w:ascii="Times New Roman" w:hAnsi="Times New Roman"/>
      <w:kern w:val="2"/>
      <w:sz w:val="24"/>
      <w:szCs w:val="24"/>
    </w:rPr>
  </w:style>
  <w:style w:type="character" w:customStyle="1" w:styleId="297">
    <w:name w:val="标题 Char1"/>
    <w:qFormat/>
    <w:uiPriority w:val="0"/>
    <w:rPr>
      <w:rFonts w:ascii="Arial" w:hAnsi="Arial"/>
      <w:b/>
      <w:kern w:val="2"/>
      <w:sz w:val="36"/>
      <w:szCs w:val="24"/>
    </w:rPr>
  </w:style>
  <w:style w:type="character" w:customStyle="1" w:styleId="298">
    <w:name w:val="正文文本 字符"/>
    <w:qFormat/>
    <w:uiPriority w:val="0"/>
    <w:rPr>
      <w:rFonts w:eastAsia="宋体"/>
      <w:kern w:val="2"/>
      <w:sz w:val="21"/>
      <w:szCs w:val="24"/>
      <w:lang w:bidi="ar-SA"/>
    </w:rPr>
  </w:style>
  <w:style w:type="character" w:customStyle="1" w:styleId="299">
    <w:name w:val="正文文本缩进 Char"/>
    <w:qFormat/>
    <w:uiPriority w:val="0"/>
    <w:rPr>
      <w:kern w:val="2"/>
      <w:sz w:val="24"/>
    </w:rPr>
  </w:style>
  <w:style w:type="character" w:customStyle="1" w:styleId="300">
    <w:name w:val="题注 Char1"/>
    <w:link w:val="16"/>
    <w:qFormat/>
    <w:uiPriority w:val="0"/>
    <w:rPr>
      <w:rFonts w:ascii="Cambria" w:hAnsi="Cambria" w:eastAsia="黑体"/>
      <w:kern w:val="2"/>
      <w:sz w:val="21"/>
      <w:szCs w:val="24"/>
    </w:rPr>
  </w:style>
  <w:style w:type="character" w:customStyle="1" w:styleId="301">
    <w:name w:val="bt Char1"/>
    <w:qFormat/>
    <w:uiPriority w:val="0"/>
    <w:rPr>
      <w:rFonts w:ascii="Times New Roman" w:hAnsi="Times New Roman"/>
      <w:kern w:val="2"/>
      <w:sz w:val="24"/>
      <w:szCs w:val="24"/>
    </w:rPr>
  </w:style>
  <w:style w:type="character" w:customStyle="1" w:styleId="302">
    <w:name w:val="Char Char18"/>
    <w:qFormat/>
    <w:uiPriority w:val="0"/>
    <w:rPr>
      <w:rFonts w:hint="default" w:ascii="Cambria" w:hAnsi="Cambria" w:eastAsia="宋体"/>
      <w:b/>
      <w:bCs/>
      <w:sz w:val="32"/>
      <w:szCs w:val="32"/>
      <w:lang w:bidi="ar-SA"/>
    </w:rPr>
  </w:style>
  <w:style w:type="character" w:customStyle="1" w:styleId="303">
    <w:name w:val="四级 Char"/>
    <w:link w:val="304"/>
    <w:qFormat/>
    <w:uiPriority w:val="0"/>
    <w:rPr>
      <w:rFonts w:ascii="仿宋" w:hAnsi="仿宋" w:eastAsia="仿宋"/>
      <w:bCs/>
      <w:kern w:val="2"/>
      <w:sz w:val="32"/>
      <w:szCs w:val="32"/>
    </w:rPr>
  </w:style>
  <w:style w:type="paragraph" w:customStyle="1" w:styleId="304">
    <w:name w:val="四级"/>
    <w:basedOn w:val="5"/>
    <w:link w:val="303"/>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5">
    <w:name w:val="cnfont1"/>
    <w:basedOn w:val="54"/>
    <w:qFormat/>
    <w:uiPriority w:val="0"/>
  </w:style>
  <w:style w:type="character" w:customStyle="1" w:styleId="306">
    <w:name w:val="p141"/>
    <w:qFormat/>
    <w:uiPriority w:val="0"/>
    <w:rPr>
      <w:sz w:val="21"/>
      <w:szCs w:val="21"/>
    </w:rPr>
  </w:style>
  <w:style w:type="character" w:customStyle="1" w:styleId="307">
    <w:name w:val="正文文本缩进 3 Char"/>
    <w:qFormat/>
    <w:uiPriority w:val="0"/>
    <w:rPr>
      <w:kern w:val="2"/>
      <w:sz w:val="21"/>
    </w:rPr>
  </w:style>
  <w:style w:type="character" w:customStyle="1" w:styleId="308">
    <w:name w:val="Char Char13"/>
    <w:qFormat/>
    <w:uiPriority w:val="0"/>
    <w:rPr>
      <w:rFonts w:ascii="Cambria" w:hAnsi="Cambria" w:eastAsia="宋体"/>
      <w:sz w:val="24"/>
      <w:szCs w:val="24"/>
      <w:lang w:bidi="ar-SA"/>
    </w:rPr>
  </w:style>
  <w:style w:type="character" w:customStyle="1" w:styleId="309">
    <w:name w:val="正文文本 2 Char1"/>
    <w:link w:val="45"/>
    <w:qFormat/>
    <w:uiPriority w:val="0"/>
    <w:rPr>
      <w:kern w:val="2"/>
      <w:sz w:val="28"/>
    </w:rPr>
  </w:style>
  <w:style w:type="character" w:customStyle="1" w:styleId="310">
    <w:name w:val="Char Char5"/>
    <w:qFormat/>
    <w:uiPriority w:val="0"/>
    <w:rPr>
      <w:rFonts w:ascii="宋体" w:hAnsi="宋体" w:eastAsia="宋体"/>
      <w:b/>
      <w:bCs/>
      <w:szCs w:val="24"/>
      <w:lang w:bidi="ar-SA"/>
    </w:rPr>
  </w:style>
  <w:style w:type="character" w:customStyle="1" w:styleId="311">
    <w:name w:val="正文文本 2 Char"/>
    <w:qFormat/>
    <w:uiPriority w:val="0"/>
    <w:rPr>
      <w:kern w:val="2"/>
      <w:sz w:val="28"/>
    </w:rPr>
  </w:style>
  <w:style w:type="character" w:customStyle="1" w:styleId="312">
    <w:name w:val="Char Char6"/>
    <w:qFormat/>
    <w:uiPriority w:val="0"/>
    <w:rPr>
      <w:rFonts w:ascii="宋体" w:hAnsi="宋体" w:eastAsia="宋体"/>
      <w:szCs w:val="24"/>
      <w:lang w:bidi="ar-SA"/>
    </w:rPr>
  </w:style>
  <w:style w:type="character" w:customStyle="1" w:styleId="313">
    <w:name w:val="Char Char15"/>
    <w:qFormat/>
    <w:uiPriority w:val="0"/>
    <w:rPr>
      <w:rFonts w:hint="default" w:ascii="Cambria" w:hAnsi="Cambria" w:eastAsia="宋体"/>
      <w:b/>
      <w:bCs/>
      <w:sz w:val="24"/>
      <w:szCs w:val="24"/>
      <w:lang w:bidi="ar-SA"/>
    </w:rPr>
  </w:style>
  <w:style w:type="character" w:customStyle="1" w:styleId="314">
    <w:name w:val="H4 Char"/>
    <w:qFormat/>
    <w:uiPriority w:val="0"/>
    <w:rPr>
      <w:rFonts w:ascii="Cambria" w:hAnsi="Cambria" w:eastAsia="仿宋_GB2312"/>
      <w:b/>
      <w:bCs/>
      <w:sz w:val="32"/>
      <w:szCs w:val="28"/>
    </w:rPr>
  </w:style>
  <w:style w:type="character" w:customStyle="1" w:styleId="315">
    <w:name w:val="Char Char20"/>
    <w:qFormat/>
    <w:uiPriority w:val="0"/>
    <w:rPr>
      <w:rFonts w:eastAsia="宋体"/>
      <w:b/>
      <w:kern w:val="2"/>
      <w:sz w:val="28"/>
      <w:lang w:bidi="ar-SA"/>
    </w:rPr>
  </w:style>
  <w:style w:type="character" w:customStyle="1" w:styleId="316">
    <w:name w:val="正文文本缩进 3 Char1"/>
    <w:link w:val="42"/>
    <w:qFormat/>
    <w:uiPriority w:val="0"/>
    <w:rPr>
      <w:kern w:val="2"/>
      <w:sz w:val="21"/>
    </w:rPr>
  </w:style>
  <w:style w:type="character" w:customStyle="1" w:styleId="317">
    <w:name w:val="Char Char16"/>
    <w:qFormat/>
    <w:uiPriority w:val="0"/>
    <w:rPr>
      <w:rFonts w:hint="eastAsia" w:ascii="仿宋_GB2313" w:hAnsi="仿宋_GB2313" w:eastAsia="仿宋_GB2312"/>
      <w:b/>
      <w:bCs/>
      <w:sz w:val="32"/>
      <w:szCs w:val="28"/>
      <w:lang w:bidi="ar-SA"/>
    </w:rPr>
  </w:style>
  <w:style w:type="character" w:customStyle="1" w:styleId="318">
    <w:name w:val="Char Char7"/>
    <w:qFormat/>
    <w:uiPriority w:val="0"/>
    <w:rPr>
      <w:rFonts w:ascii="宋体" w:hAnsi="宋体" w:eastAsia="宋体"/>
      <w:sz w:val="24"/>
      <w:szCs w:val="24"/>
      <w:lang w:bidi="ar-SA"/>
    </w:rPr>
  </w:style>
  <w:style w:type="character" w:customStyle="1" w:styleId="319">
    <w:name w:val="日期 Char1"/>
    <w:link w:val="30"/>
    <w:qFormat/>
    <w:uiPriority w:val="0"/>
    <w:rPr>
      <w:rFonts w:ascii="宋体" w:hAnsi="宋体"/>
      <w:kern w:val="2"/>
      <w:sz w:val="24"/>
      <w:szCs w:val="24"/>
    </w:rPr>
  </w:style>
  <w:style w:type="character" w:customStyle="1" w:styleId="320">
    <w:name w:val="Char Char12"/>
    <w:qFormat/>
    <w:uiPriority w:val="0"/>
    <w:rPr>
      <w:rFonts w:hint="default" w:ascii="Cambria" w:hAnsi="Cambria" w:eastAsia="宋体"/>
      <w:szCs w:val="21"/>
      <w:lang w:bidi="ar-SA"/>
    </w:rPr>
  </w:style>
  <w:style w:type="character" w:customStyle="1" w:styleId="321">
    <w:name w:val="标题 4 Char"/>
    <w:qFormat/>
    <w:uiPriority w:val="0"/>
    <w:rPr>
      <w:rFonts w:ascii="Arial" w:hAnsi="Arial" w:eastAsia="黑体"/>
      <w:b/>
      <w:kern w:val="2"/>
      <w:sz w:val="24"/>
    </w:rPr>
  </w:style>
  <w:style w:type="character" w:customStyle="1" w:styleId="322">
    <w:name w:val="Char Char2"/>
    <w:qFormat/>
    <w:uiPriority w:val="0"/>
    <w:rPr>
      <w:rFonts w:ascii="宋体" w:hAnsi="宋体" w:eastAsia="宋体"/>
      <w:kern w:val="2"/>
      <w:sz w:val="24"/>
      <w:szCs w:val="24"/>
      <w:lang w:val="en-US" w:eastAsia="zh-CN" w:bidi="ar-SA"/>
    </w:rPr>
  </w:style>
  <w:style w:type="character" w:customStyle="1" w:styleId="323">
    <w:name w:val="*正文 Char"/>
    <w:link w:val="324"/>
    <w:qFormat/>
    <w:uiPriority w:val="0"/>
    <w:rPr>
      <w:rFonts w:ascii="宋体" w:hAnsi="宋体"/>
      <w:sz w:val="24"/>
      <w:szCs w:val="24"/>
    </w:rPr>
  </w:style>
  <w:style w:type="paragraph" w:customStyle="1" w:styleId="324">
    <w:name w:val="*正文"/>
    <w:basedOn w:val="1"/>
    <w:link w:val="323"/>
    <w:qFormat/>
    <w:uiPriority w:val="0"/>
    <w:pPr>
      <w:spacing w:line="360" w:lineRule="auto"/>
      <w:ind w:firstLine="200" w:firstLineChars="200"/>
    </w:pPr>
    <w:rPr>
      <w:rFonts w:ascii="宋体" w:hAnsi="宋体"/>
      <w:kern w:val="0"/>
      <w:sz w:val="24"/>
    </w:rPr>
  </w:style>
  <w:style w:type="character" w:customStyle="1" w:styleId="325">
    <w:name w:val="页脚 字符1"/>
    <w:qFormat/>
    <w:uiPriority w:val="0"/>
    <w:rPr>
      <w:rFonts w:eastAsia="宋体"/>
      <w:kern w:val="2"/>
      <w:sz w:val="18"/>
      <w:lang w:bidi="ar-SA"/>
    </w:rPr>
  </w:style>
  <w:style w:type="character" w:customStyle="1" w:styleId="326">
    <w:name w:val="GP正文[858D7CFB-ED40-4347-BF05-701D383B685F]"/>
    <w:link w:val="327"/>
    <w:qFormat/>
    <w:uiPriority w:val="0"/>
    <w:rPr>
      <w:rFonts w:ascii="宋体" w:hAnsi="宋体"/>
      <w:kern w:val="2"/>
      <w:sz w:val="24"/>
      <w:szCs w:val="24"/>
    </w:rPr>
  </w:style>
  <w:style w:type="paragraph" w:customStyle="1" w:styleId="327">
    <w:name w:val="GP正文"/>
    <w:basedOn w:val="1"/>
    <w:link w:val="326"/>
    <w:qFormat/>
    <w:uiPriority w:val="0"/>
    <w:pPr>
      <w:spacing w:line="360" w:lineRule="auto"/>
      <w:ind w:firstLine="200" w:firstLineChars="200"/>
      <w:jc w:val="left"/>
    </w:pPr>
    <w:rPr>
      <w:rFonts w:ascii="宋体" w:hAnsi="宋体"/>
      <w:sz w:val="24"/>
    </w:rPr>
  </w:style>
  <w:style w:type="character" w:customStyle="1" w:styleId="328">
    <w:name w:val="Char Char14"/>
    <w:qFormat/>
    <w:uiPriority w:val="0"/>
    <w:rPr>
      <w:rFonts w:ascii="Calibri" w:hAnsi="Calibri" w:eastAsia="宋体"/>
      <w:b/>
      <w:bCs/>
      <w:sz w:val="24"/>
      <w:szCs w:val="24"/>
      <w:lang w:bidi="ar-SA"/>
    </w:rPr>
  </w:style>
  <w:style w:type="character" w:customStyle="1" w:styleId="329">
    <w:name w:val="Char Char19"/>
    <w:qFormat/>
    <w:uiPriority w:val="0"/>
    <w:rPr>
      <w:rFonts w:ascii="Arial" w:hAnsi="Arial" w:eastAsia="黑体"/>
      <w:b/>
      <w:kern w:val="2"/>
      <w:sz w:val="24"/>
      <w:lang w:bidi="ar-SA"/>
    </w:rPr>
  </w:style>
  <w:style w:type="character" w:customStyle="1" w:styleId="330">
    <w:name w:val="正文文本 Char1"/>
    <w:qFormat/>
    <w:uiPriority w:val="0"/>
    <w:rPr>
      <w:kern w:val="2"/>
      <w:sz w:val="21"/>
      <w:szCs w:val="24"/>
    </w:rPr>
  </w:style>
  <w:style w:type="character" w:customStyle="1" w:styleId="331">
    <w:name w:val="二级 Char"/>
    <w:link w:val="332"/>
    <w:qFormat/>
    <w:uiPriority w:val="0"/>
    <w:rPr>
      <w:rFonts w:ascii="仿宋" w:hAnsi="仿宋" w:eastAsia="仿宋"/>
      <w:b/>
      <w:bCs/>
      <w:spacing w:val="24"/>
      <w:kern w:val="2"/>
      <w:sz w:val="32"/>
      <w:szCs w:val="32"/>
    </w:rPr>
  </w:style>
  <w:style w:type="paragraph" w:customStyle="1" w:styleId="332">
    <w:name w:val="二级"/>
    <w:basedOn w:val="4"/>
    <w:link w:val="331"/>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3">
    <w:name w:val="签名 Char"/>
    <w:qFormat/>
    <w:uiPriority w:val="0"/>
    <w:rPr>
      <w:rFonts w:eastAsia="楷体_GB2312"/>
      <w:kern w:val="2"/>
      <w:sz w:val="21"/>
    </w:rPr>
  </w:style>
  <w:style w:type="character" w:customStyle="1" w:styleId="334">
    <w:name w:val="Char Char"/>
    <w:qFormat/>
    <w:uiPriority w:val="0"/>
    <w:rPr>
      <w:rFonts w:hint="eastAsia" w:ascii="宋体" w:hAnsi="Courier New" w:eastAsia="宋体"/>
      <w:spacing w:val="-8"/>
      <w:kern w:val="2"/>
      <w:sz w:val="24"/>
      <w:lang w:val="en-US" w:eastAsia="zh-CN" w:bidi="ar-SA"/>
    </w:rPr>
  </w:style>
  <w:style w:type="character" w:customStyle="1" w:styleId="335">
    <w:name w:val="Char Char11"/>
    <w:qFormat/>
    <w:uiPriority w:val="0"/>
    <w:rPr>
      <w:rFonts w:hint="default" w:ascii="Calibri" w:hAnsi="Calibri" w:eastAsia="宋体"/>
      <w:sz w:val="18"/>
      <w:szCs w:val="18"/>
      <w:lang w:bidi="ar-SA"/>
    </w:rPr>
  </w:style>
  <w:style w:type="character" w:customStyle="1" w:styleId="336">
    <w:name w:val="页眉 字符1"/>
    <w:qFormat/>
    <w:uiPriority w:val="0"/>
    <w:rPr>
      <w:rFonts w:eastAsia="宋体"/>
      <w:kern w:val="2"/>
      <w:sz w:val="18"/>
      <w:szCs w:val="18"/>
      <w:lang w:bidi="ar-SA"/>
    </w:rPr>
  </w:style>
  <w:style w:type="character" w:customStyle="1" w:styleId="337">
    <w:name w:val="正文首行缩进 Char1"/>
    <w:qFormat/>
    <w:uiPriority w:val="0"/>
    <w:rPr>
      <w:kern w:val="2"/>
      <w:sz w:val="21"/>
    </w:rPr>
  </w:style>
  <w:style w:type="character" w:customStyle="1" w:styleId="338">
    <w:name w:val="页眉 Char1"/>
    <w:qFormat/>
    <w:uiPriority w:val="0"/>
    <w:rPr>
      <w:rFonts w:eastAsia="宋体"/>
      <w:kern w:val="2"/>
      <w:sz w:val="18"/>
      <w:szCs w:val="18"/>
      <w:lang w:val="en-US" w:eastAsia="zh-CN" w:bidi="ar-SA"/>
    </w:rPr>
  </w:style>
  <w:style w:type="character" w:customStyle="1" w:styleId="339">
    <w:name w:val="题注 Char"/>
    <w:qFormat/>
    <w:uiPriority w:val="0"/>
    <w:rPr>
      <w:rFonts w:ascii="Cambria" w:hAnsi="Cambria" w:eastAsia="黑体"/>
      <w:kern w:val="2"/>
      <w:lang w:bidi="ar-SA"/>
    </w:rPr>
  </w:style>
  <w:style w:type="character" w:customStyle="1" w:styleId="340">
    <w:name w:val="样式 标题 3 + 小四 Char"/>
    <w:qFormat/>
    <w:uiPriority w:val="0"/>
    <w:rPr>
      <w:rFonts w:ascii="宋体" w:hAnsi="宋体" w:cs="Arial"/>
      <w:b/>
      <w:bCs/>
      <w:smallCaps/>
      <w:sz w:val="24"/>
      <w:lang w:val="en-US" w:eastAsia="zh-CN"/>
    </w:rPr>
  </w:style>
  <w:style w:type="character" w:customStyle="1" w:styleId="341">
    <w:name w:val="unnamed21"/>
    <w:qFormat/>
    <w:uiPriority w:val="0"/>
    <w:rPr>
      <w:color w:val="CC6633"/>
      <w:u w:val="none"/>
    </w:rPr>
  </w:style>
  <w:style w:type="character" w:customStyle="1" w:styleId="342">
    <w:name w:val="16"/>
    <w:qFormat/>
    <w:uiPriority w:val="0"/>
    <w:rPr>
      <w:rFonts w:hint="eastAsia" w:ascii="宋体" w:hAnsi="宋体" w:eastAsia="宋体" w:cs="Arial"/>
      <w:b/>
      <w:bCs/>
      <w:smallCaps/>
      <w:kern w:val="2"/>
      <w:sz w:val="24"/>
      <w:szCs w:val="24"/>
    </w:rPr>
  </w:style>
  <w:style w:type="character" w:customStyle="1" w:styleId="343">
    <w:name w:val="正文文本缩进 字符"/>
    <w:qFormat/>
    <w:uiPriority w:val="0"/>
    <w:rPr>
      <w:rFonts w:eastAsia="宋体"/>
      <w:kern w:val="2"/>
      <w:sz w:val="24"/>
      <w:lang w:bidi="ar-SA"/>
    </w:rPr>
  </w:style>
  <w:style w:type="character" w:customStyle="1" w:styleId="344">
    <w:name w:val="Char Char8"/>
    <w:qFormat/>
    <w:uiPriority w:val="0"/>
    <w:rPr>
      <w:rFonts w:hint="default" w:ascii="Calibri" w:hAnsi="Calibri" w:eastAsia="宋体"/>
      <w:kern w:val="2"/>
      <w:sz w:val="21"/>
      <w:szCs w:val="22"/>
      <w:lang w:val="en-US" w:eastAsia="zh-CN" w:bidi="ar-SA"/>
    </w:rPr>
  </w:style>
  <w:style w:type="character" w:customStyle="1" w:styleId="345">
    <w:name w:val="H3 Char1"/>
    <w:qFormat/>
    <w:uiPriority w:val="0"/>
    <w:rPr>
      <w:rFonts w:ascii="仿宋_GB2312" w:eastAsia="仿宋_GB2312"/>
      <w:b/>
      <w:bCs/>
      <w:color w:val="000000"/>
      <w:kern w:val="2"/>
      <w:sz w:val="32"/>
      <w:szCs w:val="32"/>
    </w:rPr>
  </w:style>
  <w:style w:type="character" w:customStyle="1" w:styleId="346">
    <w:name w:val="Char Char1"/>
    <w:qFormat/>
    <w:uiPriority w:val="0"/>
    <w:rPr>
      <w:rFonts w:hint="eastAsia" w:ascii="宋体" w:hAnsi="宋体" w:eastAsia="宋体"/>
      <w:kern w:val="2"/>
      <w:sz w:val="21"/>
      <w:szCs w:val="24"/>
      <w:lang w:val="en-US" w:eastAsia="zh-CN" w:bidi="ar-SA"/>
    </w:rPr>
  </w:style>
  <w:style w:type="character" w:customStyle="1" w:styleId="347">
    <w:name w:val="Char Char10"/>
    <w:qFormat/>
    <w:uiPriority w:val="0"/>
    <w:rPr>
      <w:rFonts w:eastAsia="宋体"/>
      <w:kern w:val="2"/>
      <w:sz w:val="18"/>
      <w:szCs w:val="18"/>
      <w:lang w:val="en-US" w:eastAsia="zh-CN" w:bidi="ar-SA"/>
    </w:rPr>
  </w:style>
  <w:style w:type="character" w:customStyle="1" w:styleId="348">
    <w:name w:val="文档正文 Char"/>
    <w:link w:val="349"/>
    <w:qFormat/>
    <w:uiPriority w:val="0"/>
    <w:rPr>
      <w:rFonts w:ascii="Arial" w:hAnsi="Arial" w:cs="Arial"/>
      <w:bCs/>
      <w:kern w:val="2"/>
      <w:sz w:val="24"/>
      <w:szCs w:val="24"/>
    </w:rPr>
  </w:style>
  <w:style w:type="paragraph" w:customStyle="1" w:styleId="349">
    <w:name w:val="文档正文"/>
    <w:basedOn w:val="1"/>
    <w:link w:val="348"/>
    <w:qFormat/>
    <w:uiPriority w:val="0"/>
    <w:rPr>
      <w:rFonts w:ascii="Arial" w:hAnsi="Arial" w:cs="Arial"/>
      <w:bCs/>
      <w:sz w:val="24"/>
    </w:rPr>
  </w:style>
  <w:style w:type="character" w:customStyle="1" w:styleId="350">
    <w:name w:val="正文文本 2 Char2"/>
    <w:basedOn w:val="54"/>
    <w:qFormat/>
    <w:uiPriority w:val="0"/>
    <w:rPr>
      <w:kern w:val="2"/>
      <w:sz w:val="21"/>
      <w:szCs w:val="24"/>
    </w:rPr>
  </w:style>
  <w:style w:type="character" w:customStyle="1" w:styleId="351">
    <w:name w:val="标题 字符1"/>
    <w:basedOn w:val="54"/>
    <w:qFormat/>
    <w:uiPriority w:val="10"/>
    <w:rPr>
      <w:rFonts w:ascii="Cambria" w:hAnsi="Cambria" w:eastAsia="宋体" w:cs="宋体"/>
      <w:b/>
      <w:bCs/>
      <w:kern w:val="2"/>
      <w:sz w:val="32"/>
      <w:szCs w:val="32"/>
    </w:rPr>
  </w:style>
  <w:style w:type="character" w:customStyle="1" w:styleId="352">
    <w:name w:val="正文首行缩进 2 Char1"/>
    <w:basedOn w:val="78"/>
    <w:qFormat/>
    <w:uiPriority w:val="0"/>
    <w:rPr>
      <w:kern w:val="2"/>
      <w:sz w:val="21"/>
      <w:szCs w:val="24"/>
    </w:rPr>
  </w:style>
  <w:style w:type="character" w:customStyle="1" w:styleId="353">
    <w:name w:val="签名 Char2"/>
    <w:basedOn w:val="54"/>
    <w:qFormat/>
    <w:uiPriority w:val="0"/>
    <w:rPr>
      <w:kern w:val="2"/>
      <w:sz w:val="21"/>
      <w:szCs w:val="24"/>
    </w:rPr>
  </w:style>
  <w:style w:type="character" w:customStyle="1" w:styleId="354">
    <w:name w:val="正文文本缩进 3 Char2"/>
    <w:basedOn w:val="54"/>
    <w:qFormat/>
    <w:uiPriority w:val="0"/>
    <w:rPr>
      <w:kern w:val="2"/>
      <w:sz w:val="16"/>
      <w:szCs w:val="16"/>
    </w:rPr>
  </w:style>
  <w:style w:type="character" w:customStyle="1" w:styleId="355">
    <w:name w:val="日期 Char2"/>
    <w:basedOn w:val="54"/>
    <w:qFormat/>
    <w:uiPriority w:val="0"/>
    <w:rPr>
      <w:kern w:val="2"/>
      <w:sz w:val="21"/>
      <w:szCs w:val="24"/>
    </w:rPr>
  </w:style>
  <w:style w:type="paragraph" w:customStyle="1" w:styleId="356">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7">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9">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60">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61">
    <w:name w:val="Table Heading"/>
    <w:basedOn w:val="1"/>
    <w:qFormat/>
    <w:uiPriority w:val="0"/>
    <w:pPr>
      <w:widowControl/>
      <w:jc w:val="center"/>
    </w:pPr>
    <w:rPr>
      <w:rFonts w:ascii="Arial" w:hAnsi="Arial"/>
      <w:b/>
      <w:kern w:val="0"/>
      <w:sz w:val="18"/>
      <w:szCs w:val="20"/>
    </w:rPr>
  </w:style>
  <w:style w:type="paragraph" w:customStyle="1" w:styleId="362">
    <w:name w:val="4"/>
    <w:basedOn w:val="1"/>
    <w:next w:val="1"/>
    <w:qFormat/>
    <w:uiPriority w:val="0"/>
  </w:style>
  <w:style w:type="paragraph" w:customStyle="1" w:styleId="3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4">
    <w:name w:val="--规划正文"/>
    <w:basedOn w:val="1"/>
    <w:qFormat/>
    <w:uiPriority w:val="0"/>
    <w:pPr>
      <w:spacing w:line="360" w:lineRule="auto"/>
      <w:ind w:firstLine="200" w:firstLineChars="200"/>
    </w:pPr>
    <w:rPr>
      <w:szCs w:val="20"/>
    </w:rPr>
  </w:style>
  <w:style w:type="paragraph" w:customStyle="1" w:styleId="365">
    <w:name w:val="样式 标题 5H5dashdsddh5PIM 5口一heading 5Titre5Table label...3"/>
    <w:basedOn w:val="6"/>
    <w:qFormat/>
    <w:uiPriority w:val="0"/>
    <w:pPr>
      <w:numPr>
        <w:ilvl w:val="0"/>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6">
    <w:name w:val="修订1"/>
    <w:qFormat/>
    <w:uiPriority w:val="99"/>
    <w:rPr>
      <w:rFonts w:ascii="Times New Roman" w:hAnsi="Times New Roman" w:eastAsia="宋体" w:cs="Times New Roman"/>
      <w:kern w:val="2"/>
      <w:sz w:val="21"/>
      <w:szCs w:val="22"/>
      <w:lang w:val="en-US" w:eastAsia="zh-CN" w:bidi="ar-SA"/>
    </w:rPr>
  </w:style>
  <w:style w:type="paragraph" w:customStyle="1" w:styleId="367">
    <w:name w:val="样式2"/>
    <w:basedOn w:val="27"/>
    <w:qFormat/>
    <w:uiPriority w:val="0"/>
    <w:pPr>
      <w:tabs>
        <w:tab w:val="right" w:leader="dot" w:pos="9458"/>
      </w:tabs>
    </w:pPr>
    <w:rPr>
      <w:rFonts w:ascii="Arial" w:cs="Arial"/>
      <w:i/>
    </w:rPr>
  </w:style>
  <w:style w:type="paragraph" w:customStyle="1" w:styleId="368">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9">
    <w:name w:val="l2"/>
    <w:basedOn w:val="1"/>
    <w:qFormat/>
    <w:uiPriority w:val="0"/>
    <w:pPr>
      <w:keepLines/>
      <w:widowControl/>
      <w:spacing w:beforeLines="50" w:afterLines="50" w:line="300" w:lineRule="auto"/>
    </w:pPr>
    <w:rPr>
      <w:rFonts w:ascii="Arial" w:hAnsi="Arial"/>
      <w:bCs/>
    </w:rPr>
  </w:style>
  <w:style w:type="paragraph" w:customStyle="1" w:styleId="370">
    <w:name w:val="样式5"/>
    <w:basedOn w:val="371"/>
    <w:next w:val="371"/>
    <w:qFormat/>
    <w:uiPriority w:val="0"/>
    <w:pPr>
      <w:tabs>
        <w:tab w:val="right" w:leader="dot" w:pos="9458"/>
      </w:tabs>
    </w:pPr>
  </w:style>
  <w:style w:type="paragraph" w:customStyle="1" w:styleId="371">
    <w:name w:val="样式4"/>
    <w:basedOn w:val="36"/>
    <w:qFormat/>
    <w:uiPriority w:val="0"/>
    <w:pPr>
      <w:tabs>
        <w:tab w:val="right" w:leader="dot" w:pos="9458"/>
      </w:tabs>
    </w:pPr>
    <w:rPr>
      <w:b w:val="0"/>
    </w:rPr>
  </w:style>
  <w:style w:type="paragraph" w:customStyle="1" w:styleId="372">
    <w:name w:val="TOC 标题1"/>
    <w:basedOn w:val="2"/>
    <w:next w:val="1"/>
    <w:qFormat/>
    <w:uiPriority w:val="39"/>
    <w:pPr>
      <w:widowControl/>
      <w:spacing w:before="480" w:after="0" w:line="276" w:lineRule="auto"/>
      <w:jc w:val="left"/>
      <w:outlineLvl w:val="9"/>
    </w:pPr>
    <w:rPr>
      <w:rFonts w:ascii="Cambria" w:hAnsi="Cambria"/>
      <w:bCs/>
      <w:color w:val="365F91"/>
      <w:kern w:val="0"/>
    </w:rPr>
  </w:style>
  <w:style w:type="paragraph" w:customStyle="1" w:styleId="37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4">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Table Body"/>
    <w:basedOn w:val="1"/>
    <w:qFormat/>
    <w:uiPriority w:val="0"/>
    <w:pPr>
      <w:widowControl/>
      <w:jc w:val="center"/>
    </w:pPr>
    <w:rPr>
      <w:rFonts w:ascii="Arial" w:hAnsi="Arial"/>
      <w:snapToGrid w:val="0"/>
      <w:kern w:val="0"/>
      <w:sz w:val="18"/>
      <w:szCs w:val="20"/>
    </w:rPr>
  </w:style>
  <w:style w:type="paragraph" w:customStyle="1" w:styleId="377">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8">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签名 - 公司"/>
    <w:basedOn w:val="35"/>
    <w:next w:val="381"/>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81">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82">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3">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4">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5">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7">
    <w:name w:val="正文缩进1"/>
    <w:basedOn w:val="1"/>
    <w:qFormat/>
    <w:uiPriority w:val="0"/>
    <w:pPr>
      <w:ind w:firstLine="567"/>
    </w:pPr>
    <w:rPr>
      <w:spacing w:val="20"/>
      <w:sz w:val="24"/>
      <w:szCs w:val="20"/>
    </w:rPr>
  </w:style>
  <w:style w:type="paragraph" w:customStyle="1" w:styleId="388">
    <w:name w:val="_正文"/>
    <w:basedOn w:val="1"/>
    <w:qFormat/>
    <w:uiPriority w:val="99"/>
    <w:pPr>
      <w:spacing w:line="360" w:lineRule="auto"/>
      <w:ind w:firstLine="200" w:firstLineChars="200"/>
    </w:pPr>
    <w:rPr>
      <w:rFonts w:ascii="宋体" w:hAnsi="宋体"/>
      <w:sz w:val="24"/>
    </w:rPr>
  </w:style>
  <w:style w:type="paragraph" w:customStyle="1" w:styleId="389">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90">
    <w:name w:val="列出段落6"/>
    <w:basedOn w:val="1"/>
    <w:qFormat/>
    <w:uiPriority w:val="0"/>
    <w:pPr>
      <w:ind w:firstLine="420" w:firstLineChars="200"/>
    </w:pPr>
    <w:rPr>
      <w:rFonts w:ascii="仿宋_GB2312" w:eastAsia="仿宋_GB2312" w:cs="宋体"/>
      <w:spacing w:val="6"/>
      <w:sz w:val="30"/>
      <w:szCs w:val="30"/>
    </w:rPr>
  </w:style>
  <w:style w:type="paragraph" w:customStyle="1" w:styleId="391">
    <w:name w:val="_Style 15"/>
    <w:basedOn w:val="1"/>
    <w:qFormat/>
    <w:uiPriority w:val="0"/>
  </w:style>
  <w:style w:type="paragraph" w:customStyle="1" w:styleId="392">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3">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4">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5">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6">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7">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9">
    <w:name w:val="样式"/>
    <w:basedOn w:val="1"/>
    <w:next w:val="24"/>
    <w:qFormat/>
    <w:uiPriority w:val="0"/>
    <w:pPr>
      <w:ind w:left="572" w:right="32" w:firstLine="478"/>
    </w:pPr>
    <w:rPr>
      <w:szCs w:val="21"/>
    </w:rPr>
  </w:style>
  <w:style w:type="paragraph" w:customStyle="1" w:styleId="400">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401">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402">
    <w:name w:val="图表"/>
    <w:basedOn w:val="1"/>
    <w:qFormat/>
    <w:uiPriority w:val="0"/>
    <w:pPr>
      <w:spacing w:line="360" w:lineRule="auto"/>
      <w:ind w:hanging="420"/>
      <w:jc w:val="center"/>
    </w:pPr>
    <w:rPr>
      <w:sz w:val="24"/>
      <w:szCs w:val="20"/>
    </w:rPr>
  </w:style>
  <w:style w:type="paragraph" w:customStyle="1" w:styleId="403">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4">
    <w:name w:val="正文_0"/>
    <w:basedOn w:val="1"/>
    <w:qFormat/>
    <w:uiPriority w:val="0"/>
  </w:style>
  <w:style w:type="paragraph" w:customStyle="1" w:styleId="405">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6">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7">
    <w:name w:val="简单回函地址"/>
    <w:basedOn w:val="1"/>
    <w:qFormat/>
    <w:uiPriority w:val="0"/>
  </w:style>
  <w:style w:type="paragraph" w:customStyle="1" w:styleId="40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9">
    <w:name w:val="样式3"/>
    <w:basedOn w:val="27"/>
    <w:qFormat/>
    <w:uiPriority w:val="0"/>
    <w:pPr>
      <w:tabs>
        <w:tab w:val="right" w:leader="dot" w:pos="9458"/>
      </w:tabs>
    </w:pPr>
    <w:rPr>
      <w:i/>
    </w:rPr>
  </w:style>
  <w:style w:type="paragraph" w:customStyle="1" w:styleId="410">
    <w:name w:val="msolistparagraph"/>
    <w:basedOn w:val="1"/>
    <w:qFormat/>
    <w:uiPriority w:val="0"/>
    <w:pPr>
      <w:ind w:firstLine="420" w:firstLineChars="200"/>
    </w:pPr>
    <w:rPr>
      <w:rFonts w:ascii="Calibri" w:hAnsi="Calibri"/>
      <w:szCs w:val="22"/>
    </w:rPr>
  </w:style>
  <w:style w:type="paragraph" w:customStyle="1" w:styleId="411">
    <w:name w:val="Char Char16 Char Char"/>
    <w:basedOn w:val="1"/>
    <w:qFormat/>
    <w:uiPriority w:val="0"/>
    <w:rPr>
      <w:rFonts w:ascii="Tahoma" w:hAnsi="Tahoma"/>
      <w:sz w:val="24"/>
      <w:szCs w:val="20"/>
    </w:rPr>
  </w:style>
  <w:style w:type="paragraph" w:customStyle="1" w:styleId="412">
    <w:name w:val="正文内容"/>
    <w:basedOn w:val="1"/>
    <w:qFormat/>
    <w:uiPriority w:val="0"/>
    <w:rPr>
      <w:rFonts w:ascii="Arial" w:hAnsi="Arial"/>
      <w:spacing w:val="-12"/>
      <w:szCs w:val="20"/>
    </w:rPr>
  </w:style>
  <w:style w:type="paragraph" w:customStyle="1" w:styleId="4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4">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5">
    <w:name w:val="WPSOffice手动目录 1"/>
    <w:qFormat/>
    <w:uiPriority w:val="0"/>
    <w:rPr>
      <w:rFonts w:ascii="Times New Roman" w:hAnsi="Times New Roman" w:eastAsia="宋体" w:cs="Times New Roman"/>
      <w:lang w:val="en-US" w:eastAsia="zh-CN" w:bidi="ar-SA"/>
    </w:rPr>
  </w:style>
  <w:style w:type="paragraph" w:customStyle="1" w:styleId="41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7">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9">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2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1">
    <w:name w:val="Char1 Char Char Char Char Char Char Char Char"/>
    <w:basedOn w:val="1"/>
    <w:qFormat/>
    <w:uiPriority w:val="0"/>
  </w:style>
  <w:style w:type="paragraph" w:customStyle="1" w:styleId="422">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3">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4">
    <w:name w:val="标题5"/>
    <w:basedOn w:val="1"/>
    <w:qFormat/>
    <w:uiPriority w:val="0"/>
    <w:pPr>
      <w:spacing w:before="120" w:after="120"/>
    </w:pPr>
    <w:rPr>
      <w:rFonts w:ascii="宋体"/>
      <w:b/>
      <w:sz w:val="28"/>
    </w:rPr>
  </w:style>
  <w:style w:type="paragraph" w:customStyle="1" w:styleId="42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6">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8">
    <w:name w:val="Char4"/>
    <w:basedOn w:val="1"/>
    <w:qFormat/>
    <w:uiPriority w:val="0"/>
    <w:pPr>
      <w:ind w:left="980" w:hanging="420"/>
    </w:pPr>
    <w:rPr>
      <w:sz w:val="24"/>
    </w:rPr>
  </w:style>
  <w:style w:type="paragraph" w:customStyle="1" w:styleId="429">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30">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31">
    <w:name w:val="样式 首行缩进:  0.85 厘米"/>
    <w:basedOn w:val="1"/>
    <w:qFormat/>
    <w:uiPriority w:val="0"/>
    <w:pPr>
      <w:ind w:firstLine="480" w:firstLineChars="200"/>
    </w:pPr>
    <w:rPr>
      <w:rFonts w:cs="宋体"/>
      <w:szCs w:val="20"/>
    </w:rPr>
  </w:style>
  <w:style w:type="paragraph" w:customStyle="1" w:styleId="432">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4">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5">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6">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7">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50">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4">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5">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6">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character" w:customStyle="1" w:styleId="457">
    <w:name w:val="列出段落 Char"/>
    <w:link w:val="458"/>
    <w:qFormat/>
    <w:uiPriority w:val="34"/>
    <w:rPr>
      <w:kern w:val="2"/>
      <w:sz w:val="21"/>
      <w:szCs w:val="24"/>
    </w:rPr>
  </w:style>
  <w:style w:type="paragraph" w:styleId="458">
    <w:name w:val="List Paragraph"/>
    <w:basedOn w:val="1"/>
    <w:link w:val="457"/>
    <w:qFormat/>
    <w:uiPriority w:val="34"/>
    <w:pPr>
      <w:ind w:firstLine="420" w:firstLineChars="200"/>
    </w:pPr>
  </w:style>
  <w:style w:type="paragraph" w:customStyle="1" w:styleId="459">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60">
    <w:name w:val="评价"/>
    <w:basedOn w:val="1"/>
    <w:qFormat/>
    <w:uiPriority w:val="0"/>
    <w:pPr>
      <w:spacing w:afterLines="20"/>
      <w:ind w:firstLine="1446" w:firstLineChars="200"/>
    </w:pPr>
    <w:rPr>
      <w:rFonts w:ascii="Calibri" w:hAnsi="Calibri"/>
      <w:sz w:val="24"/>
    </w:rPr>
  </w:style>
  <w:style w:type="character" w:customStyle="1" w:styleId="461">
    <w:name w:val="正文文本 3 Char"/>
    <w:basedOn w:val="54"/>
    <w:link w:val="21"/>
    <w:qFormat/>
    <w:uiPriority w:val="0"/>
    <w:rPr>
      <w:kern w:val="2"/>
      <w:sz w:val="16"/>
      <w:szCs w:val="16"/>
    </w:rPr>
  </w:style>
  <w:style w:type="character" w:customStyle="1" w:styleId="462">
    <w:name w:val="content"/>
    <w:basedOn w:val="54"/>
    <w:qFormat/>
    <w:uiPriority w:val="0"/>
  </w:style>
  <w:style w:type="character" w:customStyle="1" w:styleId="463">
    <w:name w:val="ca-3"/>
    <w:basedOn w:val="54"/>
    <w:qFormat/>
    <w:uiPriority w:val="0"/>
  </w:style>
  <w:style w:type="character" w:customStyle="1" w:styleId="464">
    <w:name w:val="textcontents1"/>
    <w:qFormat/>
    <w:uiPriority w:val="0"/>
    <w:rPr>
      <w:rFonts w:hint="default" w:ascii="ˎ̥" w:hAnsi="ˎ̥"/>
      <w:sz w:val="21"/>
      <w:szCs w:val="21"/>
    </w:rPr>
  </w:style>
  <w:style w:type="character" w:customStyle="1" w:styleId="465">
    <w:name w:val="脚注文本 Char1"/>
    <w:qFormat/>
    <w:uiPriority w:val="0"/>
    <w:rPr>
      <w:kern w:val="2"/>
      <w:sz w:val="18"/>
      <w:szCs w:val="18"/>
    </w:rPr>
  </w:style>
  <w:style w:type="character" w:customStyle="1" w:styleId="466">
    <w:name w:val="脚注文本 Char"/>
    <w:link w:val="40"/>
    <w:qFormat/>
    <w:uiPriority w:val="0"/>
    <w:rPr>
      <w:kern w:val="2"/>
      <w:sz w:val="18"/>
      <w:szCs w:val="18"/>
    </w:rPr>
  </w:style>
  <w:style w:type="character" w:customStyle="1" w:styleId="467">
    <w:name w:val="正文首行缩进（绿盟科技） Char"/>
    <w:link w:val="468"/>
    <w:qFormat/>
    <w:uiPriority w:val="0"/>
    <w:rPr>
      <w:rFonts w:ascii="Arial" w:hAnsi="Arial"/>
      <w:szCs w:val="21"/>
    </w:rPr>
  </w:style>
  <w:style w:type="paragraph" w:customStyle="1" w:styleId="468">
    <w:name w:val="正文首行缩进（绿盟科技）"/>
    <w:basedOn w:val="1"/>
    <w:link w:val="467"/>
    <w:qFormat/>
    <w:uiPriority w:val="0"/>
    <w:pPr>
      <w:widowControl/>
      <w:spacing w:after="50" w:line="300" w:lineRule="auto"/>
      <w:ind w:firstLine="200" w:firstLineChars="200"/>
      <w:jc w:val="left"/>
    </w:pPr>
    <w:rPr>
      <w:rFonts w:ascii="Arial" w:hAnsi="Arial"/>
      <w:kern w:val="0"/>
      <w:sz w:val="20"/>
      <w:szCs w:val="21"/>
    </w:rPr>
  </w:style>
  <w:style w:type="character" w:customStyle="1" w:styleId="469">
    <w:name w:val="c lh15"/>
    <w:basedOn w:val="54"/>
    <w:qFormat/>
    <w:uiPriority w:val="0"/>
  </w:style>
  <w:style w:type="character" w:customStyle="1" w:styleId="470">
    <w:name w:val="Char Char21"/>
    <w:qFormat/>
    <w:uiPriority w:val="0"/>
    <w:rPr>
      <w:b/>
      <w:bCs/>
      <w:kern w:val="2"/>
      <w:sz w:val="32"/>
      <w:szCs w:val="32"/>
    </w:rPr>
  </w:style>
  <w:style w:type="character" w:customStyle="1" w:styleId="471">
    <w:name w:val="content1"/>
    <w:qFormat/>
    <w:uiPriority w:val="0"/>
    <w:rPr>
      <w:rFonts w:hint="default" w:ascii="??" w:hAnsi="??"/>
      <w:sz w:val="16"/>
      <w:szCs w:val="16"/>
      <w:u w:val="none"/>
    </w:rPr>
  </w:style>
  <w:style w:type="character" w:customStyle="1" w:styleId="472">
    <w:name w:val="text21"/>
    <w:basedOn w:val="54"/>
    <w:qFormat/>
    <w:uiPriority w:val="0"/>
  </w:style>
  <w:style w:type="character" w:customStyle="1" w:styleId="473">
    <w:name w:val="apple-style-span"/>
    <w:basedOn w:val="54"/>
    <w:qFormat/>
    <w:uiPriority w:val="0"/>
  </w:style>
  <w:style w:type="paragraph" w:customStyle="1" w:styleId="474">
    <w:name w:val="缺省文本"/>
    <w:basedOn w:val="1"/>
    <w:qFormat/>
    <w:uiPriority w:val="0"/>
    <w:pPr>
      <w:autoSpaceDE w:val="0"/>
      <w:autoSpaceDN w:val="0"/>
      <w:adjustRightInd w:val="0"/>
      <w:jc w:val="left"/>
    </w:pPr>
    <w:rPr>
      <w:kern w:val="0"/>
      <w:sz w:val="24"/>
    </w:rPr>
  </w:style>
  <w:style w:type="paragraph" w:customStyle="1" w:styleId="475">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6">
    <w:name w:val="1"/>
    <w:basedOn w:val="1"/>
    <w:next w:val="28"/>
    <w:qFormat/>
    <w:uiPriority w:val="0"/>
    <w:rPr>
      <w:rFonts w:ascii="宋体" w:hAnsi="Courier New"/>
      <w:szCs w:val="20"/>
    </w:rPr>
  </w:style>
  <w:style w:type="paragraph" w:customStyle="1" w:styleId="477">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8">
    <w:name w:val="Char Char Char Char Char Char Char1"/>
    <w:basedOn w:val="1"/>
    <w:qFormat/>
    <w:uiPriority w:val="0"/>
    <w:pPr>
      <w:widowControl/>
      <w:spacing w:after="160" w:line="240" w:lineRule="exact"/>
      <w:jc w:val="left"/>
    </w:pPr>
  </w:style>
  <w:style w:type="paragraph" w:customStyle="1" w:styleId="479">
    <w:name w:val="USE 1"/>
    <w:basedOn w:val="1"/>
    <w:qFormat/>
    <w:uiPriority w:val="0"/>
    <w:pPr>
      <w:spacing w:line="200" w:lineRule="atLeast"/>
      <w:jc w:val="left"/>
    </w:pPr>
    <w:rPr>
      <w:rFonts w:ascii="宋体" w:hAnsi="宋体"/>
      <w:b/>
      <w:sz w:val="24"/>
      <w:szCs w:val="28"/>
    </w:rPr>
  </w:style>
  <w:style w:type="paragraph" w:customStyle="1" w:styleId="480">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8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2">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3">
    <w:name w:val="_Style 54"/>
    <w:basedOn w:val="1"/>
    <w:next w:val="28"/>
    <w:qFormat/>
    <w:uiPriority w:val="0"/>
    <w:rPr>
      <w:rFonts w:ascii="宋体" w:hAnsi="Courier New"/>
      <w:szCs w:val="20"/>
    </w:rPr>
  </w:style>
  <w:style w:type="character" w:customStyle="1" w:styleId="484">
    <w:name w:val="脚注文本 Char2"/>
    <w:basedOn w:val="54"/>
    <w:qFormat/>
    <w:uiPriority w:val="0"/>
    <w:rPr>
      <w:kern w:val="2"/>
      <w:sz w:val="18"/>
      <w:szCs w:val="18"/>
    </w:rPr>
  </w:style>
  <w:style w:type="paragraph" w:customStyle="1" w:styleId="485">
    <w:name w:val="_Style 56"/>
    <w:basedOn w:val="1"/>
    <w:next w:val="28"/>
    <w:qFormat/>
    <w:uiPriority w:val="0"/>
    <w:rPr>
      <w:rFonts w:ascii="宋体" w:hAnsi="Courier New"/>
      <w:szCs w:val="20"/>
    </w:rPr>
  </w:style>
  <w:style w:type="paragraph" w:customStyle="1" w:styleId="486">
    <w:name w:val="Char Char Char Char2"/>
    <w:basedOn w:val="1"/>
    <w:qFormat/>
    <w:uiPriority w:val="0"/>
    <w:pPr>
      <w:widowControl/>
      <w:spacing w:after="160" w:line="240" w:lineRule="exact"/>
      <w:jc w:val="center"/>
    </w:pPr>
  </w:style>
  <w:style w:type="paragraph" w:customStyle="1" w:styleId="487">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8">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9">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0">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91">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92">
    <w:name w:val="Char2 Char Char Char Char Char Char"/>
    <w:basedOn w:val="1"/>
    <w:qFormat/>
    <w:uiPriority w:val="0"/>
    <w:pPr>
      <w:widowControl/>
      <w:spacing w:after="160" w:line="240" w:lineRule="exact"/>
      <w:jc w:val="left"/>
    </w:pPr>
  </w:style>
  <w:style w:type="paragraph" w:customStyle="1" w:styleId="493">
    <w:name w:val="_Style 50"/>
    <w:basedOn w:val="1"/>
    <w:next w:val="31"/>
    <w:qFormat/>
    <w:uiPriority w:val="0"/>
    <w:pPr>
      <w:adjustRightInd w:val="0"/>
      <w:snapToGrid w:val="0"/>
      <w:spacing w:line="300" w:lineRule="auto"/>
      <w:ind w:firstLine="630" w:firstLineChars="300"/>
    </w:pPr>
    <w:rPr>
      <w:snapToGrid w:val="0"/>
      <w:kern w:val="0"/>
    </w:rPr>
  </w:style>
  <w:style w:type="paragraph" w:customStyle="1" w:styleId="494">
    <w:name w:val="修订2"/>
    <w:qFormat/>
    <w:uiPriority w:val="99"/>
    <w:rPr>
      <w:rFonts w:ascii="Times New Roman" w:hAnsi="Times New Roman" w:eastAsia="宋体" w:cs="Times New Roman"/>
      <w:kern w:val="2"/>
      <w:sz w:val="21"/>
      <w:szCs w:val="24"/>
      <w:lang w:val="en-US" w:eastAsia="zh-CN" w:bidi="ar-SA"/>
    </w:rPr>
  </w:style>
  <w:style w:type="paragraph" w:customStyle="1" w:styleId="495">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6">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7">
    <w:name w:val="5"/>
    <w:basedOn w:val="1"/>
    <w:next w:val="28"/>
    <w:qFormat/>
    <w:uiPriority w:val="0"/>
    <w:rPr>
      <w:rFonts w:ascii="宋体" w:hAnsi="Courier New"/>
      <w:szCs w:val="20"/>
    </w:rPr>
  </w:style>
  <w:style w:type="paragraph" w:customStyle="1" w:styleId="498">
    <w:name w:val="Char Char Char"/>
    <w:basedOn w:val="1"/>
    <w:qFormat/>
    <w:uiPriority w:val="0"/>
    <w:rPr>
      <w:szCs w:val="20"/>
    </w:rPr>
  </w:style>
  <w:style w:type="paragraph" w:customStyle="1" w:styleId="499">
    <w:name w:val="Char2"/>
    <w:basedOn w:val="1"/>
    <w:qFormat/>
    <w:uiPriority w:val="0"/>
    <w:rPr>
      <w:rFonts w:ascii="Tahoma" w:hAnsi="Tahoma"/>
      <w:sz w:val="24"/>
      <w:szCs w:val="20"/>
    </w:rPr>
  </w:style>
  <w:style w:type="paragraph" w:customStyle="1" w:styleId="500">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1">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502">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3">
    <w:name w:val="6"/>
    <w:basedOn w:val="1"/>
    <w:next w:val="28"/>
    <w:qFormat/>
    <w:uiPriority w:val="0"/>
    <w:rPr>
      <w:rFonts w:ascii="宋体" w:hAnsi="Courier New"/>
      <w:szCs w:val="20"/>
    </w:rPr>
  </w:style>
  <w:style w:type="paragraph" w:customStyle="1" w:styleId="504">
    <w:name w:val="2"/>
    <w:basedOn w:val="1"/>
    <w:next w:val="47"/>
    <w:qFormat/>
    <w:uiPriority w:val="0"/>
    <w:pPr>
      <w:widowControl/>
      <w:spacing w:before="100" w:beforeAutospacing="1" w:after="100" w:afterAutospacing="1"/>
      <w:jc w:val="left"/>
    </w:pPr>
    <w:rPr>
      <w:rFonts w:ascii="宋体" w:hAnsi="宋体"/>
      <w:kern w:val="0"/>
      <w:sz w:val="24"/>
    </w:rPr>
  </w:style>
  <w:style w:type="paragraph" w:customStyle="1" w:styleId="505">
    <w:name w:val="7"/>
    <w:basedOn w:val="1"/>
    <w:next w:val="31"/>
    <w:qFormat/>
    <w:uiPriority w:val="0"/>
    <w:pPr>
      <w:adjustRightInd w:val="0"/>
      <w:snapToGrid w:val="0"/>
      <w:spacing w:line="300" w:lineRule="auto"/>
      <w:ind w:firstLine="630" w:firstLineChars="300"/>
    </w:pPr>
    <w:rPr>
      <w:snapToGrid w:val="0"/>
      <w:kern w:val="0"/>
    </w:rPr>
  </w:style>
  <w:style w:type="paragraph" w:customStyle="1" w:styleId="506">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7">
    <w:name w:val="TOC 标题2"/>
    <w:basedOn w:val="2"/>
    <w:next w:val="1"/>
    <w:qFormat/>
    <w:uiPriority w:val="39"/>
    <w:pPr>
      <w:widowControl/>
      <w:spacing w:before="480" w:after="0" w:line="276" w:lineRule="auto"/>
      <w:jc w:val="left"/>
      <w:outlineLvl w:val="9"/>
    </w:pPr>
    <w:rPr>
      <w:rFonts w:ascii="Cambria" w:hAnsi="Cambria" w:cs="宋体"/>
      <w:bCs/>
      <w:color w:val="365F91"/>
      <w:kern w:val="0"/>
    </w:rPr>
  </w:style>
  <w:style w:type="character" w:customStyle="1" w:styleId="508">
    <w:name w:val="纯文本 Char2"/>
    <w:qFormat/>
    <w:uiPriority w:val="99"/>
    <w:rPr>
      <w:rFonts w:ascii="宋体" w:hAnsi="Courier New"/>
      <w:kern w:val="2"/>
      <w:sz w:val="21"/>
    </w:rPr>
  </w:style>
  <w:style w:type="paragraph" w:customStyle="1" w:styleId="509">
    <w:name w:val="表格文字"/>
    <w:basedOn w:val="510"/>
    <w:qFormat/>
    <w:uiPriority w:val="0"/>
    <w:pPr>
      <w:spacing w:before="25" w:after="25"/>
      <w:jc w:val="left"/>
    </w:pPr>
    <w:rPr>
      <w:bCs/>
      <w:spacing w:val="10"/>
      <w:kern w:val="0"/>
      <w:sz w:val="24"/>
    </w:rPr>
  </w:style>
  <w:style w:type="paragraph" w:customStyle="1" w:styleId="510">
    <w:name w:val="正文 New New New New New New New New New New New New New New New New New New New New New New New New New New New New New New New New New New New New"/>
    <w:next w:val="50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1">
    <w:name w:val="表格文字（两侧对齐）"/>
    <w:basedOn w:val="1"/>
    <w:qFormat/>
    <w:uiPriority w:val="0"/>
    <w:pPr>
      <w:snapToGrid w:val="0"/>
    </w:pPr>
    <w:rPr>
      <w:rFonts w:ascii="Calibri" w:hAnsi="Calibri"/>
      <w:kern w:val="0"/>
      <w:sz w:val="20"/>
    </w:rPr>
  </w:style>
  <w:style w:type="paragraph" w:customStyle="1" w:styleId="512">
    <w:name w:val="列出段落2"/>
    <w:basedOn w:val="1"/>
    <w:qFormat/>
    <w:uiPriority w:val="34"/>
    <w:pPr>
      <w:ind w:firstLine="420" w:firstLineChars="200"/>
    </w:pPr>
    <w:rPr>
      <w:rFonts w:ascii="Calibri" w:hAnsi="Calibri"/>
      <w:szCs w:val="22"/>
    </w:rPr>
  </w:style>
  <w:style w:type="paragraph" w:customStyle="1" w:styleId="513">
    <w:name w:val="Revision"/>
    <w:qFormat/>
    <w:uiPriority w:val="99"/>
    <w:rPr>
      <w:rFonts w:ascii="Times New Roman" w:hAnsi="Times New Roman" w:eastAsia="宋体" w:cs="Times New Roman"/>
      <w:kern w:val="2"/>
      <w:sz w:val="21"/>
      <w:szCs w:val="24"/>
      <w:lang w:val="en-US" w:eastAsia="zh-CN" w:bidi="ar-SA"/>
    </w:rPr>
  </w:style>
  <w:style w:type="paragraph" w:customStyle="1" w:styleId="514">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5">
    <w:name w:val="Table Normal"/>
    <w:semiHidden/>
    <w:unhideWhenUsed/>
    <w:qFormat/>
    <w:uiPriority w:val="0"/>
    <w:tblPr>
      <w:tblCellMar>
        <w:top w:w="0" w:type="dxa"/>
        <w:left w:w="0" w:type="dxa"/>
        <w:bottom w:w="0" w:type="dxa"/>
        <w:right w:w="0" w:type="dxa"/>
      </w:tblCellMar>
    </w:tblPr>
  </w:style>
  <w:style w:type="paragraph" w:customStyle="1" w:styleId="516">
    <w:name w:val="p0"/>
    <w:basedOn w:val="1"/>
    <w:qFormat/>
    <w:uiPriority w:val="0"/>
    <w:pPr>
      <w:widowControl/>
    </w:pPr>
    <w:rPr>
      <w:kern w:val="0"/>
      <w:szCs w:val="21"/>
    </w:rPr>
  </w:style>
  <w:style w:type="table" w:customStyle="1" w:styleId="517">
    <w:name w:val="网格型1"/>
    <w:basedOn w:val="52"/>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8">
    <w:name w:val="_Style 3"/>
    <w:basedOn w:val="1"/>
    <w:autoRedefine/>
    <w:qFormat/>
    <w:uiPriority w:val="0"/>
    <w:rPr>
      <w:rFonts w:ascii="Calibri" w:hAnsi="Calibri"/>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89</Pages>
  <Words>63</Words>
  <Characters>97</Characters>
  <Lines>236</Lines>
  <Paragraphs>66</Paragraphs>
  <TotalTime>11</TotalTime>
  <ScaleCrop>false</ScaleCrop>
  <LinksUpToDate>false</LinksUpToDate>
  <CharactersWithSpaces>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2022-06-12T05:30:00Z</dcterms:created>
  <dc:creator>微软用户</dc:creator>
  <cp:lastModifiedBy>中正-肖工</cp:lastModifiedBy>
  <cp:lastPrinted>2020-05-26T01:03:00Z</cp:lastPrinted>
  <dcterms:modified xsi:type="dcterms:W3CDTF">2026-10-19T07:31:30Z</dcterms:modified>
  <dc:title>招标编号：UHO2010-G0029</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AC50AB07A80542EB88BA52BE0DF7A1F0</vt:lpwstr>
  </property>
  <property fmtid="{D5CDD505-2E9C-101B-9397-08002B2CF9AE}" pid="4" name="KSOTemplateDocerSaveRecord">
    <vt:lpwstr>eyJoZGlkIjoiNmQ5N2QyNDEzMzMzNzA1MWI4Yzk1MjIzYjIxNDM2YjciLCJ1c2VySWQiOiIzNzI3OTc1OTUifQ==</vt:lpwstr>
  </property>
</Properties>
</file>