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27"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深圳市梧桐山发射台改造项目环评服务</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asciiTheme="minorEastAsia" w:hAnsiTheme="minorEastAsia" w:eastAsiaTheme="minorEastAsia"/>
          <w:b/>
          <w:snapToGrid w:val="0"/>
          <w:kern w:val="0"/>
          <w:sz w:val="32"/>
        </w:rPr>
      </w:pPr>
      <w:r>
        <w:rPr>
          <w:rFonts w:hint="eastAsia" w:asciiTheme="minorEastAsia" w:hAnsiTheme="minorEastAsia" w:eastAsiaTheme="minorEastAsia"/>
          <w:b/>
          <w:snapToGrid w:val="0"/>
          <w:kern w:val="0"/>
          <w:sz w:val="32"/>
        </w:rPr>
        <w:t>项目编号：SZZZ2026-QC0035</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8"/>
        <w:adjustRightInd w:val="0"/>
        <w:snapToGrid w:val="0"/>
        <w:spacing w:line="300" w:lineRule="auto"/>
        <w:ind w:hanging="835"/>
        <w:jc w:val="center"/>
        <w:rPr>
          <w:b/>
          <w:snapToGrid w:val="0"/>
          <w:sz w:val="30"/>
        </w:rPr>
      </w:pPr>
      <w:r>
        <w:rPr>
          <w:rFonts w:hint="eastAsia"/>
          <w:b/>
          <w:snapToGrid w:val="0"/>
          <w:sz w:val="30"/>
        </w:rPr>
        <w:t>二〇二六年三月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4"/>
            <w:tabs>
              <w:tab w:val="right" w:leader="dot" w:pos="9628"/>
            </w:tabs>
            <w:rPr>
              <w:rFonts w:ascii="仿宋_GB2312" w:eastAsia="仿宋_GB2312"/>
              <w:sz w:val="24"/>
            </w:rPr>
          </w:pPr>
        </w:p>
        <w:p w14:paraId="7B270614">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15</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75</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85</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1"/>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pPr>
      <w:bookmarkStart w:id="0" w:name="_Toc135293159"/>
      <w:r>
        <w:rPr>
          <w:rFonts w:hint="eastAsia"/>
        </w:rPr>
        <w:t>第一章  投</w:t>
      </w:r>
      <w:bookmarkStart w:id="120" w:name="_GoBack"/>
      <w:bookmarkEnd w:id="120"/>
      <w:r>
        <w:rPr>
          <w:rFonts w:hint="eastAsia"/>
        </w:rPr>
        <w:t>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rPr>
        <w:t>深圳市梧桐山发射台改造项目环评服务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rPr>
        <w:t>SZZZ2026-QC0035</w:t>
      </w:r>
    </w:p>
    <w:p w14:paraId="17E6EF6A">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2、项目名称：深圳市梧桐山发射台改造项目环评服务</w:t>
      </w:r>
    </w:p>
    <w:p w14:paraId="5845403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3、采购方式：邀请竞标</w:t>
      </w:r>
    </w:p>
    <w:p w14:paraId="4A9F9EE1">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4、预算金额：人民币300,000.00元</w:t>
      </w:r>
    </w:p>
    <w:p w14:paraId="3613492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5、最高限价：人民币300,000.00元</w:t>
      </w:r>
    </w:p>
    <w:p w14:paraId="39FF41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5"/>
              <w:spacing w:line="360" w:lineRule="auto"/>
              <w:jc w:val="center"/>
              <w:rPr>
                <w:sz w:val="21"/>
              </w:rPr>
            </w:pPr>
            <w:r>
              <w:rPr>
                <w:sz w:val="21"/>
              </w:rPr>
              <w:t>标的名称</w:t>
            </w:r>
          </w:p>
        </w:tc>
        <w:tc>
          <w:tcPr>
            <w:tcW w:w="921" w:type="dxa"/>
            <w:shd w:val="clear" w:color="auto" w:fill="ABCDEF"/>
            <w:vAlign w:val="center"/>
          </w:tcPr>
          <w:p w14:paraId="1DB556DE">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5"/>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spacing w:line="360" w:lineRule="auto"/>
              <w:jc w:val="center"/>
              <w:rPr>
                <w:rFonts w:asciiTheme="minorEastAsia" w:hAnsiTheme="minorEastAsia" w:eastAsiaTheme="minorEastAsia"/>
                <w:sz w:val="21"/>
              </w:rPr>
            </w:pPr>
            <w:r>
              <w:rPr>
                <w:rFonts w:hint="eastAsia" w:ascii="宋体" w:hAnsi="宋体" w:eastAsiaTheme="minorEastAsia"/>
                <w:snapToGrid w:val="0"/>
                <w:sz w:val="21"/>
                <w:szCs w:val="21"/>
              </w:rPr>
              <w:t>深圳市梧桐山发射台改造项目环评服务</w:t>
            </w:r>
          </w:p>
        </w:tc>
        <w:tc>
          <w:tcPr>
            <w:tcW w:w="921" w:type="dxa"/>
            <w:shd w:val="clear" w:color="auto" w:fill="auto"/>
            <w:vAlign w:val="center"/>
          </w:tcPr>
          <w:p w14:paraId="5869E30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adjustRightInd w:val="0"/>
        <w:snapToGrid w:val="0"/>
        <w:spacing w:before="156"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43A5018">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highlight w:val="yellow"/>
        </w:rPr>
      </w:pPr>
      <w:r>
        <w:rPr>
          <w:rFonts w:hint="eastAsia" w:asciiTheme="minorEastAsia" w:hAnsiTheme="minorEastAsia" w:eastAsiaTheme="minorEastAsia"/>
          <w:snapToGrid w:val="0"/>
          <w:color w:val="auto"/>
          <w:sz w:val="21"/>
        </w:rPr>
        <w:t>（8）</w:t>
      </w:r>
      <w:r>
        <w:rPr>
          <w:rFonts w:hint="eastAsia" w:ascii="宋体" w:hAnsi="宋体" w:eastAsia="宋体"/>
          <w:snapToGrid w:val="0"/>
          <w:color w:val="auto"/>
          <w:sz w:val="21"/>
          <w:szCs w:val="21"/>
          <w:highlight w:val="yellow"/>
        </w:rPr>
        <w:t>须为采购单位推荐的供应商。</w:t>
      </w:r>
    </w:p>
    <w:p w14:paraId="57231D31">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日14点30分（北京时间）</w:t>
      </w:r>
    </w:p>
    <w:p w14:paraId="7E1D111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7EB03B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1"/>
      <w:bookmarkStart w:id="2" w:name="OLE_LINK6"/>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2"/>
      <w:r>
        <w:rPr>
          <w:rFonts w:hint="eastAsia" w:ascii="宋体" w:hAnsi="宋体" w:eastAsia="宋体"/>
          <w:snapToGrid w:val="0"/>
          <w:color w:val="auto"/>
          <w:sz w:val="21"/>
          <w:szCs w:val="21"/>
        </w:rPr>
        <w:t>。</w:t>
      </w:r>
    </w:p>
    <w:p w14:paraId="4EF1310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名称：深圳市广播电视技术中心</w:t>
      </w:r>
    </w:p>
    <w:p w14:paraId="34025C2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地址：深圳市南山区桃源街道龙珠大道54号</w:t>
      </w:r>
    </w:p>
    <w:p w14:paraId="4C32D84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联系方式：黄光0755-25160601</w:t>
      </w:r>
    </w:p>
    <w:p w14:paraId="2C9BB22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355FE78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3FE4A73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3</w:t>
      </w:r>
      <w:r>
        <w:rPr>
          <w:rFonts w:ascii="宋体" w:hAnsi="宋体"/>
          <w:snapToGrid w:val="0"/>
          <w:kern w:val="0"/>
          <w:sz w:val="24"/>
        </w:rPr>
        <w:t>月</w:t>
      </w:r>
      <w:r>
        <w:rPr>
          <w:rFonts w:hint="eastAsia" w:ascii="宋体" w:hAnsi="宋体"/>
          <w:snapToGrid w:val="0"/>
          <w:kern w:val="0"/>
          <w:sz w:val="24"/>
          <w:lang w:val="en-US" w:eastAsia="zh-CN"/>
        </w:rPr>
        <w:t>13</w:t>
      </w:r>
      <w:r>
        <w:rPr>
          <w:rFonts w:hint="eastAsia" w:ascii="宋体" w:hAnsi="宋体"/>
          <w:snapToGrid w:val="0"/>
          <w:kern w:val="0"/>
          <w:sz w:val="24"/>
        </w:rPr>
        <w:t>日</w:t>
      </w:r>
      <w:bookmarkStart w:id="3" w:name="_Toc135293160"/>
    </w:p>
    <w:p w14:paraId="104F00BC">
      <w:r>
        <w:rPr>
          <w:rFonts w:hint="eastAsia"/>
        </w:rPr>
        <w:br w:type="page"/>
      </w:r>
    </w:p>
    <w:p w14:paraId="512A5CFA">
      <w:pPr>
        <w:pStyle w:val="2"/>
      </w:pPr>
      <w:r>
        <w:rPr>
          <w:rFonts w:hint="eastAsia"/>
        </w:rPr>
        <w:t>第二章  项目需求</w:t>
      </w:r>
      <w:bookmarkEnd w:id="3"/>
    </w:p>
    <w:p w14:paraId="20197D0B">
      <w:pPr>
        <w:spacing w:after="156"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ascii="宋体" w:hAnsi="宋体" w:cs="宋体"/>
                <w:szCs w:val="21"/>
              </w:rPr>
            </w:pPr>
            <w:r>
              <w:rPr>
                <w:rFonts w:hint="eastAsia" w:ascii="宋体" w:hAnsi="宋体"/>
                <w:snapToGrid w:val="0"/>
                <w:szCs w:val="21"/>
              </w:rPr>
              <w:t>深圳市梧桐山发射台改造项目环评服务</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300,000.00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105A0AED">
      <w:pPr>
        <w:pStyle w:val="321"/>
        <w:ind w:firstLine="0" w:firstLineChars="0"/>
        <w:rPr>
          <w:b/>
        </w:rPr>
      </w:pPr>
      <w:r>
        <w:rPr>
          <w:rFonts w:hint="eastAsia"/>
          <w:b/>
        </w:rPr>
        <w:t>二、项目服务要求</w:t>
      </w:r>
    </w:p>
    <w:p w14:paraId="0B4DA134">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（一）建设内容：</w:t>
      </w:r>
    </w:p>
    <w:p w14:paraId="5835C64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对深圳市梧桐山发射台技术系统进行改造，在现有机房内安装2套10kW地面数字电视发射设备、2套40kW调频广播发射设备；拆除和调整梧桐山发射塔部分现有天线，新安装1副地面数字电视天线和1副调频广播天线；改造现有台站节目传输、监测、配电、空调等配套设施。</w:t>
      </w:r>
    </w:p>
    <w:p w14:paraId="16F1649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本项目为广播电视发射台工艺系统改造工程，主要环境影响因子为射频电磁辐射，需依据导则准确划分天线近场区（电抗近场、辐射近场）和远场区，并采用不同的评价方法，重点评价发射天线对周边电磁环境敏感目标（住宅、学校、医院等）的辐射影响，确保满足《电磁环境控制限值》（GB8702）要求。</w:t>
      </w:r>
    </w:p>
    <w:p w14:paraId="0E09EFB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本项目在现有台区内建设，无需征地，不进行土建改造。</w:t>
      </w:r>
    </w:p>
    <w:p w14:paraId="757AC6B0">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（二）服务范围与工作内容：</w:t>
      </w:r>
    </w:p>
    <w:p w14:paraId="472E64A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本次采购范围为深圳市梧桐山发射台改造项目环境影响评价全流程服务，投标人需依据《中华人民共和国环境影响评价法》《建设项目环境保护管理条例》及相关技术导则，完成以下全部工作内容：确保环评工作符合国家、地方相关法律法规、标准规范及政策要求，科学识别项目建设及运营过程中的环境影响，提出合理可行的污染防治、生态保护及风险防控措施，保障项目建设与生态环境协调发展，确保成果文件通过生态环境主管部门审批，并配合采购人完成后续环保验收等相关工作，所有工作费用均包含在投标报价中，采购人不再另行支付其他费用。</w:t>
      </w:r>
    </w:p>
    <w:p w14:paraId="13C87ED0">
      <w:pPr>
        <w:pStyle w:val="506"/>
        <w:wordWrap/>
        <w:spacing w:afterLines="0" w:line="360" w:lineRule="auto"/>
        <w:ind w:firstLine="420"/>
        <w:rPr>
          <w:rFonts w:cs="Times New Roman"/>
          <w:snapToGrid/>
          <w:spacing w:val="0"/>
          <w:sz w:val="21"/>
          <w:szCs w:val="21"/>
        </w:rPr>
      </w:pPr>
      <w:bookmarkStart w:id="8" w:name="heading_7"/>
      <w:r>
        <w:rPr>
          <w:rFonts w:hint="eastAsia" w:cs="Times New Roman"/>
          <w:snapToGrid/>
          <w:spacing w:val="0"/>
          <w:sz w:val="21"/>
          <w:szCs w:val="21"/>
        </w:rPr>
        <w:t>2.1项目调查及资料收集</w:t>
      </w:r>
      <w:bookmarkEnd w:id="8"/>
    </w:p>
    <w:p w14:paraId="32E3578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调研区域环境现状：开展项目所在地大气、水、噪声、电磁环境、生态环境现状调研，明确区域环境质量现状、环境功能区划及相关环保要求。</w:t>
      </w:r>
    </w:p>
    <w:p w14:paraId="11E024A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识别敏感点：全面排查项目周边规定范围内的环境敏感点（包括居民区、学校、医院、办公楼、生态保护区域等），明确敏感点与项目的距离、规模、功能，建立敏感点档案。</w:t>
      </w:r>
    </w:p>
    <w:p w14:paraId="126C73B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调研相关政策及标准：梳理国家、地方相关法律法规、标准规范及政策要求，明确项目环评审批流程、重点及要求，同步对接采购人确认采购相关合规要求。</w:t>
      </w:r>
    </w:p>
    <w:p w14:paraId="467B6A98">
      <w:pPr>
        <w:pStyle w:val="506"/>
        <w:wordWrap/>
        <w:spacing w:afterLines="0" w:line="360" w:lineRule="auto"/>
        <w:ind w:firstLine="420"/>
        <w:rPr>
          <w:rFonts w:cs="Times New Roman"/>
          <w:snapToGrid/>
          <w:spacing w:val="0"/>
          <w:sz w:val="21"/>
          <w:szCs w:val="21"/>
        </w:rPr>
      </w:pPr>
      <w:bookmarkStart w:id="9" w:name="heading_8"/>
      <w:r>
        <w:rPr>
          <w:rFonts w:hint="eastAsia" w:cs="Times New Roman"/>
          <w:snapToGrid/>
          <w:spacing w:val="0"/>
          <w:sz w:val="21"/>
          <w:szCs w:val="21"/>
        </w:rPr>
        <w:t>2.2环境监测工作</w:t>
      </w:r>
      <w:bookmarkEnd w:id="9"/>
    </w:p>
    <w:p w14:paraId="1FBFF947">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具体监测内容包括：</w:t>
      </w:r>
    </w:p>
    <w:p w14:paraId="25B69D6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电磁环境现状监测：根据《辐射环境保护管理导则 电磁辐射监测仪器和方法》（HJ/T 10.2-1996）及相关标准要求，在发射塔周围布设监测点，监测发射台站址周边规定范围内（根据功率调整）敏感目标（居民区、学校、医院等）的电磁辐射水平，监测因子主要为射频电场强度、磁场强度、功率密度。重点关注最大辐射方向，在预测超标区域或敏感点加密布点。</w:t>
      </w:r>
    </w:p>
    <w:p w14:paraId="5377642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电磁辐射预测依据电磁场强度理论，模型采用《环境影响评价技术导则 广播电视（HJ 1112-2020）》推荐的预测模型（如附录D、E中的公式），预测在满功率发射、多频道同时工作等最不利工况下的电磁辐射水平，分析天线近场区的电磁场分布特征，评估对塔下或塔体维护人员的辐射影响。</w:t>
      </w:r>
    </w:p>
    <w:p w14:paraId="7AF8EF5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详细调查评价范围内（特别是远场区方向）的电磁辐射环境敏感目标（包括现有及规划的住宅、办公楼、工厂等），列表统计其与发射塔的距离、方位、高度及保护级别。</w:t>
      </w:r>
    </w:p>
    <w:p w14:paraId="4F05F19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其他监测：根据项目实际情况开展。</w:t>
      </w:r>
    </w:p>
    <w:p w14:paraId="7FF6938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项目监测费用包含在投标报价中。</w:t>
      </w:r>
    </w:p>
    <w:p w14:paraId="11F28721">
      <w:pPr>
        <w:pStyle w:val="506"/>
        <w:wordWrap/>
        <w:spacing w:afterLines="0" w:line="360" w:lineRule="auto"/>
        <w:ind w:firstLine="420"/>
        <w:rPr>
          <w:rFonts w:cs="Times New Roman"/>
          <w:snapToGrid/>
          <w:spacing w:val="0"/>
          <w:sz w:val="21"/>
          <w:szCs w:val="21"/>
        </w:rPr>
      </w:pPr>
      <w:bookmarkStart w:id="10" w:name="heading_9"/>
      <w:r>
        <w:rPr>
          <w:rFonts w:hint="eastAsia" w:cs="Times New Roman"/>
          <w:snapToGrid/>
          <w:spacing w:val="0"/>
          <w:sz w:val="21"/>
          <w:szCs w:val="21"/>
        </w:rPr>
        <w:t>2.3环境影响评价报告编制</w:t>
      </w:r>
      <w:bookmarkEnd w:id="10"/>
    </w:p>
    <w:p w14:paraId="251D7AB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根据项目调查、资料收集及监测数据，按照《环境影响评价技术导则 总纲》（HJ 2.1-2016）、《环境影响评价技术导则 广播电视》（HJ 1112-2020）等相关标准要求，提出电磁环境管理措施与监测计划，编制符合生态环境主管部门审查要求的《深圳梧桐山发射台技术改造项目环境影响报告书》（以下简称“环评报告”），具体内容包括但不限于：</w:t>
      </w:r>
    </w:p>
    <w:p w14:paraId="5EF0892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总则：明确评价依据、评价目的、评价范围、评价标准、评价因子、评价方法、工作程序及敏感点识别结果。</w:t>
      </w:r>
    </w:p>
    <w:p w14:paraId="596916E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项目概况：详细介绍项目建设内容、规模、地点、建设周期、总投资、环保投资、设备选型及周边环境概况，改扩建项目需增加已有项目回顾性分析。</w:t>
      </w:r>
    </w:p>
    <w:p w14:paraId="57343D1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工程分析：对项目施工期、运营期的工艺流程、污染物排放进行全面分析，包括施工期扬尘、噪声、固体废物、施工废水，运营期电磁辐射、设备噪声、生活污水、固体废物等，明确污染物排放源强、排放方式及排放去向。</w:t>
      </w:r>
    </w:p>
    <w:p w14:paraId="160E4DBD">
      <w:pPr>
        <w:pStyle w:val="506"/>
        <w:wordWrap/>
        <w:spacing w:afterLines="0" w:line="360" w:lineRule="auto"/>
        <w:ind w:firstLine="420"/>
        <w:rPr>
          <w:rFonts w:cs="Times New Roman"/>
          <w:snapToGrid/>
          <w:spacing w:val="0"/>
          <w:sz w:val="21"/>
          <w:szCs w:val="21"/>
          <w:highlight w:val="yellow"/>
        </w:rPr>
      </w:pPr>
      <w:r>
        <w:rPr>
          <w:rFonts w:hint="eastAsia" w:cs="Times New Roman"/>
          <w:snapToGrid/>
          <w:spacing w:val="0"/>
          <w:sz w:val="21"/>
          <w:szCs w:val="21"/>
          <w:highlight w:val="yellow"/>
        </w:rPr>
        <w:t>★环境现状调查与评价：环评报告书中必须包含独立的“电磁辐射环境影响评价”章节，内容应包括发射机参数、天线特性、辐射方向图（展示水平面和垂直面的辐射强度分布）、预测模式选取依据、预测结果表、等值线图、与标准对比分析等，电磁辐射等值线图需清晰标注功率密度超标区域（如有）及敏感目标位置。根据监测数据，对项目所在地环境现状进行分析评价，明确区域环境质量现状及存在的问题。</w:t>
      </w:r>
    </w:p>
    <w:p w14:paraId="358E7D6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环境影响预测与评价：采用科学合理的预测方法及模型，预测项目各类污染物对周边环境的影响程度及范围，重点评价电磁辐射对敏感点的影响，明确影响是否可达标。</w:t>
      </w:r>
    </w:p>
    <w:p w14:paraId="59DE8DF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污染防治措施论证：针对项目施工期、运营期的主要环境影响，提出针对性、可操作性强的污染防治措施（如施工扬尘治理、噪声控制、电磁防护、固废处置、污水治理等），论证措施的可行性、有效性及经济性。</w:t>
      </w:r>
    </w:p>
    <w:p w14:paraId="3813EDF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生态保护措施：结合项目所在地生态环境现状，提出施工期生态保护、植被恢复、水土保持措施，运营期生态环境维护措施，避免或减轻项目对生态环境的影响。</w:t>
      </w:r>
    </w:p>
    <w:p w14:paraId="2300EA2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环境风险评价：识别项目建设及运营过程中的环境风险（如设备故障导致的电磁辐射超标、火灾引发的固废污染等），分析风险发生的概率及影响程度，提出风险防控措施及应急预案。</w:t>
      </w:r>
    </w:p>
    <w:p w14:paraId="7296B5F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环境影响经济损益分析：分析项目建设及运营过程中的环境效益、经济效益及社会效益，论证项目建设的环境可行性。</w:t>
      </w:r>
    </w:p>
    <w:p w14:paraId="1AC2700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评价结论与建议：总结项目建设的环境可行性，明确项目建设过程中需重点关注的环保问题，提出合理可行的建议，确保项目建设与生态环境协调发展，建议内容需结合采购人实际需求优化。</w:t>
      </w:r>
    </w:p>
    <w:p w14:paraId="605CEEE3">
      <w:pPr>
        <w:pStyle w:val="506"/>
        <w:wordWrap/>
        <w:spacing w:afterLines="0" w:line="360" w:lineRule="auto"/>
        <w:ind w:firstLine="420"/>
        <w:rPr>
          <w:rFonts w:cs="Times New Roman"/>
          <w:snapToGrid/>
          <w:spacing w:val="0"/>
          <w:sz w:val="21"/>
          <w:szCs w:val="21"/>
        </w:rPr>
      </w:pPr>
      <w:bookmarkStart w:id="11" w:name="heading_11"/>
      <w:r>
        <w:rPr>
          <w:rFonts w:hint="eastAsia" w:cs="Times New Roman"/>
          <w:snapToGrid/>
          <w:spacing w:val="0"/>
          <w:sz w:val="21"/>
          <w:szCs w:val="21"/>
        </w:rPr>
        <w:t>2.4评审并修改完善，报批审批配合</w:t>
      </w:r>
      <w:bookmarkEnd w:id="11"/>
    </w:p>
    <w:p w14:paraId="410772C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负责组织专家技术评审会（含专家费、会务费），根据评审会专家意见及生态环境主管部门的要求，及时修改完善环评报告及相关附件，修改次数不限制。配合采购人向生态环境主管部门提交报批材料，跟踪审批进度，直至取得环评批复文件，批复文件中不得有“电磁辐射超标”或“需重新选址”等否定性意见。</w:t>
      </w:r>
    </w:p>
    <w:p w14:paraId="47C6F4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（三）技术标准与规范：</w:t>
      </w:r>
    </w:p>
    <w:p w14:paraId="65CE13C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3.1依据法规</w:t>
      </w:r>
    </w:p>
    <w:p w14:paraId="1D06177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环境影响评价工作应严格遵循以下依据（包括但不限于，</w:t>
      </w:r>
      <w:r>
        <w:rPr>
          <w:rFonts w:hint="eastAsia" w:cs="Times New Roman"/>
          <w:snapToGrid/>
          <w:spacing w:val="0"/>
          <w:sz w:val="21"/>
          <w:szCs w:val="21"/>
          <w:highlight w:val="yellow"/>
        </w:rPr>
        <w:t>若有最新修订版本，按最新版本执行</w:t>
      </w:r>
      <w:r>
        <w:rPr>
          <w:rFonts w:hint="eastAsia" w:cs="Times New Roman"/>
          <w:snapToGrid/>
          <w:spacing w:val="0"/>
          <w:sz w:val="21"/>
          <w:szCs w:val="21"/>
        </w:rPr>
        <w:t>）：</w:t>
      </w:r>
    </w:p>
    <w:p w14:paraId="14DC247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(1)《中华人民共和国环境保护法》</w:t>
      </w:r>
    </w:p>
    <w:p w14:paraId="6313C1F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(2)《中华人民共和国环境影响评价法》</w:t>
      </w:r>
    </w:p>
    <w:p w14:paraId="7F9BC98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(3)《中华人民共和国大气污染防治法》</w:t>
      </w:r>
    </w:p>
    <w:p w14:paraId="1F4D69A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(4)《中华人民共和国水污染防治法》</w:t>
      </w:r>
    </w:p>
    <w:p w14:paraId="32941BA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(5)《中华人民共和国噪声污染防治法》</w:t>
      </w:r>
    </w:p>
    <w:p w14:paraId="6B08EFF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(6)《中华人民共和国固体废物污染环境防治法》</w:t>
      </w:r>
    </w:p>
    <w:p w14:paraId="3EFE3B15">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(7)《中华人民共和国放射性污染防治法》</w:t>
      </w:r>
    </w:p>
    <w:p w14:paraId="0BC7A49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(8)《建设项目环境保护管理条例》</w:t>
      </w:r>
    </w:p>
    <w:p w14:paraId="1AF29EA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(9)《环境影响评价技术导则 总纲》（HJ 2.1-2016）</w:t>
      </w:r>
    </w:p>
    <w:p w14:paraId="7F13D56A">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(10)《环境影响评价技术导则 广播电视》（HJ 1112-2020）</w:t>
      </w:r>
    </w:p>
    <w:p w14:paraId="3BDD8B0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(11)《环境影响评价技术导则 声环境》（HJ 2.4-2009）</w:t>
      </w:r>
    </w:p>
    <w:p w14:paraId="14EB43B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(12)《环境影响评价技术导则 生态影响》（HJ 19-2011）</w:t>
      </w:r>
    </w:p>
    <w:p w14:paraId="3E44DB6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(13)《辐射环境保护管理导则 电磁辐射环境影响评价方法与标准》（HJ/T 10.3-1996）</w:t>
      </w:r>
    </w:p>
    <w:p w14:paraId="06C4F3A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(14)《辐射环境保护管理导则 电磁辐射监测仪器和方法》（HJ/T 10.2-1996）</w:t>
      </w:r>
    </w:p>
    <w:p w14:paraId="510FC33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(15)《电磁环境控制限值》（GB 8702-2014）</w:t>
      </w:r>
    </w:p>
    <w:p w14:paraId="36EE6EA8">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(16)《声环境质量标准》（GB 3096-2008）</w:t>
      </w:r>
    </w:p>
    <w:p w14:paraId="26C187B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(17)《工业企业厂界环境噪声排放标准》（GB 12348-2008）</w:t>
      </w:r>
    </w:p>
    <w:p w14:paraId="2C29892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(18)《广播电视天线电磁辐射防护规范》（GY 5054-1995）</w:t>
      </w:r>
    </w:p>
    <w:p w14:paraId="7326AE2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(19)项目可行性研究报告、立项批复文件及相关设计资料</w:t>
      </w:r>
    </w:p>
    <w:p w14:paraId="1FBAAEA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(20)项目所在地生态环境功能区划、土地利用规划、声环境功能区划等地方规划文件</w:t>
      </w:r>
    </w:p>
    <w:p w14:paraId="4708DAA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(21)国家及项目所在地地方生态环境主管部门、政府采购主管部门发布的相关政策、规范性文件及审批要求</w:t>
      </w:r>
    </w:p>
    <w:p w14:paraId="4262ED2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本项目涉及广播电视发射台改建工程，发射台主要设备包括调频/电视发射机，需特别参考依据《电磁环境控制限值》（GB 8702-2014）、《辐射环境保护管理导则 电磁辐射监测仪器和方法》（HJ/T 10.2-1996）、《广播电视天线电磁辐射防护规范》（GY 5054-1995）等法规标准，重点开展电磁环境影响评价。</w:t>
      </w:r>
    </w:p>
    <w:p w14:paraId="72C0F7D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3.2质量要求</w:t>
      </w:r>
    </w:p>
    <w:p w14:paraId="56AF26B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报告内容完整、数据真实、结论科学，符合“达标排放、总量控制、生态保护”原则；污染源强核算需采用类比监测、物料衡算或设计参数等可靠方法，确保准确性；环境影响预测模型选用合理，参数设置符合项目特征及区域环境条件；防治措施具有可操作性，符合清洁生产、循环经济要求。</w:t>
      </w:r>
    </w:p>
    <w:p w14:paraId="2A2E947A">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（四）成果交付要求</w:t>
      </w:r>
    </w:p>
    <w:p w14:paraId="21EFD67D">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4.1交付内容</w:t>
      </w:r>
    </w:p>
    <w:p w14:paraId="4CDB74A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深圳市梧桐山发射台改造项目环境影响报告书（报批版）》纸质版5套（A4胶装，加盖中标人公章及骑缝章），电子版（Word+PDF格式）1套；环境现状监测报告（CMA盖章版）；专家技术评审意见及修改说明（含修改索引）；生态环境主管部门的批复文件。</w:t>
      </w:r>
    </w:p>
    <w:p w14:paraId="46F5E613">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4.2关键节点与交付时限</w:t>
      </w:r>
    </w:p>
    <w:p w14:paraId="40EB3C8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合同签订后：</w:t>
      </w:r>
    </w:p>
    <w:p w14:paraId="7F6F792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第5个工作日内完成现场踏勘与监测方案制定；</w:t>
      </w:r>
    </w:p>
    <w:p w14:paraId="531BB88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第15个工作日内完成现场监测及数据采集；</w:t>
      </w:r>
    </w:p>
    <w:p w14:paraId="3BDF14A4">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第30个工作日内提交报告初稿供采购人内部审核；</w:t>
      </w:r>
    </w:p>
    <w:p w14:paraId="215C87EE">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第40个工作日内通过专家评审，根据反馈意见修改并提交最终版报告（含电子版及纸质版5份）；</w:t>
      </w:r>
    </w:p>
    <w:p w14:paraId="2215692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第45个工作日报送环境影响评价报告至生态环境保护部门；</w:t>
      </w:r>
    </w:p>
    <w:p w14:paraId="2F4AB5CF">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第60个工作日内取得批复文件（因采购人或审批部门原因延误的，时限顺延）。</w:t>
      </w:r>
    </w:p>
    <w:p w14:paraId="33BDA6C9">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投标人须建立严格的进度计划管理制度，每个时间节点向采购人汇报工作进展及存在的问题。若因投标人原因导致工期延误超过30天，采购人有权单方解除合同。</w:t>
      </w:r>
    </w:p>
    <w:p w14:paraId="4FC091D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（五）项目服务人员：</w:t>
      </w:r>
    </w:p>
    <w:p w14:paraId="612DC6F3">
      <w:pPr>
        <w:pStyle w:val="506"/>
        <w:wordWrap/>
        <w:spacing w:afterLines="0" w:line="360" w:lineRule="auto"/>
        <w:ind w:firstLine="420"/>
        <w:rPr>
          <w:rFonts w:cs="Times New Roman"/>
          <w:snapToGrid/>
          <w:spacing w:val="0"/>
          <w:sz w:val="21"/>
          <w:szCs w:val="21"/>
          <w:highlight w:val="yellow"/>
        </w:rPr>
      </w:pPr>
      <w:r>
        <w:rPr>
          <w:rFonts w:cs="Times New Roman"/>
          <w:snapToGrid/>
          <w:spacing w:val="0"/>
          <w:sz w:val="21"/>
          <w:szCs w:val="21"/>
          <w:highlight w:val="yellow"/>
        </w:rPr>
        <w:t>★</w:t>
      </w:r>
      <w:r>
        <w:rPr>
          <w:rFonts w:hint="eastAsia" w:cs="Times New Roman"/>
          <w:snapToGrid/>
          <w:spacing w:val="0"/>
          <w:sz w:val="21"/>
          <w:szCs w:val="21"/>
          <w:highlight w:val="yellow"/>
        </w:rPr>
        <w:t>5.1项目负责人具备环境影响评价工程师职业资格证书（提供证书复印件或官网截图）；</w:t>
      </w:r>
    </w:p>
    <w:p w14:paraId="2196CA46">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5.2项目负责人</w:t>
      </w:r>
      <w:r>
        <w:rPr>
          <w:rFonts w:hint="eastAsia" w:cs="Times New Roman"/>
          <w:snapToGrid/>
          <w:spacing w:val="0"/>
          <w:sz w:val="21"/>
          <w:szCs w:val="21"/>
          <w:lang w:val="en-US" w:eastAsia="zh-CN"/>
        </w:rPr>
        <w:t>在</w:t>
      </w:r>
      <w:r>
        <w:rPr>
          <w:rFonts w:hint="eastAsia" w:cs="Times New Roman"/>
          <w:snapToGrid/>
          <w:spacing w:val="0"/>
          <w:sz w:val="21"/>
          <w:szCs w:val="21"/>
        </w:rPr>
        <w:t>2023年3月1日至本项目投标截止日至少主持过1项广播电视、通信基站或雷达类辐射项目的环评编制工作，全程参与项目调研、报告审核及评审会汇报，不得擅自更换。</w:t>
      </w:r>
    </w:p>
    <w:p w14:paraId="290A4D1B">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5.3项目团队成员需在生态环境部“环境影响评价信用平台”网站上登记备案，熟悉建设项目工艺及污染治理技术；至少配备6名项目团队成员。</w:t>
      </w:r>
    </w:p>
    <w:p w14:paraId="7F099182">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30AC723F">
      <w:pPr>
        <w:pStyle w:val="255"/>
        <w:spacing w:beforeLines="0" w:line="360" w:lineRule="auto"/>
        <w:ind w:firstLine="424" w:firstLineChars="201"/>
        <w:rPr>
          <w:rFonts w:asciiTheme="minorEastAsia" w:hAnsiTheme="minorEastAsia" w:eastAsiaTheme="minorEastAsia"/>
          <w:b/>
          <w:highlight w:val="yellow"/>
        </w:rPr>
      </w:pPr>
      <w:r>
        <w:rPr>
          <w:rFonts w:hint="eastAsia" w:asciiTheme="minorEastAsia" w:hAnsiTheme="minorEastAsia" w:eastAsiaTheme="minorEastAsia"/>
          <w:b/>
          <w:highlight w:val="yellow"/>
        </w:rPr>
        <w:t>自合同签订之日起60个工作日内完成环境影响报告书编制、通过专家技术评审，完成全部服务内容并取得生态环境主管部门的正式批复文件。</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注：中标人需负责协调主管部门加快审批流程，但因审批部门内部流程导致的超时，不视为中标人违约，但中标人仍需积极跟进。</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深圳市广播电视技术中心梧桐山发射台。</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71BCE99B">
      <w:pPr>
        <w:spacing w:line="360" w:lineRule="auto"/>
        <w:ind w:firstLine="420" w:firstLineChars="200"/>
        <w:jc w:val="left"/>
        <w:rPr>
          <w:rFonts w:ascii="宋体" w:hAnsi="宋体"/>
          <w:szCs w:val="21"/>
        </w:rPr>
      </w:pPr>
      <w:r>
        <w:rPr>
          <w:rFonts w:hint="eastAsia" w:ascii="宋体" w:hAnsi="宋体"/>
          <w:szCs w:val="21"/>
        </w:rPr>
        <w:t>投标人报价应按人民币报价，包括但不限于管理费用、人员费用、税费、生产材料费用、设施硬件配置费用等与完成本项目服务工作有关的全部费用。</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76370C24">
      <w:pPr>
        <w:spacing w:line="360" w:lineRule="auto"/>
        <w:ind w:firstLine="420" w:firstLineChars="200"/>
        <w:jc w:val="left"/>
        <w:rPr>
          <w:rFonts w:ascii="宋体" w:hAnsi="宋体"/>
          <w:szCs w:val="21"/>
        </w:rPr>
      </w:pPr>
      <w:r>
        <w:rPr>
          <w:rFonts w:hint="eastAsia" w:ascii="宋体" w:hAnsi="宋体"/>
          <w:szCs w:val="21"/>
        </w:rPr>
        <w:t>中标价非最终结算价，最终结算价以该项目审计结果为准。</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（五）验收要求：</w:t>
      </w:r>
    </w:p>
    <w:p w14:paraId="5DABBAF1">
      <w:pPr>
        <w:spacing w:line="360" w:lineRule="auto"/>
        <w:ind w:firstLine="424" w:firstLineChars="202"/>
        <w:rPr>
          <w:rFonts w:ascii="宋体" w:hAnsi="宋体" w:cs="宋体"/>
          <w:kern w:val="0"/>
          <w:szCs w:val="21"/>
        </w:rPr>
      </w:pPr>
      <w:r>
        <w:rPr>
          <w:rFonts w:hint="eastAsia" w:ascii="宋体" w:hAnsi="宋体" w:cs="宋体"/>
          <w:kern w:val="0"/>
          <w:szCs w:val="21"/>
        </w:rPr>
        <w:t>5.1技术验收</w:t>
      </w:r>
    </w:p>
    <w:p w14:paraId="47D02401">
      <w:pPr>
        <w:spacing w:line="360" w:lineRule="auto"/>
        <w:ind w:firstLine="424" w:firstLineChars="202"/>
        <w:rPr>
          <w:rFonts w:ascii="宋体" w:hAnsi="宋体" w:cs="宋体"/>
          <w:kern w:val="0"/>
          <w:szCs w:val="21"/>
        </w:rPr>
      </w:pPr>
      <w:r>
        <w:rPr>
          <w:rFonts w:hint="eastAsia" w:ascii="宋体" w:hAnsi="宋体" w:cs="宋体"/>
          <w:kern w:val="0"/>
          <w:szCs w:val="21"/>
        </w:rPr>
        <w:t>监测数据需符合国家及地方环境保护管理要求；预测模型需采用国际通用软件或经验证的解析算法，提供模型参数设置说明。</w:t>
      </w:r>
    </w:p>
    <w:p w14:paraId="5F096A29">
      <w:pPr>
        <w:spacing w:line="360" w:lineRule="auto"/>
        <w:ind w:firstLine="424" w:firstLineChars="202"/>
        <w:rPr>
          <w:rFonts w:ascii="宋体" w:hAnsi="宋体" w:cs="宋体"/>
          <w:kern w:val="0"/>
          <w:szCs w:val="21"/>
        </w:rPr>
      </w:pPr>
      <w:r>
        <w:rPr>
          <w:rFonts w:hint="eastAsia" w:ascii="宋体" w:hAnsi="宋体" w:cs="宋体"/>
          <w:kern w:val="0"/>
          <w:szCs w:val="21"/>
        </w:rPr>
        <w:t>报告通过专家技术评审，结论明确，数据可追溯；无《建设项目环境影响报告书（表）编制监督管理办法》第二十六条、第二十七条规定的质量问题（如遗漏污染物、降低评价等级、抄袭等）。</w:t>
      </w:r>
    </w:p>
    <w:p w14:paraId="6B921346">
      <w:pPr>
        <w:spacing w:line="360" w:lineRule="auto"/>
        <w:ind w:firstLine="424" w:firstLineChars="202"/>
        <w:rPr>
          <w:rFonts w:ascii="宋体" w:hAnsi="宋体" w:cs="宋体"/>
          <w:kern w:val="0"/>
          <w:szCs w:val="21"/>
        </w:rPr>
      </w:pPr>
      <w:r>
        <w:rPr>
          <w:rFonts w:hint="eastAsia" w:ascii="宋体" w:hAnsi="宋体" w:cs="宋体"/>
          <w:kern w:val="0"/>
          <w:szCs w:val="21"/>
        </w:rPr>
        <w:t>5.2行政验收</w:t>
      </w:r>
    </w:p>
    <w:p w14:paraId="00EDAF33">
      <w:pPr>
        <w:spacing w:line="360" w:lineRule="auto"/>
        <w:ind w:firstLine="424" w:firstLineChars="202"/>
        <w:rPr>
          <w:rFonts w:ascii="宋体" w:hAnsi="宋体" w:cs="宋体"/>
          <w:kern w:val="0"/>
          <w:szCs w:val="21"/>
        </w:rPr>
      </w:pPr>
      <w:r>
        <w:rPr>
          <w:rFonts w:hint="eastAsia" w:ascii="宋体" w:hAnsi="宋体" w:cs="宋体"/>
          <w:kern w:val="0"/>
          <w:szCs w:val="21"/>
        </w:rPr>
        <w:t>取得生态环境主管部门出具的正式批复文件，批复内容与报告结论一致，无重大修改要求。</w:t>
      </w:r>
    </w:p>
    <w:p w14:paraId="266060D5">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b/>
          <w:highlight w:val="yellow"/>
        </w:rPr>
        <w:t>★（六）保密与知识产权：</w:t>
      </w:r>
    </w:p>
    <w:p w14:paraId="6C82CA46">
      <w:pPr>
        <w:spacing w:line="360" w:lineRule="auto"/>
        <w:ind w:firstLine="424" w:firstLineChars="202"/>
        <w:rPr>
          <w:rFonts w:ascii="宋体" w:hAnsi="宋体" w:cs="宋体"/>
          <w:kern w:val="0"/>
          <w:szCs w:val="21"/>
          <w:highlight w:val="yellow"/>
        </w:rPr>
      </w:pPr>
      <w:r>
        <w:rPr>
          <w:rFonts w:hint="eastAsia" w:ascii="宋体" w:hAnsi="宋体" w:cs="宋体"/>
          <w:kern w:val="0"/>
          <w:szCs w:val="21"/>
          <w:highlight w:val="yellow"/>
        </w:rPr>
        <w:t>1.中标人需与采购人签定该项目保密协议，投标人发射台技术参数、站址坐标等敏感信息、以及资料和技术秘密等负有保密义务，不得向第三方披露；</w:t>
      </w:r>
    </w:p>
    <w:p w14:paraId="5D5217B1">
      <w:pPr>
        <w:spacing w:line="360" w:lineRule="auto"/>
        <w:ind w:firstLine="424" w:firstLineChars="202"/>
        <w:rPr>
          <w:rFonts w:ascii="宋体" w:hAnsi="宋体" w:cs="宋体"/>
          <w:kern w:val="0"/>
          <w:szCs w:val="21"/>
          <w:highlight w:val="yellow"/>
        </w:rPr>
      </w:pPr>
      <w:r>
        <w:rPr>
          <w:rFonts w:hint="eastAsia" w:ascii="宋体" w:hAnsi="宋体" w:cs="宋体"/>
          <w:kern w:val="0"/>
          <w:szCs w:val="21"/>
          <w:highlight w:val="yellow"/>
        </w:rPr>
        <w:t>2.报告知识产权归采购人有，投标人不得擅自使用或授权他人使用。</w:t>
      </w:r>
    </w:p>
    <w:p w14:paraId="1463FC4D">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（七）其他要求：</w:t>
      </w:r>
    </w:p>
    <w:p w14:paraId="1FE85403">
      <w:pPr>
        <w:spacing w:line="360" w:lineRule="auto"/>
        <w:ind w:firstLine="424" w:firstLineChars="202"/>
        <w:rPr>
          <w:rFonts w:ascii="宋体" w:hAnsi="宋体" w:cs="宋体"/>
          <w:kern w:val="0"/>
          <w:szCs w:val="21"/>
        </w:rPr>
      </w:pPr>
      <w:r>
        <w:rPr>
          <w:rFonts w:hint="eastAsia" w:ascii="宋体" w:hAnsi="宋体" w:cs="宋体"/>
          <w:kern w:val="0"/>
          <w:szCs w:val="21"/>
        </w:rPr>
        <w:t>1. 进度管理：制定详细的工作计划，定期向采购人汇报进展，重大问题及时沟通；</w:t>
      </w:r>
    </w:p>
    <w:p w14:paraId="5DC94E81">
      <w:pPr>
        <w:spacing w:line="360" w:lineRule="auto"/>
        <w:ind w:firstLine="424" w:firstLineChars="202"/>
        <w:rPr>
          <w:rFonts w:ascii="宋体" w:hAnsi="宋体" w:cs="宋体"/>
          <w:kern w:val="0"/>
          <w:szCs w:val="21"/>
        </w:rPr>
      </w:pPr>
      <w:r>
        <w:rPr>
          <w:rFonts w:hint="eastAsia" w:ascii="宋体" w:hAnsi="宋体" w:cs="宋体"/>
          <w:kern w:val="0"/>
          <w:szCs w:val="21"/>
        </w:rPr>
        <w:t>2. 配合义务：协助采购人办理环保验收等相关手续；</w:t>
      </w:r>
    </w:p>
    <w:p w14:paraId="67D5EE81">
      <w:pPr>
        <w:spacing w:line="360" w:lineRule="auto"/>
        <w:ind w:firstLine="424" w:firstLineChars="202"/>
        <w:rPr>
          <w:rFonts w:ascii="宋体" w:hAnsi="宋体" w:cs="宋体"/>
          <w:kern w:val="0"/>
          <w:szCs w:val="21"/>
        </w:rPr>
      </w:pPr>
      <w:r>
        <w:rPr>
          <w:rFonts w:hint="eastAsia" w:ascii="宋体" w:hAnsi="宋体" w:cs="宋体"/>
          <w:kern w:val="0"/>
          <w:szCs w:val="21"/>
        </w:rPr>
        <w:t>3. 违约责任：因投标人原因导致报告未通过评审或未取得批复的，投标人需修改直至通过（费用包含在投标总价内）。</w:t>
      </w:r>
    </w:p>
    <w:p w14:paraId="1B06AE9D">
      <w:pPr>
        <w:ind w:firstLine="420" w:firstLineChars="200"/>
      </w:pPr>
      <w:bookmarkStart w:id="12" w:name="_Toc135293161"/>
    </w:p>
    <w:p w14:paraId="3301BB2A">
      <w:r>
        <w:rPr>
          <w:rFonts w:hint="eastAsia"/>
        </w:rPr>
        <w:br w:type="page"/>
      </w:r>
    </w:p>
    <w:p w14:paraId="73B39F47">
      <w:pPr>
        <w:pStyle w:val="2"/>
      </w:pPr>
    </w:p>
    <w:p w14:paraId="260C741C">
      <w:pPr>
        <w:pStyle w:val="2"/>
      </w:pPr>
      <w:r>
        <w:rPr>
          <w:rFonts w:hint="eastAsia"/>
        </w:rPr>
        <w:t>第三章  投标文件初审</w:t>
      </w:r>
      <w:bookmarkEnd w:id="12"/>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bookmarkStart w:id="13" w:name="_Toc135293162"/>
    </w:p>
    <w:p w14:paraId="0F4F93B8">
      <w:pPr>
        <w:adjustRightInd w:val="0"/>
        <w:spacing w:line="360" w:lineRule="auto"/>
        <w:ind w:firstLine="422" w:firstLineChars="201"/>
        <w:rPr>
          <w:rFonts w:ascii="宋体" w:hAnsi="宋体"/>
          <w:snapToGrid w:val="0"/>
          <w:kern w:val="0"/>
        </w:rPr>
      </w:pPr>
    </w:p>
    <w:p w14:paraId="52B27C3D">
      <w:pPr>
        <w:adjustRightInd w:val="0"/>
        <w:spacing w:line="360" w:lineRule="auto"/>
        <w:ind w:firstLine="422" w:firstLineChars="201"/>
        <w:rPr>
          <w:rFonts w:ascii="宋体" w:hAnsi="宋体"/>
          <w:snapToGrid w:val="0"/>
          <w:kern w:val="0"/>
        </w:rPr>
      </w:pPr>
      <w:r>
        <w:rPr>
          <w:rFonts w:hint="eastAsia" w:ascii="宋体" w:hAnsi="宋体"/>
          <w:snapToGrid w:val="0"/>
          <w:kern w:val="0"/>
        </w:rPr>
        <w:t>三、异常低价审查</w:t>
      </w:r>
    </w:p>
    <w:p w14:paraId="6F7B2EF4">
      <w:pPr>
        <w:adjustRightInd w:val="0"/>
        <w:spacing w:line="360" w:lineRule="auto"/>
        <w:ind w:firstLine="422" w:firstLineChars="201"/>
        <w:rPr>
          <w:rFonts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6F06F3AB">
      <w:pPr>
        <w:adjustRightInd w:val="0"/>
        <w:spacing w:line="360" w:lineRule="auto"/>
        <w:ind w:firstLine="422" w:firstLineChars="201"/>
        <w:rPr>
          <w:rFonts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15B6C7D8">
      <w:pPr>
        <w:adjustRightInd w:val="0"/>
        <w:spacing w:line="360" w:lineRule="auto"/>
        <w:ind w:firstLine="422" w:firstLineChars="201"/>
        <w:rPr>
          <w:rFonts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pPr>
    </w:p>
    <w:p w14:paraId="3B999800">
      <w:pPr>
        <w:spacing w:line="324" w:lineRule="auto"/>
        <w:ind w:firstLine="420"/>
        <w:rPr>
          <w:b/>
          <w:color w:val="FF0000"/>
          <w:szCs w:val="21"/>
        </w:rPr>
      </w:pPr>
      <w:r>
        <w:rPr>
          <w:rFonts w:hint="eastAsia"/>
          <w:b/>
          <w:color w:val="FF0000"/>
          <w:szCs w:val="21"/>
        </w:rPr>
        <w:t>特别说明：</w:t>
      </w:r>
    </w:p>
    <w:p w14:paraId="43C573E9">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0386454B">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6C72C897">
      <w:pPr>
        <w:adjustRightInd w:val="0"/>
        <w:spacing w:line="360" w:lineRule="auto"/>
        <w:ind w:firstLine="422" w:firstLineChars="201"/>
        <w:rPr>
          <w:rFonts w:ascii="宋体" w:hAnsi="宋体"/>
          <w:snapToGrid w:val="0"/>
          <w:kern w:val="0"/>
        </w:rPr>
      </w:pPr>
    </w:p>
    <w:p w14:paraId="6B99DD1A">
      <w:pPr>
        <w:pStyle w:val="2"/>
        <w:spacing w:after="0"/>
      </w:pPr>
    </w:p>
    <w:p w14:paraId="1A9745C8">
      <w:pPr>
        <w:pStyle w:val="2"/>
        <w:spacing w:after="0"/>
      </w:pPr>
      <w:r>
        <w:rPr>
          <w:rFonts w:hint="eastAsia"/>
        </w:rPr>
        <w:t>第四章  评标方法和标准</w:t>
      </w:r>
      <w:bookmarkEnd w:id="13"/>
    </w:p>
    <w:p w14:paraId="4A994828"/>
    <w:p w14:paraId="2F2DF2E1">
      <w:pPr>
        <w:pStyle w:val="4"/>
        <w:spacing w:before="0" w:after="0"/>
      </w:pPr>
      <w:bookmarkStart w:id="14" w:name="_Toc44691393"/>
      <w:bookmarkStart w:id="15" w:name="_Toc44691161"/>
      <w:bookmarkStart w:id="16" w:name="_Toc44690429"/>
      <w:bookmarkStart w:id="17" w:name="_Toc44690702"/>
      <w:bookmarkStart w:id="18" w:name="_Toc135293163"/>
      <w:r>
        <w:rPr>
          <w:rFonts w:hint="eastAsia"/>
        </w:rPr>
        <w:t>一、</w:t>
      </w:r>
      <w:r>
        <w:t>评标方法</w:t>
      </w:r>
      <w:bookmarkEnd w:id="14"/>
      <w:bookmarkEnd w:id="15"/>
      <w:bookmarkEnd w:id="16"/>
      <w:bookmarkEnd w:id="17"/>
      <w:bookmarkEnd w:id="18"/>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综合评分法，是指在最大限度地满足招标文件实质性要求的前提下，按照招标文件中规定的各项因素进行综合评审，评标总得分排名前列的投标人，作为推荐的候选中标人。</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3、中标人及候选中标人数量：</w:t>
      </w:r>
      <w:r>
        <w:rPr>
          <w:rFonts w:hint="eastAsia" w:cs="仿宋" w:asciiTheme="minorEastAsia" w:hAnsiTheme="minorEastAsia" w:eastAsiaTheme="minorEastAsia"/>
          <w:kern w:val="2"/>
          <w:sz w:val="21"/>
          <w:szCs w:val="21"/>
        </w:rPr>
        <w:t>中标人数量：1名，候选中标人数量：1名。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5、确定中标人：</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非评定分离项目：采购人在评标报告确定的候选中标人名单中按顺序确定1名中标人。</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评定分离项目：采购人根据招标文件确定的定标方法，从评审报告推荐的候选中标人中确定1名中标人，并出具定标报告。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9" w:name="_Toc135293164"/>
      <w:r>
        <w:rPr>
          <w:rFonts w:hint="eastAsia"/>
        </w:rPr>
        <w:t>二、评标标准</w:t>
      </w:r>
      <w:bookmarkEnd w:id="19"/>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62</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490D205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36D4626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5B7687E">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2EB8A0D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6C903F3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16AF5CF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59E83DB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0195EE2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方案包含以上三项内容得6分；包含以上二项内容得4分；包含以上一项内容得2分；其他情况不得分。</w:t>
            </w:r>
          </w:p>
          <w:p w14:paraId="09F0224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14DF19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1.需求理解全面、具体，实施计划可行性高，服务承诺科学合理的，加9分；</w:t>
            </w:r>
          </w:p>
          <w:p w14:paraId="496F705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2.需求理解比较全面，实施计划可行性较高，服务承诺较合理的，加5分；</w:t>
            </w:r>
          </w:p>
          <w:p w14:paraId="3187A8D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3.需求理解不够全面，实施计划可行性一般，服务承诺不够合理的，加3分；</w:t>
            </w:r>
          </w:p>
          <w:p w14:paraId="19BEA1CA">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50F1958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74E131CA">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3D8AFFE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A95B45E">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0D9877F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7E5ED359">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45D0BC8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A886C8A">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54A4F0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C298CE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8BD3C0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4B4B73E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，加5分；</w:t>
            </w:r>
          </w:p>
          <w:p w14:paraId="5A854FF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，加3分；</w:t>
            </w:r>
          </w:p>
          <w:p w14:paraId="358B11D3">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05A8D7C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06E387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364828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4EEAE5C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92FC05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52D87B0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2B2501A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5547230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23BD200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2AF6EC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905300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27FE410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0BB7026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，加5分；</w:t>
            </w:r>
          </w:p>
          <w:p w14:paraId="5EF70E9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，加3分；</w:t>
            </w:r>
          </w:p>
          <w:p w14:paraId="245AF22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7B7D9FB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2682548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7274A6F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4D1E22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297494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0539EA41">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6512F09D">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3B48D6E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25CA972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3B4B8AAE">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10ADEC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643E565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8664A61">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7E45A1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7104DA5">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3552C69">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74D199BE">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EFA42EF">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24DFFF9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2FF62D7">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65ED793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EC17A28">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7D016B3C">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359F1DD6">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52590F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EE9C30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rPr>
              <w:t>正式聘任</w:t>
            </w:r>
            <w:r>
              <w:rPr>
                <w:rFonts w:hint="eastAsia" w:asciiTheme="minorEastAsia" w:hAnsiTheme="minorEastAsia" w:eastAsiaTheme="minorEastAsia"/>
                <w:szCs w:val="21"/>
              </w:rPr>
              <w:t>员工，否则本项不得分。在此基础上，按以下标准评分：</w:t>
            </w:r>
          </w:p>
          <w:p w14:paraId="135BC49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2023年1月1日至本项目投标截止日（以合同签订日期为准）具有同类广播电视、通信基站或雷达类辐射项目的环评编制工作项目且担任项目负责人工作经验得5分。</w:t>
            </w:r>
          </w:p>
          <w:p w14:paraId="5BC2AC6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457C32C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公章的近三个月（含投标当月）内任意一个月的个人社保证明；如供应商为新成立单位且成立时间不足一个月的，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5BA4C12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 涉及考察人员工作经验的，要求提供项目合同关键信息作为评分依据，通过合同关键信息无法判断是否得分的，还需同时提供成果文件（环评报告关键页加盖合同甲方公章）或合同甲方出具的证明文件（加盖合同甲方公章或业务章）；</w:t>
            </w:r>
          </w:p>
          <w:p w14:paraId="1BBBA6DC">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未按要求提供有效证明材料或提供不清晰导致评委无法识别的不计得分。</w:t>
            </w:r>
          </w:p>
        </w:tc>
        <w:tc>
          <w:tcPr>
            <w:tcW w:w="1187" w:type="dxa"/>
            <w:vAlign w:val="center"/>
          </w:tcPr>
          <w:p w14:paraId="23731BA0">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0DE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5C41B6B4">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3C768189">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拟安排的项目团队成员（项目负责人除外）情况</w:t>
            </w:r>
          </w:p>
        </w:tc>
        <w:tc>
          <w:tcPr>
            <w:tcW w:w="709" w:type="dxa"/>
            <w:vAlign w:val="center"/>
          </w:tcPr>
          <w:p w14:paraId="6B643864">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5953" w:type="dxa"/>
            <w:vAlign w:val="center"/>
          </w:tcPr>
          <w:p w14:paraId="072C949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23339D67">
            <w:pPr>
              <w:pStyle w:val="94"/>
              <w:spacing w:line="360" w:lineRule="exact"/>
              <w:ind w:firstLine="0" w:firstLineChars="0"/>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拟安排的项目团队成员（项目负责人除外）至少6名且</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rPr>
              <w:t>正式聘任</w:t>
            </w:r>
            <w:r>
              <w:rPr>
                <w:rFonts w:hint="eastAsia" w:asciiTheme="minorEastAsia" w:hAnsiTheme="minorEastAsia" w:eastAsiaTheme="minorEastAsia"/>
                <w:szCs w:val="21"/>
              </w:rPr>
              <w:t>员工，否则本项不得分。在此基础上，按以下标准评分：</w:t>
            </w:r>
          </w:p>
          <w:p w14:paraId="2F444DCB">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项目团队成员持有环境影响评价工程师职业资格的，每人得</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分，最高得</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分；</w:t>
            </w:r>
          </w:p>
          <w:p w14:paraId="6D5CD374">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F6582C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公章的近三个月（含投标当月）内任意一个月的个人社保证明；如供应商为新成立单位且成立时间不足一个月的，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60D47924">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 提供项目团队成员证书；</w:t>
            </w:r>
          </w:p>
          <w:p w14:paraId="45A554B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34E00C7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highlight w:val="yellow"/>
              </w:rPr>
              <w:t>28</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color w:val="000000"/>
                <w:kern w:val="0"/>
                <w:szCs w:val="21"/>
              </w:rPr>
              <w:t>投标人体系认证情况</w:t>
            </w:r>
          </w:p>
        </w:tc>
        <w:tc>
          <w:tcPr>
            <w:tcW w:w="709" w:type="dxa"/>
            <w:vAlign w:val="center"/>
          </w:tcPr>
          <w:p w14:paraId="57882E34">
            <w:pPr>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3</w:t>
            </w:r>
          </w:p>
        </w:tc>
        <w:tc>
          <w:tcPr>
            <w:tcW w:w="5953" w:type="dxa"/>
            <w:vAlign w:val="center"/>
          </w:tcPr>
          <w:p w14:paraId="09FA7CB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E8A686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投标人具有</w:t>
            </w:r>
            <w:r>
              <w:rPr>
                <w:rFonts w:hint="eastAsia" w:asciiTheme="minorEastAsia" w:hAnsiTheme="minorEastAsia" w:eastAsiaTheme="minorEastAsia"/>
                <w:bCs/>
                <w:szCs w:val="21"/>
              </w:rPr>
              <w:t>ISO9001</w:t>
            </w:r>
            <w:r>
              <w:rPr>
                <w:rFonts w:hint="eastAsia" w:asciiTheme="minorEastAsia" w:hAnsiTheme="minorEastAsia" w:eastAsiaTheme="minorEastAsia"/>
                <w:kern w:val="0"/>
                <w:szCs w:val="21"/>
              </w:rPr>
              <w:t>质量管理体系认证证书、</w:t>
            </w:r>
            <w:r>
              <w:rPr>
                <w:rFonts w:asciiTheme="minorEastAsia" w:hAnsiTheme="minorEastAsia" w:eastAsiaTheme="minorEastAsia"/>
                <w:kern w:val="0"/>
                <w:szCs w:val="21"/>
              </w:rPr>
              <w:t>ISO14001</w:t>
            </w:r>
            <w:r>
              <w:rPr>
                <w:rFonts w:hint="eastAsia" w:asciiTheme="minorEastAsia" w:hAnsiTheme="minorEastAsia" w:eastAsiaTheme="minorEastAsia"/>
                <w:kern w:val="0"/>
                <w:szCs w:val="21"/>
              </w:rPr>
              <w:t>环境管理体系认证证书、ISO45001职业健康安全管理体系认证证书，提供1个有效认证证书得1分，最高得3分。</w:t>
            </w:r>
          </w:p>
          <w:p w14:paraId="64DD8584">
            <w:pPr>
              <w:widowControl/>
              <w:spacing w:line="360" w:lineRule="exact"/>
              <w:jc w:val="left"/>
              <w:rPr>
                <w:rFonts w:asciiTheme="minorEastAsia" w:hAnsiTheme="minorEastAsia" w:eastAsiaTheme="minorEastAsia" w:cstheme="minorEastAsia"/>
                <w:kern w:val="0"/>
                <w:szCs w:val="21"/>
                <w:lang w:bidi="ar"/>
              </w:rPr>
            </w:pPr>
            <w:r>
              <w:rPr>
                <w:rFonts w:hint="eastAsia" w:asciiTheme="minorEastAsia" w:hAnsiTheme="minorEastAsia" w:eastAsiaTheme="minorEastAsia" w:cstheme="minorEastAsia"/>
                <w:kern w:val="0"/>
                <w:szCs w:val="21"/>
                <w:lang w:bidi="ar"/>
              </w:rPr>
              <w:t>如存在与上述认证证书名称有所差异，但属于同类证书，符合同种证书要求的，也可得分。</w:t>
            </w:r>
          </w:p>
          <w:p w14:paraId="0E0FEFC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AFAF8EC">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 提供有效认证证书（如认证证书注明年审要求的，必须按规定年审且证书在有效期内的方为有效；如未注明年审要求的，证书必须在有效期内的方为有效）；</w:t>
            </w:r>
          </w:p>
          <w:p w14:paraId="0D289470">
            <w:pPr>
              <w:autoSpaceDE w:val="0"/>
              <w:autoSpaceDN w:val="0"/>
              <w:adjustRightInd w:val="0"/>
              <w:spacing w:line="360" w:lineRule="exact"/>
              <w:jc w:val="left"/>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32895446">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695078C0">
            <w:pPr>
              <w:autoSpaceDE w:val="0"/>
              <w:autoSpaceDN w:val="0"/>
              <w:adjustRightInd w:val="0"/>
              <w:spacing w:line="360" w:lineRule="exact"/>
              <w:jc w:val="left"/>
              <w:rPr>
                <w:rFonts w:ascii="宋体" w:hAnsi="宋体" w:cs="宋体"/>
                <w:szCs w:val="21"/>
                <w:lang w:val="zh-CN"/>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如投标人为新成立企业且成立时间不足以申请认证或未达到认证申请试运行期限的，提供情况说明，</w:t>
            </w:r>
            <w:r>
              <w:rPr>
                <w:rFonts w:hint="eastAsia" w:ascii="宋体" w:hAnsi="宋体" w:cs="宋体"/>
                <w:szCs w:val="21"/>
                <w:lang w:val="zh-CN"/>
              </w:rPr>
              <w:t>亦视为满足评分要求；</w:t>
            </w:r>
          </w:p>
          <w:p w14:paraId="73D1265E">
            <w:pPr>
              <w:autoSpaceDE w:val="0"/>
              <w:autoSpaceDN w:val="0"/>
              <w:adjustRightInd w:val="0"/>
              <w:spacing w:line="360" w:lineRule="exact"/>
              <w:jc w:val="left"/>
              <w:rPr>
                <w:rFonts w:asciiTheme="minorEastAsia" w:hAnsiTheme="minorEastAsia" w:eastAsiaTheme="minorEastAsia"/>
                <w:kern w:val="0"/>
                <w:szCs w:val="21"/>
              </w:rPr>
            </w:pPr>
            <w:r>
              <w:rPr>
                <w:rFonts w:hint="eastAsia" w:ascii="宋体" w:hAnsi="宋体" w:cs="宋体" w:eastAsiaTheme="minorEastAsia"/>
                <w:szCs w:val="21"/>
              </w:rPr>
              <w:t xml:space="preserve">5. </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cs="仿宋" w:asciiTheme="minorEastAsia" w:hAnsiTheme="minorEastAsia" w:eastAsiaTheme="minorEastAsia"/>
                <w:szCs w:val="21"/>
                <w:lang w:val="zh-CN"/>
              </w:rPr>
              <w:t>。</w:t>
            </w:r>
          </w:p>
        </w:tc>
        <w:tc>
          <w:tcPr>
            <w:tcW w:w="1187" w:type="dxa"/>
            <w:vAlign w:val="center"/>
          </w:tcPr>
          <w:p w14:paraId="69239F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7EC82DDA">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49BF8994">
            <w:pPr>
              <w:adjustRightInd w:val="0"/>
              <w:snapToGrid w:val="0"/>
              <w:spacing w:line="360" w:lineRule="exact"/>
              <w:jc w:val="cente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15</w:t>
            </w:r>
          </w:p>
        </w:tc>
        <w:tc>
          <w:tcPr>
            <w:tcW w:w="5953" w:type="dxa"/>
            <w:vAlign w:val="center"/>
          </w:tcPr>
          <w:p w14:paraId="19DD340A">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6586DC95">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2023 年3月1日至本项目投标截止日(以合同签订日期为准)，投标人具有总额定发射功率</w:t>
            </w:r>
            <w:r>
              <w:rPr>
                <w:rFonts w:hint="eastAsia" w:cs="宋体" w:asciiTheme="minorEastAsia" w:hAnsiTheme="minorEastAsia" w:eastAsiaTheme="minorEastAsia"/>
                <w:szCs w:val="21"/>
                <w:lang w:val="en-US" w:eastAsia="zh-CN"/>
              </w:rPr>
              <w:t>不小于100kW（不含备机）</w:t>
            </w:r>
            <w:r>
              <w:rPr>
                <w:rFonts w:hint="eastAsia" w:cs="宋体" w:asciiTheme="minorEastAsia" w:hAnsiTheme="minorEastAsia" w:eastAsiaTheme="minorEastAsia"/>
                <w:szCs w:val="21"/>
              </w:rPr>
              <w:t>的电磁辐射类环评服务同类项目业绩，每提供1个项目得5分,</w:t>
            </w:r>
            <w:r>
              <w:rPr>
                <w:rFonts w:hint="eastAsia" w:cs="宋体" w:asciiTheme="minorEastAsia" w:hAnsiTheme="minorEastAsia" w:eastAsiaTheme="minorEastAsia"/>
                <w:szCs w:val="21"/>
                <w:lang w:val="en-US" w:eastAsia="zh-CN"/>
              </w:rPr>
              <w:t>最高得15分。</w:t>
            </w:r>
          </w:p>
          <w:p w14:paraId="77CBDDE1">
            <w:pPr>
              <w:adjustRightInd w:val="0"/>
              <w:snapToGri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05497835">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提供合同关键页（关键信息包括但不仅限于合同的项目名称、额定功率不小于</w:t>
            </w:r>
            <w:r>
              <w:rPr>
                <w:rFonts w:hint="eastAsia" w:cs="仿宋" w:asciiTheme="minorEastAsia" w:hAnsiTheme="minorEastAsia" w:eastAsiaTheme="minorEastAsia"/>
                <w:szCs w:val="21"/>
                <w:lang w:val="en-US" w:eastAsia="zh-CN"/>
              </w:rPr>
              <w:t>100</w:t>
            </w:r>
            <w:r>
              <w:rPr>
                <w:rFonts w:hint="eastAsia" w:cs="仿宋" w:asciiTheme="minorEastAsia" w:hAnsiTheme="minorEastAsia" w:eastAsiaTheme="minorEastAsia"/>
                <w:szCs w:val="21"/>
              </w:rPr>
              <w:t>kw信息、合同签订日期、甲乙双方签字盖章页）且提供的材料各项信息不得有任何遮挡</w:t>
            </w:r>
            <w:r>
              <w:rPr>
                <w:rFonts w:hint="eastAsia" w:asciiTheme="minorEastAsia" w:hAnsiTheme="minorEastAsia" w:eastAsiaTheme="minorEastAsia"/>
                <w:szCs w:val="21"/>
              </w:rPr>
              <w:t>；</w:t>
            </w:r>
          </w:p>
          <w:p w14:paraId="021A937F">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r>
              <w:rPr>
                <w:rStyle w:val="58"/>
                <w:rFonts w:hint="eastAsia"/>
              </w:rPr>
              <w:t>（加盖合同甲方公章）</w:t>
            </w:r>
            <w:r>
              <w:rPr>
                <w:rFonts w:hint="eastAsia" w:asciiTheme="minorEastAsia" w:hAnsiTheme="minorEastAsia" w:eastAsiaTheme="minorEastAsia"/>
                <w:szCs w:val="21"/>
              </w:rPr>
              <w:t>；</w:t>
            </w:r>
          </w:p>
          <w:p w14:paraId="6AB9E457">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w:t>
            </w:r>
            <w:r>
              <w:rPr>
                <w:rFonts w:hint="eastAsia" w:asciiTheme="minorEastAsia" w:hAnsiTheme="minorEastAsia" w:eastAsiaTheme="minorEastAsia"/>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40CB9D4A">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E8E6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63" w:hRule="atLeast"/>
          <w:jc w:val="center"/>
        </w:trPr>
        <w:tc>
          <w:tcPr>
            <w:tcW w:w="754" w:type="dxa"/>
            <w:vAlign w:val="center"/>
          </w:tcPr>
          <w:p w14:paraId="6A173027">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vAlign w:val="center"/>
          </w:tcPr>
          <w:p w14:paraId="2AA58873">
            <w:pPr>
              <w:adjustRightInd w:val="0"/>
              <w:snapToGrid w:val="0"/>
              <w:spacing w:line="360" w:lineRule="exact"/>
              <w:jc w:val="center"/>
              <w:rPr>
                <w:rFonts w:cs="仿宋" w:asciiTheme="minorEastAsia" w:hAnsiTheme="minorEastAsia" w:eastAsiaTheme="minorEastAsia"/>
                <w:szCs w:val="21"/>
              </w:rPr>
            </w:pPr>
            <w:r>
              <w:rPr>
                <w:rFonts w:hint="eastAsia" w:cs="宋体" w:asciiTheme="minorEastAsia" w:hAnsiTheme="minorEastAsia" w:eastAsiaTheme="minorEastAsia"/>
                <w:color w:val="000000"/>
                <w:kern w:val="0"/>
                <w:szCs w:val="21"/>
              </w:rPr>
              <w:t>保密管理能力</w:t>
            </w:r>
          </w:p>
        </w:tc>
        <w:tc>
          <w:tcPr>
            <w:tcW w:w="709" w:type="dxa"/>
            <w:vAlign w:val="center"/>
          </w:tcPr>
          <w:p w14:paraId="03D227DE">
            <w:pPr>
              <w:adjustRightInd w:val="0"/>
              <w:snapToGrid w:val="0"/>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5</w:t>
            </w:r>
          </w:p>
        </w:tc>
        <w:tc>
          <w:tcPr>
            <w:tcW w:w="5953" w:type="dxa"/>
            <w:vAlign w:val="center"/>
          </w:tcPr>
          <w:p w14:paraId="7755D37C">
            <w:pPr>
              <w:adjustRightInd w:val="0"/>
              <w:snapToGri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（1）投标人有保密制度，有专门的机构或者人员负责保密工作，得3分。提供不全或不提供得0分。</w:t>
            </w:r>
          </w:p>
          <w:p w14:paraId="3BB2A99E">
            <w:pPr>
              <w:adjustRightInd w:val="0"/>
              <w:snapToGri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（2）投标人提供保密制度、机构或者人员名单、场所和设施图片得2分，提供不全或不提供得0分。</w:t>
            </w:r>
          </w:p>
          <w:p w14:paraId="553C29A8">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kern w:val="0"/>
                <w:szCs w:val="21"/>
              </w:rPr>
              <w:t>证明资料：保密制度、机构或者人员名单、场所和设施图片、设备采购合同及发票复印件或扫描件。</w:t>
            </w:r>
          </w:p>
        </w:tc>
        <w:tc>
          <w:tcPr>
            <w:tcW w:w="1187" w:type="dxa"/>
            <w:vAlign w:val="center"/>
          </w:tcPr>
          <w:p w14:paraId="00F3178E">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4DBB31C">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42B13F9C">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4"/>
        <w:spacing w:before="0" w:after="0"/>
        <w:jc w:val="left"/>
        <w:rPr>
          <w:rFonts w:asciiTheme="minorEastAsia" w:hAnsiTheme="minorEastAsia"/>
          <w:bCs w:val="0"/>
          <w:sz w:val="21"/>
          <w:szCs w:val="21"/>
        </w:rPr>
      </w:pPr>
      <w:bookmarkStart w:id="20" w:name="_Toc44690430"/>
      <w:bookmarkStart w:id="21" w:name="_Toc44691394"/>
      <w:bookmarkStart w:id="22" w:name="_Toc44691162"/>
      <w:bookmarkStart w:id="23" w:name="_Toc44690703"/>
      <w:bookmarkStart w:id="24" w:name="_Toc135293165"/>
      <w:r>
        <w:rPr>
          <w:rFonts w:hint="eastAsia" w:asciiTheme="minorEastAsia" w:hAnsiTheme="minorEastAsia"/>
          <w:bCs w:val="0"/>
          <w:sz w:val="21"/>
          <w:szCs w:val="21"/>
        </w:rPr>
        <w:t>备注：</w:t>
      </w:r>
      <w:bookmarkEnd w:id="20"/>
      <w:bookmarkEnd w:id="21"/>
      <w:bookmarkEnd w:id="22"/>
      <w:bookmarkEnd w:id="23"/>
      <w:bookmarkEnd w:id="24"/>
      <w:r>
        <w:rPr>
          <w:rFonts w:hint="eastAsia" w:cs="仿宋" w:asciiTheme="minorEastAsia" w:hAnsiTheme="minorEastAsia"/>
          <w:sz w:val="21"/>
          <w:szCs w:val="21"/>
        </w:rPr>
        <w:t>评审得分=价格部分得分+技术部分得分+商务部分得分，最高100分。</w:t>
      </w:r>
    </w:p>
    <w:p w14:paraId="66EDEC43">
      <w:pPr>
        <w:pStyle w:val="3"/>
        <w:spacing w:before="0" w:after="0"/>
      </w:pPr>
      <w:bookmarkStart w:id="25" w:name="_Toc135293166"/>
      <w:r>
        <w:rPr>
          <w:rFonts w:hint="eastAsia"/>
        </w:rPr>
        <w:t>1、资质证书有效期</w:t>
      </w:r>
      <w:bookmarkEnd w:id="25"/>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6" w:name="_Toc135293167"/>
      <w:r>
        <w:rPr>
          <w:rFonts w:hint="eastAsia" w:asciiTheme="minorEastAsia" w:hAnsiTheme="minorEastAsia" w:eastAsiaTheme="minorEastAsia"/>
        </w:rPr>
        <w:t>2、政府采购扶持政策</w:t>
      </w:r>
      <w:bookmarkEnd w:id="26"/>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spacing w:before="0" w:beforeAutospacing="0" w:after="0" w:afterAutospacing="0" w:line="360" w:lineRule="auto"/>
        <w:ind w:firstLine="420"/>
        <w:textAlignment w:val="baseline"/>
        <w:rPr>
          <w:rFonts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w:t>
      </w:r>
    </w:p>
    <w:p w14:paraId="7A904998">
      <w:pPr>
        <w:pStyle w:val="45"/>
        <w:spacing w:before="0" w:beforeAutospacing="0" w:after="0" w:afterAutospacing="0" w:line="360" w:lineRule="auto"/>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60455042">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cs="宋体"/>
          <w:b/>
          <w:szCs w:val="21"/>
        </w:rPr>
        <w:t>（五）</w:t>
      </w:r>
      <w:r>
        <w:rPr>
          <w:rFonts w:hint="eastAsia"/>
          <w:b/>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7" w:name="_Toc135293168"/>
      <w:r>
        <w:rPr>
          <w:rFonts w:hint="eastAsia"/>
        </w:rPr>
        <w:t>第五章  投标人须知前附表</w:t>
      </w:r>
      <w:bookmarkEnd w:id="27"/>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6"/>
              <w:spacing w:line="360" w:lineRule="auto"/>
              <w:jc w:val="center"/>
              <w:rPr>
                <w:rFonts w:hAnsi="宋体"/>
              </w:rPr>
            </w:pPr>
            <w:r>
              <w:rPr>
                <w:rFonts w:hint="eastAsia" w:hAnsi="宋体"/>
              </w:rPr>
              <w:t>项号</w:t>
            </w:r>
          </w:p>
        </w:tc>
        <w:tc>
          <w:tcPr>
            <w:tcW w:w="1038" w:type="dxa"/>
            <w:vAlign w:val="center"/>
          </w:tcPr>
          <w:p w14:paraId="004FF1B2">
            <w:pPr>
              <w:pStyle w:val="26"/>
              <w:spacing w:line="360" w:lineRule="auto"/>
              <w:jc w:val="center"/>
              <w:rPr>
                <w:rFonts w:hAnsi="宋体"/>
              </w:rPr>
            </w:pPr>
            <w:r>
              <w:rPr>
                <w:rFonts w:hint="eastAsia" w:hAnsi="宋体"/>
              </w:rPr>
              <w:t>条款号</w:t>
            </w:r>
          </w:p>
        </w:tc>
        <w:tc>
          <w:tcPr>
            <w:tcW w:w="1843" w:type="dxa"/>
            <w:vAlign w:val="center"/>
          </w:tcPr>
          <w:p w14:paraId="39C88661">
            <w:pPr>
              <w:pStyle w:val="26"/>
              <w:spacing w:line="360" w:lineRule="auto"/>
              <w:jc w:val="center"/>
              <w:rPr>
                <w:rFonts w:hAnsi="宋体"/>
              </w:rPr>
            </w:pPr>
            <w:r>
              <w:rPr>
                <w:rFonts w:hint="eastAsia" w:hAnsi="宋体"/>
              </w:rPr>
              <w:t>内容</w:t>
            </w:r>
          </w:p>
        </w:tc>
        <w:tc>
          <w:tcPr>
            <w:tcW w:w="6520" w:type="dxa"/>
          </w:tcPr>
          <w:p w14:paraId="2FA7FB95">
            <w:pPr>
              <w:pStyle w:val="26"/>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6"/>
              <w:spacing w:line="360" w:lineRule="auto"/>
              <w:jc w:val="center"/>
              <w:rPr>
                <w:rFonts w:hAnsi="宋体"/>
              </w:rPr>
            </w:pPr>
            <w:r>
              <w:rPr>
                <w:rFonts w:hAnsi="宋体"/>
              </w:rPr>
              <w:t>1</w:t>
            </w:r>
          </w:p>
        </w:tc>
        <w:tc>
          <w:tcPr>
            <w:tcW w:w="1038" w:type="dxa"/>
            <w:vAlign w:val="center"/>
          </w:tcPr>
          <w:p w14:paraId="7A147954">
            <w:pPr>
              <w:pStyle w:val="26"/>
              <w:spacing w:line="360" w:lineRule="auto"/>
              <w:jc w:val="center"/>
              <w:rPr>
                <w:rFonts w:hAnsi="宋体"/>
              </w:rPr>
            </w:pPr>
            <w:r>
              <w:rPr>
                <w:rFonts w:hAnsi="宋体"/>
              </w:rPr>
              <w:t>1.1</w:t>
            </w:r>
          </w:p>
        </w:tc>
        <w:tc>
          <w:tcPr>
            <w:tcW w:w="1843" w:type="dxa"/>
            <w:vAlign w:val="center"/>
          </w:tcPr>
          <w:p w14:paraId="2345A54F">
            <w:pPr>
              <w:pStyle w:val="26"/>
              <w:spacing w:line="360" w:lineRule="exact"/>
              <w:jc w:val="center"/>
              <w:rPr>
                <w:rFonts w:hAnsi="宋体"/>
              </w:rPr>
            </w:pPr>
            <w:r>
              <w:rPr>
                <w:rFonts w:hint="eastAsia" w:hAnsi="宋体"/>
              </w:rPr>
              <w:t>项目名称</w:t>
            </w:r>
          </w:p>
        </w:tc>
        <w:tc>
          <w:tcPr>
            <w:tcW w:w="6520" w:type="dxa"/>
            <w:vAlign w:val="center"/>
          </w:tcPr>
          <w:p w14:paraId="69996866">
            <w:pPr>
              <w:pStyle w:val="26"/>
              <w:spacing w:line="360" w:lineRule="exact"/>
            </w:pPr>
            <w:r>
              <w:rPr>
                <w:rFonts w:hint="eastAsia"/>
              </w:rPr>
              <w:t>深圳市梧桐山发射台改造项目环评服务</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6"/>
              <w:spacing w:line="360" w:lineRule="auto"/>
              <w:jc w:val="center"/>
              <w:rPr>
                <w:rFonts w:hAnsi="宋体"/>
              </w:rPr>
            </w:pPr>
            <w:r>
              <w:rPr>
                <w:rFonts w:hint="eastAsia" w:hAnsi="宋体"/>
              </w:rPr>
              <w:t>2</w:t>
            </w:r>
          </w:p>
        </w:tc>
        <w:tc>
          <w:tcPr>
            <w:tcW w:w="1038" w:type="dxa"/>
            <w:vAlign w:val="center"/>
          </w:tcPr>
          <w:p w14:paraId="4A2440BC">
            <w:pPr>
              <w:pStyle w:val="26"/>
              <w:spacing w:line="360" w:lineRule="auto"/>
              <w:jc w:val="center"/>
              <w:rPr>
                <w:rFonts w:hAnsi="宋体"/>
              </w:rPr>
            </w:pPr>
            <w:r>
              <w:rPr>
                <w:rFonts w:hAnsi="宋体"/>
              </w:rPr>
              <w:t>2.1</w:t>
            </w:r>
          </w:p>
        </w:tc>
        <w:tc>
          <w:tcPr>
            <w:tcW w:w="1843" w:type="dxa"/>
            <w:vAlign w:val="center"/>
          </w:tcPr>
          <w:p w14:paraId="37A75B13">
            <w:pPr>
              <w:pStyle w:val="26"/>
              <w:spacing w:line="360" w:lineRule="exact"/>
              <w:jc w:val="center"/>
              <w:rPr>
                <w:rFonts w:hAnsi="宋体"/>
              </w:rPr>
            </w:pPr>
            <w:r>
              <w:rPr>
                <w:rFonts w:hint="eastAsia" w:hAnsi="宋体"/>
              </w:rPr>
              <w:t>采购人</w:t>
            </w:r>
          </w:p>
        </w:tc>
        <w:tc>
          <w:tcPr>
            <w:tcW w:w="6520" w:type="dxa"/>
            <w:vAlign w:val="center"/>
          </w:tcPr>
          <w:p w14:paraId="64AC917D">
            <w:pPr>
              <w:pStyle w:val="26"/>
              <w:spacing w:line="360" w:lineRule="exact"/>
              <w:rPr>
                <w:rFonts w:hAnsi="宋体"/>
                <w:szCs w:val="24"/>
              </w:rPr>
            </w:pPr>
            <w:r>
              <w:rPr>
                <w:rFonts w:hint="eastAsia" w:hAnsi="宋体"/>
                <w:snapToGrid w:val="0"/>
                <w:szCs w:val="21"/>
              </w:rPr>
              <w:t>深圳市广播电视技术中心</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6"/>
              <w:spacing w:line="360" w:lineRule="auto"/>
              <w:jc w:val="center"/>
              <w:rPr>
                <w:rFonts w:hAnsi="宋体"/>
              </w:rPr>
            </w:pPr>
            <w:r>
              <w:rPr>
                <w:rFonts w:hint="eastAsia" w:hAnsi="宋体"/>
              </w:rPr>
              <w:t>3</w:t>
            </w:r>
          </w:p>
        </w:tc>
        <w:tc>
          <w:tcPr>
            <w:tcW w:w="1038" w:type="dxa"/>
            <w:vAlign w:val="center"/>
          </w:tcPr>
          <w:p w14:paraId="422E9C5A">
            <w:pPr>
              <w:pStyle w:val="26"/>
              <w:spacing w:line="360" w:lineRule="auto"/>
              <w:jc w:val="center"/>
              <w:rPr>
                <w:rFonts w:hAnsi="宋体"/>
              </w:rPr>
            </w:pPr>
            <w:r>
              <w:rPr>
                <w:rFonts w:hAnsi="宋体"/>
              </w:rPr>
              <w:t>2.2</w:t>
            </w:r>
          </w:p>
        </w:tc>
        <w:tc>
          <w:tcPr>
            <w:tcW w:w="1843" w:type="dxa"/>
            <w:vAlign w:val="center"/>
          </w:tcPr>
          <w:p w14:paraId="4C9A2A2B">
            <w:pPr>
              <w:pStyle w:val="26"/>
              <w:spacing w:line="360" w:lineRule="exact"/>
              <w:jc w:val="center"/>
              <w:rPr>
                <w:rFonts w:hAnsi="宋体"/>
              </w:rPr>
            </w:pPr>
            <w:r>
              <w:rPr>
                <w:rFonts w:hint="eastAsia" w:hAnsi="宋体"/>
              </w:rPr>
              <w:t>采购代理机构</w:t>
            </w:r>
          </w:p>
        </w:tc>
        <w:tc>
          <w:tcPr>
            <w:tcW w:w="6520" w:type="dxa"/>
            <w:vAlign w:val="center"/>
          </w:tcPr>
          <w:p w14:paraId="3A4B40E0">
            <w:pPr>
              <w:pStyle w:val="26"/>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6"/>
              <w:spacing w:line="360" w:lineRule="auto"/>
              <w:jc w:val="center"/>
              <w:rPr>
                <w:rFonts w:hAnsi="宋体"/>
              </w:rPr>
            </w:pPr>
            <w:r>
              <w:rPr>
                <w:rFonts w:hint="eastAsia" w:hAnsi="宋体"/>
              </w:rPr>
              <w:t>4</w:t>
            </w:r>
          </w:p>
        </w:tc>
        <w:tc>
          <w:tcPr>
            <w:tcW w:w="1038" w:type="dxa"/>
            <w:vAlign w:val="center"/>
          </w:tcPr>
          <w:p w14:paraId="0FE24216">
            <w:pPr>
              <w:pStyle w:val="26"/>
              <w:spacing w:line="360" w:lineRule="auto"/>
              <w:jc w:val="center"/>
              <w:rPr>
                <w:rFonts w:hAnsi="宋体"/>
              </w:rPr>
            </w:pPr>
            <w:r>
              <w:rPr>
                <w:rFonts w:hint="eastAsia" w:hAnsi="宋体"/>
              </w:rPr>
              <w:t>3.1</w:t>
            </w:r>
          </w:p>
        </w:tc>
        <w:tc>
          <w:tcPr>
            <w:tcW w:w="1843" w:type="dxa"/>
            <w:vAlign w:val="center"/>
          </w:tcPr>
          <w:p w14:paraId="26DEF2DF">
            <w:pPr>
              <w:pStyle w:val="26"/>
              <w:spacing w:line="360" w:lineRule="exact"/>
              <w:jc w:val="center"/>
              <w:rPr>
                <w:rFonts w:hAnsi="宋体"/>
              </w:rPr>
            </w:pPr>
            <w:r>
              <w:rPr>
                <w:rFonts w:hint="eastAsia" w:hAnsi="宋体"/>
              </w:rPr>
              <w:t>资金来源</w:t>
            </w:r>
          </w:p>
        </w:tc>
        <w:tc>
          <w:tcPr>
            <w:tcW w:w="6520" w:type="dxa"/>
            <w:vAlign w:val="center"/>
          </w:tcPr>
          <w:p w14:paraId="39F0A3BB">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6"/>
              <w:spacing w:line="360" w:lineRule="auto"/>
              <w:jc w:val="center"/>
              <w:rPr>
                <w:rFonts w:hAnsi="宋体"/>
              </w:rPr>
            </w:pPr>
            <w:r>
              <w:rPr>
                <w:rFonts w:hint="eastAsia" w:hAnsi="宋体"/>
              </w:rPr>
              <w:t>5</w:t>
            </w:r>
          </w:p>
        </w:tc>
        <w:tc>
          <w:tcPr>
            <w:tcW w:w="1038" w:type="dxa"/>
            <w:vAlign w:val="center"/>
          </w:tcPr>
          <w:p w14:paraId="6291A907">
            <w:pPr>
              <w:pStyle w:val="26"/>
              <w:spacing w:line="360" w:lineRule="auto"/>
              <w:jc w:val="center"/>
              <w:rPr>
                <w:rFonts w:hAnsi="宋体"/>
              </w:rPr>
            </w:pPr>
            <w:r>
              <w:rPr>
                <w:rFonts w:hint="eastAsia" w:hAnsi="宋体"/>
              </w:rPr>
              <w:t>4.7</w:t>
            </w:r>
          </w:p>
        </w:tc>
        <w:tc>
          <w:tcPr>
            <w:tcW w:w="1843" w:type="dxa"/>
            <w:vAlign w:val="center"/>
          </w:tcPr>
          <w:p w14:paraId="779D6175">
            <w:pPr>
              <w:pStyle w:val="26"/>
              <w:spacing w:line="360" w:lineRule="auto"/>
              <w:jc w:val="center"/>
              <w:rPr>
                <w:rFonts w:hAnsi="宋体"/>
              </w:rPr>
            </w:pPr>
            <w:r>
              <w:rPr>
                <w:rFonts w:hint="eastAsia" w:hAnsi="宋体"/>
              </w:rPr>
              <w:t>投标人资格要求</w:t>
            </w:r>
          </w:p>
        </w:tc>
        <w:tc>
          <w:tcPr>
            <w:tcW w:w="6520" w:type="dxa"/>
            <w:vAlign w:val="center"/>
          </w:tcPr>
          <w:p w14:paraId="746E7684">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6"/>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6"/>
              <w:spacing w:line="360" w:lineRule="auto"/>
              <w:jc w:val="center"/>
              <w:rPr>
                <w:rFonts w:hAnsi="宋体"/>
              </w:rPr>
            </w:pPr>
            <w:r>
              <w:rPr>
                <w:rFonts w:hint="eastAsia" w:hAnsi="宋体"/>
              </w:rPr>
              <w:t>6</w:t>
            </w:r>
          </w:p>
        </w:tc>
        <w:tc>
          <w:tcPr>
            <w:tcW w:w="1038" w:type="dxa"/>
            <w:vAlign w:val="center"/>
          </w:tcPr>
          <w:p w14:paraId="1A3D77A0">
            <w:pPr>
              <w:pStyle w:val="26"/>
              <w:spacing w:line="360" w:lineRule="auto"/>
              <w:jc w:val="center"/>
              <w:rPr>
                <w:rFonts w:hAnsi="宋体"/>
              </w:rPr>
            </w:pPr>
            <w:r>
              <w:rPr>
                <w:rFonts w:hint="eastAsia" w:hAnsi="宋体"/>
              </w:rPr>
              <w:t>4.8</w:t>
            </w:r>
          </w:p>
        </w:tc>
        <w:tc>
          <w:tcPr>
            <w:tcW w:w="1843" w:type="dxa"/>
            <w:vAlign w:val="center"/>
          </w:tcPr>
          <w:p w14:paraId="47A975DB">
            <w:pPr>
              <w:pStyle w:val="26"/>
              <w:spacing w:line="360" w:lineRule="auto"/>
              <w:jc w:val="center"/>
              <w:rPr>
                <w:rFonts w:hAnsi="宋体"/>
              </w:rPr>
            </w:pPr>
            <w:r>
              <w:rPr>
                <w:rFonts w:hint="eastAsia" w:hAnsi="宋体"/>
              </w:rPr>
              <w:t>联合体投标</w:t>
            </w:r>
          </w:p>
        </w:tc>
        <w:tc>
          <w:tcPr>
            <w:tcW w:w="6520" w:type="dxa"/>
          </w:tcPr>
          <w:p w14:paraId="0736499A">
            <w:pPr>
              <w:pStyle w:val="26"/>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6"/>
              <w:spacing w:line="360" w:lineRule="auto"/>
              <w:jc w:val="center"/>
              <w:rPr>
                <w:rFonts w:hAnsi="宋体"/>
              </w:rPr>
            </w:pPr>
            <w:r>
              <w:rPr>
                <w:rFonts w:hint="eastAsia" w:hAnsi="宋体"/>
              </w:rPr>
              <w:t>7</w:t>
            </w:r>
          </w:p>
        </w:tc>
        <w:tc>
          <w:tcPr>
            <w:tcW w:w="1038" w:type="dxa"/>
            <w:vAlign w:val="center"/>
          </w:tcPr>
          <w:p w14:paraId="497A0126">
            <w:pPr>
              <w:pStyle w:val="26"/>
              <w:spacing w:line="360" w:lineRule="auto"/>
              <w:jc w:val="center"/>
              <w:rPr>
                <w:rFonts w:hAnsi="宋体"/>
              </w:rPr>
            </w:pPr>
            <w:r>
              <w:rPr>
                <w:rFonts w:hint="eastAsia" w:hAnsi="宋体"/>
              </w:rPr>
              <w:t>6.1</w:t>
            </w:r>
          </w:p>
        </w:tc>
        <w:tc>
          <w:tcPr>
            <w:tcW w:w="1843" w:type="dxa"/>
            <w:vAlign w:val="center"/>
          </w:tcPr>
          <w:p w14:paraId="2863D47B">
            <w:pPr>
              <w:pStyle w:val="26"/>
              <w:spacing w:line="360" w:lineRule="auto"/>
              <w:jc w:val="center"/>
              <w:rPr>
                <w:rFonts w:hAnsi="宋体"/>
              </w:rPr>
            </w:pPr>
            <w:r>
              <w:rPr>
                <w:rFonts w:hint="eastAsia" w:hAnsi="宋体"/>
              </w:rPr>
              <w:t>踏勘现场</w:t>
            </w:r>
          </w:p>
        </w:tc>
        <w:tc>
          <w:tcPr>
            <w:tcW w:w="6520" w:type="dxa"/>
          </w:tcPr>
          <w:p w14:paraId="5647A1CB">
            <w:pPr>
              <w:pStyle w:val="26"/>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6"/>
              <w:spacing w:line="360" w:lineRule="auto"/>
              <w:jc w:val="center"/>
              <w:rPr>
                <w:rFonts w:hAnsi="宋体"/>
              </w:rPr>
            </w:pPr>
            <w:r>
              <w:rPr>
                <w:rFonts w:hint="eastAsia" w:hAnsi="宋体"/>
              </w:rPr>
              <w:t>8</w:t>
            </w:r>
          </w:p>
        </w:tc>
        <w:tc>
          <w:tcPr>
            <w:tcW w:w="1038" w:type="dxa"/>
            <w:vAlign w:val="center"/>
          </w:tcPr>
          <w:p w14:paraId="4F69E3C5">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6"/>
              <w:spacing w:line="360" w:lineRule="auto"/>
              <w:jc w:val="center"/>
              <w:rPr>
                <w:rFonts w:hAnsi="宋体"/>
              </w:rPr>
            </w:pPr>
            <w:r>
              <w:rPr>
                <w:rFonts w:hint="eastAsia" w:hAnsi="宋体"/>
              </w:rPr>
              <w:t>投标有效期</w:t>
            </w:r>
          </w:p>
        </w:tc>
        <w:tc>
          <w:tcPr>
            <w:tcW w:w="6520" w:type="dxa"/>
          </w:tcPr>
          <w:p w14:paraId="46B2DF29">
            <w:pPr>
              <w:pStyle w:val="26"/>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6"/>
              <w:spacing w:line="360" w:lineRule="auto"/>
              <w:jc w:val="center"/>
              <w:rPr>
                <w:rFonts w:hAnsi="宋体"/>
              </w:rPr>
            </w:pPr>
            <w:r>
              <w:rPr>
                <w:rFonts w:hint="eastAsia" w:hAnsi="宋体"/>
              </w:rPr>
              <w:t>9</w:t>
            </w:r>
          </w:p>
        </w:tc>
        <w:tc>
          <w:tcPr>
            <w:tcW w:w="1038" w:type="dxa"/>
            <w:vAlign w:val="center"/>
          </w:tcPr>
          <w:p w14:paraId="584E15B6">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6"/>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6"/>
              <w:spacing w:line="360" w:lineRule="auto"/>
              <w:jc w:val="center"/>
              <w:rPr>
                <w:rFonts w:hAnsi="宋体"/>
              </w:rPr>
            </w:pPr>
            <w:r>
              <w:rPr>
                <w:rFonts w:hint="eastAsia" w:hAnsi="宋体"/>
              </w:rPr>
              <w:t>10</w:t>
            </w:r>
          </w:p>
        </w:tc>
        <w:tc>
          <w:tcPr>
            <w:tcW w:w="1038" w:type="dxa"/>
            <w:vAlign w:val="center"/>
          </w:tcPr>
          <w:p w14:paraId="10018AC5">
            <w:pPr>
              <w:pStyle w:val="26"/>
              <w:spacing w:line="360" w:lineRule="auto"/>
              <w:jc w:val="center"/>
              <w:rPr>
                <w:rFonts w:hAnsi="宋体"/>
              </w:rPr>
            </w:pPr>
            <w:r>
              <w:rPr>
                <w:rFonts w:hint="eastAsia" w:hAnsi="宋体"/>
              </w:rPr>
              <w:t>16.1</w:t>
            </w:r>
          </w:p>
        </w:tc>
        <w:tc>
          <w:tcPr>
            <w:tcW w:w="1843" w:type="dxa"/>
            <w:vAlign w:val="center"/>
          </w:tcPr>
          <w:p w14:paraId="0AB9D9CB">
            <w:pPr>
              <w:pStyle w:val="26"/>
              <w:spacing w:line="360" w:lineRule="auto"/>
              <w:jc w:val="center"/>
              <w:rPr>
                <w:rFonts w:hAnsi="宋体"/>
              </w:rPr>
            </w:pPr>
            <w:r>
              <w:rPr>
                <w:rFonts w:hint="eastAsia" w:hAnsi="宋体"/>
              </w:rPr>
              <w:t>投标预备会</w:t>
            </w:r>
          </w:p>
          <w:p w14:paraId="53FE8470">
            <w:pPr>
              <w:pStyle w:val="26"/>
              <w:spacing w:line="360" w:lineRule="auto"/>
              <w:jc w:val="center"/>
              <w:rPr>
                <w:rFonts w:hAnsi="宋体"/>
              </w:rPr>
            </w:pPr>
            <w:r>
              <w:rPr>
                <w:rFonts w:hint="eastAsia" w:hAnsi="宋体"/>
              </w:rPr>
              <w:t>（答疑会）</w:t>
            </w:r>
          </w:p>
        </w:tc>
        <w:tc>
          <w:tcPr>
            <w:tcW w:w="6520" w:type="dxa"/>
            <w:vAlign w:val="center"/>
          </w:tcPr>
          <w:p w14:paraId="571F2922">
            <w:pPr>
              <w:pStyle w:val="26"/>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6"/>
              <w:spacing w:line="360" w:lineRule="auto"/>
              <w:jc w:val="center"/>
              <w:rPr>
                <w:rFonts w:hAnsi="宋体"/>
              </w:rPr>
            </w:pPr>
            <w:r>
              <w:rPr>
                <w:rFonts w:hint="eastAsia" w:hAnsi="宋体"/>
              </w:rPr>
              <w:t>11</w:t>
            </w:r>
          </w:p>
        </w:tc>
        <w:tc>
          <w:tcPr>
            <w:tcW w:w="1038" w:type="dxa"/>
            <w:vAlign w:val="center"/>
          </w:tcPr>
          <w:p w14:paraId="44D6EC10">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6"/>
              <w:spacing w:line="360" w:lineRule="auto"/>
              <w:jc w:val="center"/>
              <w:rPr>
                <w:rFonts w:hAnsi="宋体"/>
              </w:rPr>
            </w:pPr>
            <w:r>
              <w:rPr>
                <w:rFonts w:hint="eastAsia" w:hAnsi="宋体"/>
              </w:rPr>
              <w:t>投标文件数量</w:t>
            </w:r>
          </w:p>
        </w:tc>
        <w:tc>
          <w:tcPr>
            <w:tcW w:w="6520" w:type="dxa"/>
          </w:tcPr>
          <w:p w14:paraId="445A2CF5">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6"/>
              <w:spacing w:line="360" w:lineRule="auto"/>
              <w:jc w:val="center"/>
              <w:rPr>
                <w:rFonts w:hAnsi="宋体"/>
              </w:rPr>
            </w:pPr>
            <w:r>
              <w:rPr>
                <w:rFonts w:hint="eastAsia" w:hAnsi="宋体"/>
              </w:rPr>
              <w:t>12</w:t>
            </w:r>
          </w:p>
        </w:tc>
        <w:tc>
          <w:tcPr>
            <w:tcW w:w="1038" w:type="dxa"/>
            <w:vAlign w:val="center"/>
          </w:tcPr>
          <w:p w14:paraId="27CEC368">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6"/>
              <w:spacing w:line="360" w:lineRule="auto"/>
              <w:jc w:val="center"/>
              <w:rPr>
                <w:rFonts w:hAnsi="宋体"/>
              </w:rPr>
            </w:pPr>
            <w:r>
              <w:rPr>
                <w:rFonts w:hint="eastAsia" w:hAnsi="宋体"/>
              </w:rPr>
              <w:t>开标</w:t>
            </w:r>
          </w:p>
        </w:tc>
        <w:tc>
          <w:tcPr>
            <w:tcW w:w="6520" w:type="dxa"/>
          </w:tcPr>
          <w:p w14:paraId="6819E80B">
            <w:pPr>
              <w:pStyle w:val="26"/>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6"/>
              <w:spacing w:line="360" w:lineRule="auto"/>
              <w:jc w:val="center"/>
              <w:rPr>
                <w:rFonts w:hAnsi="宋体"/>
              </w:rPr>
            </w:pPr>
            <w:r>
              <w:rPr>
                <w:rFonts w:hint="eastAsia" w:hAnsi="宋体"/>
              </w:rPr>
              <w:t>13</w:t>
            </w:r>
          </w:p>
        </w:tc>
        <w:tc>
          <w:tcPr>
            <w:tcW w:w="1038" w:type="dxa"/>
            <w:vAlign w:val="center"/>
          </w:tcPr>
          <w:p w14:paraId="455C0D57">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6"/>
              <w:spacing w:line="360" w:lineRule="auto"/>
              <w:jc w:val="center"/>
              <w:rPr>
                <w:rFonts w:hAnsi="宋体"/>
              </w:rPr>
            </w:pPr>
            <w:r>
              <w:rPr>
                <w:rFonts w:hint="eastAsia" w:hAnsi="宋体"/>
              </w:rPr>
              <w:t>投标截止时间</w:t>
            </w:r>
          </w:p>
        </w:tc>
        <w:tc>
          <w:tcPr>
            <w:tcW w:w="6520" w:type="dxa"/>
          </w:tcPr>
          <w:p w14:paraId="5FCF3CA3">
            <w:pPr>
              <w:pStyle w:val="26"/>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6"/>
              <w:spacing w:line="360" w:lineRule="auto"/>
              <w:jc w:val="center"/>
              <w:rPr>
                <w:rFonts w:hAnsi="宋体"/>
              </w:rPr>
            </w:pPr>
            <w:r>
              <w:rPr>
                <w:rFonts w:hint="eastAsia" w:hAnsi="宋体"/>
              </w:rPr>
              <w:t>14</w:t>
            </w:r>
          </w:p>
        </w:tc>
        <w:tc>
          <w:tcPr>
            <w:tcW w:w="1038" w:type="dxa"/>
            <w:vAlign w:val="center"/>
          </w:tcPr>
          <w:p w14:paraId="211F0790">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6"/>
              <w:spacing w:line="360" w:lineRule="auto"/>
              <w:jc w:val="center"/>
              <w:rPr>
                <w:rFonts w:hAnsi="宋体"/>
              </w:rPr>
            </w:pPr>
            <w:r>
              <w:rPr>
                <w:rFonts w:hint="eastAsia" w:hAnsi="宋体"/>
              </w:rPr>
              <w:t>评标办法</w:t>
            </w:r>
          </w:p>
        </w:tc>
        <w:tc>
          <w:tcPr>
            <w:tcW w:w="6520" w:type="dxa"/>
          </w:tcPr>
          <w:p w14:paraId="61612C12">
            <w:pPr>
              <w:pStyle w:val="26"/>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6"/>
              <w:spacing w:line="360" w:lineRule="auto"/>
              <w:jc w:val="center"/>
              <w:rPr>
                <w:rFonts w:hAnsi="宋体"/>
              </w:rPr>
            </w:pPr>
            <w:r>
              <w:rPr>
                <w:rFonts w:hint="eastAsia" w:hAnsi="宋体"/>
              </w:rPr>
              <w:t>15</w:t>
            </w:r>
          </w:p>
        </w:tc>
        <w:tc>
          <w:tcPr>
            <w:tcW w:w="1038" w:type="dxa"/>
            <w:vAlign w:val="center"/>
          </w:tcPr>
          <w:p w14:paraId="30D9A54C">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6"/>
              <w:spacing w:line="360" w:lineRule="auto"/>
              <w:jc w:val="center"/>
              <w:rPr>
                <w:snapToGrid w:val="0"/>
                <w:kern w:val="0"/>
              </w:rPr>
            </w:pPr>
            <w:r>
              <w:rPr>
                <w:rFonts w:hint="eastAsia"/>
                <w:snapToGrid w:val="0"/>
                <w:kern w:val="0"/>
              </w:rPr>
              <w:t>履约保证金</w:t>
            </w:r>
          </w:p>
        </w:tc>
        <w:tc>
          <w:tcPr>
            <w:tcW w:w="6520" w:type="dxa"/>
          </w:tcPr>
          <w:p w14:paraId="6303119F">
            <w:pPr>
              <w:pStyle w:val="26"/>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6"/>
              <w:spacing w:line="360" w:lineRule="auto"/>
              <w:jc w:val="center"/>
              <w:rPr>
                <w:rFonts w:hAnsi="宋体"/>
              </w:rPr>
            </w:pPr>
            <w:r>
              <w:rPr>
                <w:rFonts w:hint="eastAsia" w:hAnsi="宋体"/>
              </w:rPr>
              <w:t>16</w:t>
            </w:r>
          </w:p>
        </w:tc>
        <w:tc>
          <w:tcPr>
            <w:tcW w:w="1038" w:type="dxa"/>
            <w:vAlign w:val="center"/>
          </w:tcPr>
          <w:p w14:paraId="1AB423F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6"/>
              <w:spacing w:line="360" w:lineRule="auto"/>
              <w:jc w:val="center"/>
              <w:rPr>
                <w:rFonts w:hAnsi="宋体"/>
              </w:rPr>
            </w:pPr>
            <w:r>
              <w:rPr>
                <w:rFonts w:hint="eastAsia" w:hAnsi="宋体"/>
              </w:rPr>
              <w:t>代理服务费</w:t>
            </w:r>
          </w:p>
        </w:tc>
        <w:tc>
          <w:tcPr>
            <w:tcW w:w="6520" w:type="dxa"/>
          </w:tcPr>
          <w:p w14:paraId="0A52B2CB">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按深财购[2018]27号文件规定的代理费用参考标准，向中标人收取代理服务费，具体如下：</w:t>
            </w:r>
          </w:p>
          <w:p w14:paraId="6B5B44A0">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687E342D">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pPr>
      <w:bookmarkStart w:id="28" w:name="_Toc135293169"/>
    </w:p>
    <w:p w14:paraId="7406C36C">
      <w:pPr>
        <w:pStyle w:val="2"/>
      </w:pPr>
      <w:r>
        <w:rPr>
          <w:rFonts w:hint="eastAsia"/>
        </w:rPr>
        <w:t>第六章  投标人须知</w:t>
      </w:r>
      <w:bookmarkEnd w:id="28"/>
    </w:p>
    <w:p w14:paraId="2E5D3F6A">
      <w:pPr>
        <w:pStyle w:val="4"/>
        <w:spacing w:before="0" w:after="0"/>
      </w:pPr>
      <w:bookmarkStart w:id="29" w:name="_Toc135293170"/>
      <w:r>
        <w:rPr>
          <w:rFonts w:hint="eastAsia"/>
        </w:rPr>
        <w:t>一、说</w:t>
      </w:r>
      <w:r>
        <w:t xml:space="preserve">  </w:t>
      </w:r>
      <w:r>
        <w:rPr>
          <w:rFonts w:hint="eastAsia"/>
        </w:rPr>
        <w:t>明</w:t>
      </w:r>
      <w:bookmarkEnd w:id="29"/>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30" w:name="q5"/>
      <w:bookmarkEnd w:id="30"/>
    </w:p>
    <w:p w14:paraId="1C5B43CC">
      <w:pPr>
        <w:pStyle w:val="4"/>
        <w:spacing w:before="0" w:after="0"/>
      </w:pPr>
      <w:bookmarkStart w:id="31" w:name="_Toc135293171"/>
      <w:r>
        <w:rPr>
          <w:rFonts w:hint="eastAsia"/>
        </w:rPr>
        <w:t>二、招标文件说明</w:t>
      </w:r>
      <w:bookmarkEnd w:id="31"/>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32" w:name="q6"/>
      <w:bookmarkEnd w:id="32"/>
      <w:bookmarkStart w:id="33" w:name="_Toc135293172"/>
      <w:r>
        <w:rPr>
          <w:rFonts w:hint="eastAsia"/>
        </w:rPr>
        <w:t>三、投标文件的编写</w:t>
      </w:r>
      <w:bookmarkEnd w:id="33"/>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中标方的投标保证金，采购代理机构将在中标方签订合同并支付代理服务费后5个工作日内退还。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4" w:name="q7"/>
      <w:bookmarkEnd w:id="34"/>
      <w:bookmarkStart w:id="35" w:name="_Toc135293173"/>
      <w:r>
        <w:rPr>
          <w:rFonts w:hint="eastAsia"/>
        </w:rPr>
        <w:t>四、投标文件的递交</w:t>
      </w:r>
      <w:bookmarkEnd w:id="35"/>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6" w:name="_Hlt35050056"/>
      <w:bookmarkEnd w:id="3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7" w:name="q8"/>
      <w:bookmarkEnd w:id="37"/>
      <w:bookmarkStart w:id="38" w:name="_Toc135293174"/>
      <w:r>
        <w:rPr>
          <w:rFonts w:hint="eastAsia"/>
        </w:rPr>
        <w:t>五、开标和评标</w:t>
      </w:r>
      <w:bookmarkEnd w:id="38"/>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评标方法和标准”所述进行详细评审，并推荐候选中标人。</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9" w:name="q9"/>
      <w:bookmarkEnd w:id="39"/>
    </w:p>
    <w:p w14:paraId="44A988C9">
      <w:pPr>
        <w:pStyle w:val="4"/>
        <w:spacing w:before="0" w:after="0"/>
      </w:pPr>
      <w:bookmarkStart w:id="40" w:name="_Toc135293175"/>
      <w:r>
        <w:rPr>
          <w:rFonts w:hint="eastAsia"/>
        </w:rPr>
        <w:t>六、授予合同</w:t>
      </w:r>
      <w:bookmarkEnd w:id="40"/>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中标方向采购代理机构支付代理服务费后，领取《中标通知书》。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1051"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1052"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1050"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注：1、代理服务费按差额定率累进法计算。例如：某服务类项目中标金额为1000万元，计算代理服务费如下：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41" w:name="_Toc135293176"/>
      <w:r>
        <w:rPr>
          <w:rFonts w:hint="eastAsia"/>
        </w:rPr>
        <w:t>七、质疑处理</w:t>
      </w:r>
      <w:bookmarkEnd w:id="41"/>
    </w:p>
    <w:p w14:paraId="754BDC90">
      <w:pPr>
        <w:spacing w:line="360" w:lineRule="auto"/>
        <w:rPr>
          <w:rFonts w:asciiTheme="majorEastAsia" w:hAnsiTheme="majorEastAsia" w:eastAsiaTheme="majorEastAsia"/>
          <w:b/>
          <w:bCs/>
          <w:szCs w:val="21"/>
        </w:rPr>
      </w:pPr>
      <w:bookmarkStart w:id="42"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3" w:name="_Hlk75374941"/>
      <w:r>
        <w:rPr>
          <w:rFonts w:hint="eastAsia" w:asciiTheme="majorEastAsia" w:hAnsiTheme="majorEastAsia" w:eastAsiaTheme="majorEastAsia"/>
          <w:szCs w:val="21"/>
        </w:rPr>
        <w:t>以联合体形式参与的，质疑应当由组成联合体的所有成员共同提出</w:t>
      </w:r>
      <w:bookmarkEnd w:id="43"/>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2"/>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4" w:name="_Toc135293177"/>
      <w:r>
        <w:rPr>
          <w:rFonts w:hint="eastAsia"/>
        </w:rPr>
        <w:t>第七章  投标文件格式</w:t>
      </w:r>
      <w:bookmarkEnd w:id="44"/>
    </w:p>
    <w:p w14:paraId="6A7BFB52">
      <w:pPr>
        <w:jc w:val="center"/>
        <w:rPr>
          <w:b/>
          <w:sz w:val="52"/>
          <w:szCs w:val="52"/>
        </w:rPr>
      </w:pPr>
    </w:p>
    <w:p w14:paraId="73393E35">
      <w:pPr>
        <w:pStyle w:val="4"/>
        <w:spacing w:line="400" w:lineRule="exact"/>
        <w:rPr>
          <w:rFonts w:ascii="仿宋" w:hAnsi="仿宋" w:eastAsia="仿宋"/>
        </w:rPr>
      </w:pPr>
      <w:bookmarkStart w:id="45" w:name="_Toc44691163"/>
      <w:bookmarkStart w:id="46" w:name="_Toc25194"/>
      <w:bookmarkStart w:id="47" w:name="_Toc44690704"/>
      <w:bookmarkStart w:id="48" w:name="_Toc135293178"/>
      <w:bookmarkStart w:id="49" w:name="_Toc11772"/>
      <w:bookmarkStart w:id="50" w:name="_Toc44691395"/>
      <w:bookmarkStart w:id="51" w:name="_Toc31468"/>
      <w:bookmarkStart w:id="52" w:name="_Toc44690431"/>
      <w:bookmarkStart w:id="53" w:name="_Toc14934"/>
      <w:r>
        <w:rPr>
          <w:rFonts w:hint="eastAsia" w:ascii="仿宋" w:hAnsi="仿宋" w:eastAsia="仿宋"/>
        </w:rPr>
        <w:t>投标文件编制说明</w:t>
      </w:r>
      <w:bookmarkEnd w:id="45"/>
      <w:bookmarkEnd w:id="46"/>
      <w:bookmarkEnd w:id="47"/>
      <w:bookmarkEnd w:id="48"/>
      <w:bookmarkEnd w:id="49"/>
      <w:bookmarkEnd w:id="50"/>
      <w:bookmarkEnd w:id="51"/>
      <w:bookmarkEnd w:id="52"/>
      <w:bookmarkEnd w:id="53"/>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4" w:name="_投标文件格式（第一册）"/>
      <w:bookmarkEnd w:id="54"/>
      <w:bookmarkStart w:id="55"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6"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6"/>
    </w:p>
    <w:bookmarkEnd w:id="55"/>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7" w:name="_格式1__投标人资格证明文件"/>
      <w:bookmarkEnd w:id="57"/>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8" w:name="_Toc135293180"/>
      <w:bookmarkStart w:id="59" w:name="_Toc73613640"/>
      <w:r>
        <w:rPr>
          <w:rFonts w:hint="eastAsia" w:ascii="仿宋" w:hAnsi="仿宋" w:eastAsia="仿宋"/>
        </w:rPr>
        <w:t>政府采购违法行为风险知悉确认书</w:t>
      </w:r>
      <w:bookmarkEnd w:id="58"/>
    </w:p>
    <w:p w14:paraId="5CB0B263">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60" w:name="_Toc135293181"/>
      <w:r>
        <w:rPr>
          <w:rFonts w:hint="eastAsia" w:ascii="仿宋" w:hAnsi="仿宋" w:eastAsia="仿宋"/>
        </w:rPr>
        <w:t>评标指引表</w:t>
      </w:r>
      <w:bookmarkEnd w:id="59"/>
      <w:bookmarkEnd w:id="60"/>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61" w:name="_Toc44691164"/>
      <w:bookmarkStart w:id="62" w:name="_Toc44690432"/>
      <w:bookmarkStart w:id="63" w:name="_Toc135293182"/>
      <w:bookmarkStart w:id="64" w:name="_Toc44691396"/>
      <w:bookmarkStart w:id="65" w:name="_Toc44690705"/>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ascii="仿宋" w:hAnsi="仿宋" w:eastAsia="仿宋"/>
        </w:rPr>
      </w:pPr>
    </w:p>
    <w:p w14:paraId="0DAC9DBC">
      <w:pPr>
        <w:pStyle w:val="4"/>
        <w:spacing w:line="400" w:lineRule="exact"/>
        <w:rPr>
          <w:rFonts w:ascii="仿宋" w:hAnsi="仿宋" w:eastAsia="仿宋"/>
        </w:rPr>
      </w:pPr>
      <w:r>
        <w:rPr>
          <w:rFonts w:hint="eastAsia" w:ascii="仿宋" w:hAnsi="仿宋" w:eastAsia="仿宋"/>
        </w:rPr>
        <w:t>供应商自查表</w:t>
      </w:r>
    </w:p>
    <w:p w14:paraId="7F47F2D5">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1703058D">
            <w:pPr>
              <w:spacing w:line="360" w:lineRule="exact"/>
              <w:jc w:val="center"/>
              <w:rPr>
                <w:rFonts w:ascii="宋体" w:hAnsi="宋体"/>
                <w:szCs w:val="21"/>
              </w:rPr>
            </w:pPr>
            <w:r>
              <w:rPr>
                <w:rFonts w:hint="eastAsia" w:ascii="宋体" w:hAnsi="宋体"/>
                <w:szCs w:val="21"/>
              </w:rPr>
              <w:t>序号</w:t>
            </w:r>
          </w:p>
        </w:tc>
        <w:tc>
          <w:tcPr>
            <w:tcW w:w="6023" w:type="dxa"/>
            <w:vAlign w:val="center"/>
          </w:tcPr>
          <w:p w14:paraId="50CFCB99">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39AD401C">
            <w:pPr>
              <w:spacing w:line="360" w:lineRule="exact"/>
              <w:jc w:val="center"/>
              <w:rPr>
                <w:rFonts w:ascii="宋体" w:hAnsi="宋体"/>
                <w:szCs w:val="21"/>
              </w:rPr>
            </w:pPr>
            <w:r>
              <w:rPr>
                <w:rFonts w:hint="eastAsia" w:ascii="宋体" w:hAnsi="宋体"/>
                <w:szCs w:val="21"/>
              </w:rPr>
              <w:t>自查情况</w:t>
            </w:r>
          </w:p>
          <w:p w14:paraId="6FB44AED">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98CEC79">
            <w:pPr>
              <w:spacing w:line="360" w:lineRule="exact"/>
              <w:jc w:val="center"/>
              <w:rPr>
                <w:rFonts w:ascii="宋体" w:hAnsi="宋体"/>
                <w:szCs w:val="21"/>
              </w:rPr>
            </w:pPr>
            <w:r>
              <w:rPr>
                <w:rFonts w:hint="eastAsia" w:ascii="宋体" w:hAnsi="宋体"/>
                <w:szCs w:val="21"/>
              </w:rPr>
              <w:t>1</w:t>
            </w:r>
          </w:p>
        </w:tc>
        <w:tc>
          <w:tcPr>
            <w:tcW w:w="6023" w:type="dxa"/>
            <w:vAlign w:val="center"/>
          </w:tcPr>
          <w:p w14:paraId="19CBAE41">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5E5FF7">
            <w:pPr>
              <w:spacing w:line="360" w:lineRule="exact"/>
              <w:jc w:val="center"/>
              <w:rPr>
                <w:rFonts w:ascii="宋体" w:hAnsi="宋体"/>
                <w:b/>
                <w:szCs w:val="21"/>
              </w:rPr>
            </w:pPr>
          </w:p>
        </w:tc>
        <w:tc>
          <w:tcPr>
            <w:tcW w:w="924" w:type="dxa"/>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F8032">
            <w:pPr>
              <w:spacing w:line="360" w:lineRule="exact"/>
              <w:jc w:val="center"/>
              <w:rPr>
                <w:rFonts w:ascii="宋体" w:hAnsi="宋体"/>
                <w:szCs w:val="21"/>
              </w:rPr>
            </w:pPr>
            <w:r>
              <w:rPr>
                <w:rFonts w:hint="eastAsia" w:ascii="宋体" w:hAnsi="宋体"/>
                <w:szCs w:val="21"/>
              </w:rPr>
              <w:t>2</w:t>
            </w:r>
          </w:p>
        </w:tc>
        <w:tc>
          <w:tcPr>
            <w:tcW w:w="6023" w:type="dxa"/>
            <w:vAlign w:val="center"/>
          </w:tcPr>
          <w:p w14:paraId="084F9E60">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B0DC002">
            <w:pPr>
              <w:spacing w:line="360" w:lineRule="exact"/>
              <w:jc w:val="center"/>
              <w:rPr>
                <w:rFonts w:ascii="宋体" w:hAnsi="宋体"/>
                <w:b/>
                <w:szCs w:val="21"/>
              </w:rPr>
            </w:pPr>
          </w:p>
        </w:tc>
        <w:tc>
          <w:tcPr>
            <w:tcW w:w="924" w:type="dxa"/>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7DEE6A8">
            <w:pPr>
              <w:spacing w:line="360" w:lineRule="exact"/>
              <w:jc w:val="center"/>
              <w:rPr>
                <w:rFonts w:ascii="宋体" w:hAnsi="宋体"/>
                <w:szCs w:val="21"/>
              </w:rPr>
            </w:pPr>
            <w:r>
              <w:rPr>
                <w:rFonts w:hint="eastAsia" w:ascii="宋体" w:hAnsi="宋体"/>
                <w:szCs w:val="21"/>
              </w:rPr>
              <w:t>3</w:t>
            </w:r>
          </w:p>
        </w:tc>
        <w:tc>
          <w:tcPr>
            <w:tcW w:w="6023" w:type="dxa"/>
            <w:vAlign w:val="center"/>
          </w:tcPr>
          <w:p w14:paraId="25D02EB4">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0CE9E4C">
            <w:pPr>
              <w:spacing w:line="360" w:lineRule="exact"/>
              <w:jc w:val="center"/>
              <w:rPr>
                <w:rFonts w:ascii="宋体" w:hAnsi="宋体"/>
                <w:b/>
                <w:szCs w:val="21"/>
              </w:rPr>
            </w:pPr>
          </w:p>
        </w:tc>
        <w:tc>
          <w:tcPr>
            <w:tcW w:w="924" w:type="dxa"/>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13F1282">
            <w:pPr>
              <w:spacing w:line="360" w:lineRule="exact"/>
              <w:jc w:val="center"/>
              <w:rPr>
                <w:rFonts w:ascii="宋体" w:hAnsi="宋体"/>
                <w:szCs w:val="21"/>
              </w:rPr>
            </w:pPr>
            <w:r>
              <w:rPr>
                <w:rFonts w:hint="eastAsia" w:ascii="宋体" w:hAnsi="宋体"/>
                <w:szCs w:val="21"/>
              </w:rPr>
              <w:t>4</w:t>
            </w:r>
          </w:p>
        </w:tc>
        <w:tc>
          <w:tcPr>
            <w:tcW w:w="6023" w:type="dxa"/>
            <w:vAlign w:val="center"/>
          </w:tcPr>
          <w:p w14:paraId="6CACEB33">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57689211">
            <w:pPr>
              <w:spacing w:line="360" w:lineRule="exact"/>
              <w:jc w:val="center"/>
              <w:rPr>
                <w:rFonts w:ascii="宋体" w:hAnsi="宋体"/>
                <w:b/>
                <w:szCs w:val="21"/>
              </w:rPr>
            </w:pPr>
          </w:p>
        </w:tc>
        <w:tc>
          <w:tcPr>
            <w:tcW w:w="924" w:type="dxa"/>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6B194B">
            <w:pPr>
              <w:spacing w:line="360" w:lineRule="exact"/>
              <w:jc w:val="center"/>
              <w:rPr>
                <w:rFonts w:ascii="宋体" w:hAnsi="宋体"/>
                <w:szCs w:val="21"/>
              </w:rPr>
            </w:pPr>
            <w:r>
              <w:rPr>
                <w:rFonts w:hint="eastAsia" w:ascii="宋体" w:hAnsi="宋体"/>
                <w:szCs w:val="21"/>
              </w:rPr>
              <w:t>5</w:t>
            </w:r>
          </w:p>
        </w:tc>
        <w:tc>
          <w:tcPr>
            <w:tcW w:w="6023" w:type="dxa"/>
            <w:vAlign w:val="center"/>
          </w:tcPr>
          <w:p w14:paraId="52E0852B">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211BAFD8">
            <w:pPr>
              <w:spacing w:line="360" w:lineRule="exact"/>
              <w:jc w:val="center"/>
              <w:rPr>
                <w:rFonts w:ascii="宋体" w:hAnsi="宋体"/>
                <w:b/>
                <w:szCs w:val="21"/>
              </w:rPr>
            </w:pPr>
          </w:p>
        </w:tc>
        <w:tc>
          <w:tcPr>
            <w:tcW w:w="924" w:type="dxa"/>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63778EE">
            <w:pPr>
              <w:spacing w:line="360" w:lineRule="exact"/>
              <w:jc w:val="center"/>
              <w:rPr>
                <w:rFonts w:ascii="宋体" w:hAnsi="宋体"/>
                <w:szCs w:val="21"/>
              </w:rPr>
            </w:pPr>
            <w:r>
              <w:rPr>
                <w:rFonts w:hint="eastAsia" w:ascii="宋体" w:hAnsi="宋体"/>
                <w:szCs w:val="21"/>
              </w:rPr>
              <w:t>6</w:t>
            </w:r>
          </w:p>
        </w:tc>
        <w:tc>
          <w:tcPr>
            <w:tcW w:w="6023" w:type="dxa"/>
            <w:vAlign w:val="center"/>
          </w:tcPr>
          <w:p w14:paraId="400C169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94F5620">
            <w:pPr>
              <w:spacing w:line="360" w:lineRule="exact"/>
              <w:jc w:val="center"/>
              <w:rPr>
                <w:rFonts w:ascii="宋体" w:hAnsi="宋体"/>
                <w:b/>
                <w:szCs w:val="21"/>
              </w:rPr>
            </w:pPr>
          </w:p>
        </w:tc>
        <w:tc>
          <w:tcPr>
            <w:tcW w:w="924" w:type="dxa"/>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EF755ED">
            <w:pPr>
              <w:spacing w:line="360" w:lineRule="exact"/>
              <w:jc w:val="center"/>
              <w:rPr>
                <w:rFonts w:ascii="宋体" w:hAnsi="宋体"/>
                <w:szCs w:val="21"/>
              </w:rPr>
            </w:pPr>
            <w:r>
              <w:rPr>
                <w:rFonts w:hint="eastAsia" w:ascii="宋体" w:hAnsi="宋体"/>
                <w:szCs w:val="21"/>
              </w:rPr>
              <w:t>7</w:t>
            </w:r>
          </w:p>
        </w:tc>
        <w:tc>
          <w:tcPr>
            <w:tcW w:w="6023" w:type="dxa"/>
            <w:vAlign w:val="center"/>
          </w:tcPr>
          <w:p w14:paraId="7FA69194">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B18B763">
            <w:pPr>
              <w:spacing w:line="360" w:lineRule="exact"/>
              <w:jc w:val="center"/>
              <w:rPr>
                <w:rFonts w:ascii="宋体" w:hAnsi="宋体"/>
                <w:b/>
                <w:szCs w:val="21"/>
              </w:rPr>
            </w:pPr>
          </w:p>
        </w:tc>
        <w:tc>
          <w:tcPr>
            <w:tcW w:w="924" w:type="dxa"/>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F8B63CB">
            <w:pPr>
              <w:spacing w:line="360" w:lineRule="exact"/>
              <w:jc w:val="center"/>
              <w:rPr>
                <w:rFonts w:ascii="宋体" w:hAnsi="宋体"/>
                <w:szCs w:val="21"/>
              </w:rPr>
            </w:pPr>
            <w:r>
              <w:rPr>
                <w:rFonts w:hint="eastAsia" w:ascii="宋体" w:hAnsi="宋体"/>
                <w:szCs w:val="21"/>
              </w:rPr>
              <w:t>8</w:t>
            </w:r>
          </w:p>
        </w:tc>
        <w:tc>
          <w:tcPr>
            <w:tcW w:w="6023" w:type="dxa"/>
            <w:vAlign w:val="center"/>
          </w:tcPr>
          <w:p w14:paraId="4788799C">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475013D8">
            <w:pPr>
              <w:spacing w:line="360" w:lineRule="exact"/>
              <w:jc w:val="center"/>
              <w:rPr>
                <w:rFonts w:ascii="宋体" w:hAnsi="宋体"/>
                <w:b/>
                <w:szCs w:val="21"/>
              </w:rPr>
            </w:pPr>
          </w:p>
        </w:tc>
        <w:tc>
          <w:tcPr>
            <w:tcW w:w="924" w:type="dxa"/>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211E3C8">
            <w:pPr>
              <w:spacing w:line="360" w:lineRule="exact"/>
              <w:jc w:val="center"/>
              <w:rPr>
                <w:rFonts w:ascii="宋体" w:hAnsi="宋体"/>
                <w:szCs w:val="21"/>
              </w:rPr>
            </w:pPr>
            <w:r>
              <w:rPr>
                <w:rFonts w:hint="eastAsia" w:ascii="宋体" w:hAnsi="宋体"/>
                <w:szCs w:val="21"/>
              </w:rPr>
              <w:t>9</w:t>
            </w:r>
          </w:p>
        </w:tc>
        <w:tc>
          <w:tcPr>
            <w:tcW w:w="6023" w:type="dxa"/>
            <w:vAlign w:val="center"/>
          </w:tcPr>
          <w:p w14:paraId="6A9B132A">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45613EA5">
            <w:pPr>
              <w:spacing w:line="360" w:lineRule="exact"/>
              <w:jc w:val="center"/>
              <w:rPr>
                <w:rFonts w:ascii="宋体" w:hAnsi="宋体"/>
                <w:b/>
                <w:szCs w:val="21"/>
              </w:rPr>
            </w:pPr>
          </w:p>
        </w:tc>
        <w:tc>
          <w:tcPr>
            <w:tcW w:w="924" w:type="dxa"/>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0EE7E6">
            <w:pPr>
              <w:spacing w:line="360" w:lineRule="exact"/>
              <w:jc w:val="center"/>
              <w:rPr>
                <w:rFonts w:ascii="宋体" w:hAnsi="宋体"/>
                <w:szCs w:val="21"/>
              </w:rPr>
            </w:pPr>
            <w:r>
              <w:rPr>
                <w:rFonts w:hint="eastAsia" w:ascii="宋体" w:hAnsi="宋体"/>
                <w:szCs w:val="21"/>
              </w:rPr>
              <w:t>10</w:t>
            </w:r>
          </w:p>
        </w:tc>
        <w:tc>
          <w:tcPr>
            <w:tcW w:w="6023" w:type="dxa"/>
            <w:vAlign w:val="center"/>
          </w:tcPr>
          <w:p w14:paraId="6C0398AD">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AA4E48C">
            <w:pPr>
              <w:spacing w:line="360" w:lineRule="exact"/>
              <w:jc w:val="center"/>
              <w:rPr>
                <w:rFonts w:ascii="宋体" w:hAnsi="宋体"/>
                <w:b/>
                <w:szCs w:val="21"/>
              </w:rPr>
            </w:pPr>
          </w:p>
        </w:tc>
        <w:tc>
          <w:tcPr>
            <w:tcW w:w="924" w:type="dxa"/>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10DC9B">
            <w:pPr>
              <w:spacing w:line="360" w:lineRule="exact"/>
              <w:jc w:val="center"/>
              <w:rPr>
                <w:rFonts w:ascii="宋体" w:hAnsi="宋体"/>
                <w:szCs w:val="21"/>
              </w:rPr>
            </w:pPr>
            <w:r>
              <w:rPr>
                <w:rFonts w:hint="eastAsia" w:ascii="宋体" w:hAnsi="宋体"/>
                <w:szCs w:val="21"/>
              </w:rPr>
              <w:t>11</w:t>
            </w:r>
          </w:p>
        </w:tc>
        <w:tc>
          <w:tcPr>
            <w:tcW w:w="6023" w:type="dxa"/>
            <w:vAlign w:val="center"/>
          </w:tcPr>
          <w:p w14:paraId="36005607">
            <w:pPr>
              <w:jc w:val="left"/>
              <w:rPr>
                <w:rFonts w:ascii="宋体" w:hAnsi="宋体" w:cs="宋体"/>
                <w:szCs w:val="21"/>
              </w:rPr>
            </w:pPr>
            <w:r>
              <w:rPr>
                <w:rFonts w:hint="eastAsia" w:ascii="宋体" w:hAnsi="宋体"/>
                <w:szCs w:val="21"/>
              </w:rPr>
              <w:t>投标人之间约定中标人。</w:t>
            </w:r>
          </w:p>
        </w:tc>
        <w:tc>
          <w:tcPr>
            <w:tcW w:w="2921" w:type="dxa"/>
            <w:vAlign w:val="center"/>
          </w:tcPr>
          <w:p w14:paraId="57E6C6CD">
            <w:pPr>
              <w:spacing w:line="360" w:lineRule="exact"/>
              <w:jc w:val="center"/>
              <w:rPr>
                <w:rFonts w:ascii="宋体" w:hAnsi="宋体"/>
                <w:b/>
                <w:szCs w:val="21"/>
              </w:rPr>
            </w:pPr>
          </w:p>
        </w:tc>
        <w:tc>
          <w:tcPr>
            <w:tcW w:w="924" w:type="dxa"/>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D6D5745">
            <w:pPr>
              <w:spacing w:line="360" w:lineRule="exact"/>
              <w:jc w:val="center"/>
              <w:rPr>
                <w:rFonts w:ascii="宋体" w:hAnsi="宋体"/>
                <w:szCs w:val="21"/>
              </w:rPr>
            </w:pPr>
            <w:r>
              <w:rPr>
                <w:rFonts w:hint="eastAsia" w:ascii="宋体" w:hAnsi="宋体"/>
                <w:szCs w:val="21"/>
              </w:rPr>
              <w:t>12</w:t>
            </w:r>
          </w:p>
        </w:tc>
        <w:tc>
          <w:tcPr>
            <w:tcW w:w="6023" w:type="dxa"/>
            <w:vAlign w:val="center"/>
          </w:tcPr>
          <w:p w14:paraId="176885B5">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42920990">
            <w:pPr>
              <w:spacing w:line="360" w:lineRule="exact"/>
              <w:jc w:val="center"/>
              <w:rPr>
                <w:rFonts w:ascii="宋体" w:hAnsi="宋体"/>
                <w:b/>
                <w:szCs w:val="21"/>
              </w:rPr>
            </w:pPr>
          </w:p>
        </w:tc>
        <w:tc>
          <w:tcPr>
            <w:tcW w:w="924" w:type="dxa"/>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CC2570">
            <w:pPr>
              <w:spacing w:line="360" w:lineRule="exact"/>
              <w:jc w:val="center"/>
              <w:rPr>
                <w:rFonts w:ascii="宋体" w:hAnsi="宋体"/>
                <w:szCs w:val="21"/>
              </w:rPr>
            </w:pPr>
            <w:r>
              <w:rPr>
                <w:rFonts w:hint="eastAsia" w:ascii="宋体" w:hAnsi="宋体"/>
                <w:szCs w:val="21"/>
              </w:rPr>
              <w:t>13</w:t>
            </w:r>
          </w:p>
        </w:tc>
        <w:tc>
          <w:tcPr>
            <w:tcW w:w="6023" w:type="dxa"/>
            <w:vAlign w:val="center"/>
          </w:tcPr>
          <w:p w14:paraId="447EDCA3">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769AAB">
            <w:pPr>
              <w:spacing w:line="360" w:lineRule="exact"/>
              <w:jc w:val="center"/>
              <w:rPr>
                <w:rFonts w:ascii="宋体" w:hAnsi="宋体"/>
                <w:b/>
                <w:szCs w:val="21"/>
              </w:rPr>
            </w:pPr>
          </w:p>
        </w:tc>
        <w:tc>
          <w:tcPr>
            <w:tcW w:w="924" w:type="dxa"/>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4044D9">
            <w:pPr>
              <w:spacing w:line="360" w:lineRule="exact"/>
              <w:jc w:val="center"/>
              <w:rPr>
                <w:rFonts w:ascii="宋体" w:hAnsi="宋体"/>
                <w:szCs w:val="21"/>
              </w:rPr>
            </w:pPr>
            <w:r>
              <w:rPr>
                <w:rFonts w:hint="eastAsia" w:ascii="宋体" w:hAnsi="宋体"/>
                <w:szCs w:val="21"/>
              </w:rPr>
              <w:t>14</w:t>
            </w:r>
          </w:p>
        </w:tc>
        <w:tc>
          <w:tcPr>
            <w:tcW w:w="6023" w:type="dxa"/>
            <w:vAlign w:val="center"/>
          </w:tcPr>
          <w:p w14:paraId="1B73D6D1">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C57C23A">
            <w:pPr>
              <w:spacing w:line="360" w:lineRule="exact"/>
              <w:jc w:val="center"/>
              <w:rPr>
                <w:rFonts w:ascii="宋体" w:hAnsi="宋体"/>
                <w:b/>
                <w:szCs w:val="21"/>
              </w:rPr>
            </w:pPr>
          </w:p>
        </w:tc>
        <w:tc>
          <w:tcPr>
            <w:tcW w:w="924" w:type="dxa"/>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40A8ECF">
            <w:pPr>
              <w:spacing w:line="360" w:lineRule="exact"/>
              <w:jc w:val="center"/>
              <w:rPr>
                <w:rFonts w:ascii="宋体" w:hAnsi="宋体"/>
                <w:szCs w:val="21"/>
              </w:rPr>
            </w:pPr>
            <w:r>
              <w:rPr>
                <w:rFonts w:hint="eastAsia" w:ascii="宋体" w:hAnsi="宋体"/>
                <w:szCs w:val="21"/>
              </w:rPr>
              <w:t>15</w:t>
            </w:r>
          </w:p>
        </w:tc>
        <w:tc>
          <w:tcPr>
            <w:tcW w:w="6023" w:type="dxa"/>
            <w:vAlign w:val="center"/>
          </w:tcPr>
          <w:p w14:paraId="22EDA543">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993F918">
            <w:pPr>
              <w:spacing w:line="360" w:lineRule="exact"/>
              <w:jc w:val="center"/>
              <w:rPr>
                <w:rFonts w:ascii="宋体" w:hAnsi="宋体"/>
                <w:b/>
                <w:szCs w:val="21"/>
              </w:rPr>
            </w:pPr>
          </w:p>
        </w:tc>
        <w:tc>
          <w:tcPr>
            <w:tcW w:w="924" w:type="dxa"/>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AABF1D9">
            <w:pPr>
              <w:spacing w:line="360" w:lineRule="exact"/>
              <w:jc w:val="center"/>
              <w:rPr>
                <w:rFonts w:ascii="宋体" w:hAnsi="宋体"/>
                <w:szCs w:val="21"/>
              </w:rPr>
            </w:pPr>
            <w:r>
              <w:rPr>
                <w:rFonts w:hint="eastAsia" w:ascii="宋体" w:hAnsi="宋体"/>
                <w:szCs w:val="21"/>
              </w:rPr>
              <w:t>16</w:t>
            </w:r>
          </w:p>
        </w:tc>
        <w:tc>
          <w:tcPr>
            <w:tcW w:w="6023" w:type="dxa"/>
            <w:vAlign w:val="center"/>
          </w:tcPr>
          <w:p w14:paraId="213375E7">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E9CDB5">
            <w:pPr>
              <w:spacing w:line="360" w:lineRule="exact"/>
              <w:jc w:val="center"/>
              <w:rPr>
                <w:rFonts w:ascii="宋体" w:hAnsi="宋体"/>
                <w:b/>
                <w:szCs w:val="21"/>
              </w:rPr>
            </w:pPr>
          </w:p>
        </w:tc>
        <w:tc>
          <w:tcPr>
            <w:tcW w:w="924" w:type="dxa"/>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C3F5369">
            <w:pPr>
              <w:spacing w:line="360" w:lineRule="exact"/>
              <w:jc w:val="center"/>
              <w:rPr>
                <w:rFonts w:ascii="宋体" w:hAnsi="宋体"/>
                <w:szCs w:val="21"/>
              </w:rPr>
            </w:pPr>
            <w:r>
              <w:rPr>
                <w:rFonts w:hint="eastAsia" w:ascii="宋体" w:hAnsi="宋体"/>
                <w:szCs w:val="21"/>
              </w:rPr>
              <w:t>17</w:t>
            </w:r>
          </w:p>
        </w:tc>
        <w:tc>
          <w:tcPr>
            <w:tcW w:w="6023" w:type="dxa"/>
            <w:vAlign w:val="center"/>
          </w:tcPr>
          <w:p w14:paraId="0E0191DC">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6DCBF9F">
            <w:pPr>
              <w:spacing w:line="360" w:lineRule="exact"/>
              <w:jc w:val="center"/>
              <w:rPr>
                <w:rFonts w:ascii="宋体" w:hAnsi="宋体"/>
                <w:b/>
                <w:szCs w:val="21"/>
              </w:rPr>
            </w:pPr>
          </w:p>
        </w:tc>
        <w:tc>
          <w:tcPr>
            <w:tcW w:w="924" w:type="dxa"/>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0926A33">
            <w:pPr>
              <w:spacing w:line="360" w:lineRule="exact"/>
              <w:jc w:val="center"/>
              <w:rPr>
                <w:rFonts w:ascii="宋体" w:hAnsi="宋体"/>
                <w:szCs w:val="21"/>
              </w:rPr>
            </w:pPr>
            <w:r>
              <w:rPr>
                <w:rFonts w:hint="eastAsia" w:ascii="宋体" w:hAnsi="宋体"/>
                <w:szCs w:val="21"/>
              </w:rPr>
              <w:t>18</w:t>
            </w:r>
          </w:p>
        </w:tc>
        <w:tc>
          <w:tcPr>
            <w:tcW w:w="6023" w:type="dxa"/>
            <w:vAlign w:val="center"/>
          </w:tcPr>
          <w:p w14:paraId="33C2119D">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3072616C">
            <w:pPr>
              <w:spacing w:line="360" w:lineRule="exact"/>
              <w:jc w:val="center"/>
              <w:rPr>
                <w:rFonts w:ascii="宋体" w:hAnsi="宋体"/>
                <w:b/>
                <w:szCs w:val="21"/>
              </w:rPr>
            </w:pPr>
          </w:p>
        </w:tc>
        <w:tc>
          <w:tcPr>
            <w:tcW w:w="924" w:type="dxa"/>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11A986D">
            <w:pPr>
              <w:spacing w:line="360" w:lineRule="exact"/>
              <w:jc w:val="center"/>
              <w:rPr>
                <w:rFonts w:ascii="宋体" w:hAnsi="宋体"/>
                <w:szCs w:val="21"/>
              </w:rPr>
            </w:pPr>
            <w:r>
              <w:rPr>
                <w:rFonts w:hint="eastAsia" w:ascii="宋体" w:hAnsi="宋体"/>
                <w:szCs w:val="21"/>
              </w:rPr>
              <w:t>19</w:t>
            </w:r>
          </w:p>
        </w:tc>
        <w:tc>
          <w:tcPr>
            <w:tcW w:w="6023" w:type="dxa"/>
            <w:vAlign w:val="center"/>
          </w:tcPr>
          <w:p w14:paraId="4745A0D1">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D6FDD0E">
            <w:pPr>
              <w:spacing w:line="360" w:lineRule="exact"/>
              <w:jc w:val="center"/>
              <w:rPr>
                <w:rFonts w:ascii="宋体" w:hAnsi="宋体"/>
                <w:b/>
                <w:szCs w:val="21"/>
              </w:rPr>
            </w:pPr>
          </w:p>
        </w:tc>
        <w:tc>
          <w:tcPr>
            <w:tcW w:w="924" w:type="dxa"/>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3208A2">
            <w:pPr>
              <w:spacing w:line="360" w:lineRule="exact"/>
              <w:jc w:val="center"/>
              <w:rPr>
                <w:rFonts w:ascii="宋体" w:hAnsi="宋体"/>
                <w:szCs w:val="21"/>
              </w:rPr>
            </w:pPr>
            <w:r>
              <w:rPr>
                <w:rFonts w:hint="eastAsia" w:ascii="宋体" w:hAnsi="宋体"/>
                <w:szCs w:val="21"/>
              </w:rPr>
              <w:t>20</w:t>
            </w:r>
          </w:p>
        </w:tc>
        <w:tc>
          <w:tcPr>
            <w:tcW w:w="6023" w:type="dxa"/>
            <w:vAlign w:val="center"/>
          </w:tcPr>
          <w:p w14:paraId="39003943">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01CA705D">
            <w:pPr>
              <w:spacing w:line="360" w:lineRule="exact"/>
              <w:jc w:val="center"/>
              <w:rPr>
                <w:rFonts w:ascii="宋体" w:hAnsi="宋体"/>
                <w:b/>
                <w:szCs w:val="21"/>
              </w:rPr>
            </w:pPr>
          </w:p>
        </w:tc>
        <w:tc>
          <w:tcPr>
            <w:tcW w:w="924" w:type="dxa"/>
            <w:vAlign w:val="center"/>
          </w:tcPr>
          <w:p w14:paraId="0474A63D">
            <w:pPr>
              <w:spacing w:line="360" w:lineRule="exact"/>
              <w:jc w:val="center"/>
              <w:rPr>
                <w:rFonts w:ascii="宋体" w:hAnsi="宋体"/>
                <w:b/>
                <w:szCs w:val="21"/>
              </w:rPr>
            </w:pPr>
          </w:p>
        </w:tc>
      </w:tr>
    </w:tbl>
    <w:p w14:paraId="2BB00BDC">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ascii="仿宋" w:hAnsi="仿宋" w:eastAsia="仿宋"/>
        </w:rPr>
      </w:pPr>
    </w:p>
    <w:p w14:paraId="720AED54">
      <w:pPr>
        <w:rPr>
          <w:rFonts w:ascii="仿宋" w:hAnsi="仿宋" w:eastAsia="仿宋"/>
        </w:rPr>
      </w:pPr>
      <w:r>
        <w:rPr>
          <w:rFonts w:hint="eastAsia" w:ascii="仿宋" w:hAnsi="仿宋" w:eastAsia="仿宋"/>
        </w:rPr>
        <w:br w:type="page"/>
      </w:r>
    </w:p>
    <w:p w14:paraId="4A4FCECC">
      <w:pPr>
        <w:pStyle w:val="4"/>
        <w:spacing w:line="400" w:lineRule="exact"/>
        <w:rPr>
          <w:rFonts w:ascii="仿宋" w:hAnsi="仿宋" w:eastAsia="仿宋"/>
        </w:rPr>
      </w:pPr>
    </w:p>
    <w:p w14:paraId="6CA4D675">
      <w:pPr>
        <w:pStyle w:val="4"/>
        <w:spacing w:line="400" w:lineRule="exact"/>
        <w:rPr>
          <w:rFonts w:ascii="仿宋" w:hAnsi="仿宋" w:eastAsia="仿宋"/>
        </w:rPr>
      </w:pPr>
      <w:r>
        <w:rPr>
          <w:rFonts w:hint="eastAsia" w:ascii="仿宋" w:hAnsi="仿宋" w:eastAsia="仿宋"/>
        </w:rPr>
        <w:t>供应商基本情况表</w:t>
      </w:r>
    </w:p>
    <w:p w14:paraId="316D91C4"/>
    <w:p w14:paraId="01D205AE">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ascii="宋体" w:hAnsi="宋体" w:cs="宋体"/>
                <w:szCs w:val="21"/>
              </w:rPr>
            </w:pPr>
          </w:p>
        </w:tc>
        <w:tc>
          <w:tcPr>
            <w:tcW w:w="1990" w:type="dxa"/>
            <w:gridSpan w:val="2"/>
          </w:tcPr>
          <w:p w14:paraId="74280363">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6146082B">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ascii="宋体" w:hAnsi="宋体" w:cs="宋体"/>
                <w:szCs w:val="21"/>
              </w:rPr>
            </w:pPr>
          </w:p>
          <w:p w14:paraId="462B62E9">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ascii="宋体" w:hAnsi="宋体" w:cs="宋体"/>
                <w:szCs w:val="21"/>
              </w:rPr>
            </w:pPr>
          </w:p>
        </w:tc>
        <w:tc>
          <w:tcPr>
            <w:tcW w:w="1990" w:type="dxa"/>
            <w:gridSpan w:val="2"/>
            <w:vAlign w:val="center"/>
          </w:tcPr>
          <w:p w14:paraId="5C6C410F">
            <w:pPr>
              <w:jc w:val="center"/>
              <w:rPr>
                <w:rFonts w:ascii="宋体" w:hAnsi="宋体" w:cs="宋体"/>
                <w:szCs w:val="21"/>
              </w:rPr>
            </w:pPr>
          </w:p>
        </w:tc>
        <w:tc>
          <w:tcPr>
            <w:tcW w:w="1499" w:type="dxa"/>
            <w:vAlign w:val="center"/>
          </w:tcPr>
          <w:p w14:paraId="170FB0D3">
            <w:pPr>
              <w:jc w:val="center"/>
              <w:rPr>
                <w:rFonts w:ascii="宋体" w:hAnsi="宋体" w:cs="宋体"/>
                <w:szCs w:val="21"/>
              </w:rPr>
            </w:pPr>
          </w:p>
        </w:tc>
        <w:tc>
          <w:tcPr>
            <w:tcW w:w="1489" w:type="dxa"/>
            <w:vAlign w:val="center"/>
          </w:tcPr>
          <w:p w14:paraId="7A115D5E">
            <w:pPr>
              <w:jc w:val="center"/>
              <w:rPr>
                <w:rFonts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ascii="宋体" w:hAnsi="宋体" w:cs="宋体"/>
                <w:szCs w:val="21"/>
              </w:rPr>
            </w:pPr>
          </w:p>
        </w:tc>
        <w:tc>
          <w:tcPr>
            <w:tcW w:w="1990" w:type="dxa"/>
            <w:gridSpan w:val="2"/>
            <w:vAlign w:val="center"/>
          </w:tcPr>
          <w:p w14:paraId="7F5C7BBB">
            <w:pPr>
              <w:jc w:val="center"/>
              <w:rPr>
                <w:rFonts w:ascii="宋体" w:hAnsi="宋体" w:cs="宋体"/>
                <w:szCs w:val="21"/>
              </w:rPr>
            </w:pPr>
          </w:p>
        </w:tc>
        <w:tc>
          <w:tcPr>
            <w:tcW w:w="1499" w:type="dxa"/>
            <w:vAlign w:val="center"/>
          </w:tcPr>
          <w:p w14:paraId="16A1F163">
            <w:pPr>
              <w:jc w:val="center"/>
              <w:rPr>
                <w:rFonts w:ascii="宋体" w:hAnsi="宋体" w:cs="宋体"/>
                <w:szCs w:val="21"/>
              </w:rPr>
            </w:pPr>
          </w:p>
        </w:tc>
        <w:tc>
          <w:tcPr>
            <w:tcW w:w="1489" w:type="dxa"/>
            <w:vAlign w:val="center"/>
          </w:tcPr>
          <w:p w14:paraId="65C50BE7">
            <w:pPr>
              <w:jc w:val="center"/>
              <w:rPr>
                <w:rFonts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ascii="宋体" w:hAnsi="宋体" w:cs="宋体"/>
                <w:szCs w:val="21"/>
              </w:rPr>
            </w:pPr>
          </w:p>
        </w:tc>
        <w:tc>
          <w:tcPr>
            <w:tcW w:w="1990" w:type="dxa"/>
            <w:gridSpan w:val="2"/>
            <w:vAlign w:val="center"/>
          </w:tcPr>
          <w:p w14:paraId="17F013C1">
            <w:pPr>
              <w:jc w:val="center"/>
              <w:rPr>
                <w:rFonts w:ascii="宋体" w:hAnsi="宋体" w:cs="宋体"/>
                <w:szCs w:val="21"/>
              </w:rPr>
            </w:pPr>
          </w:p>
        </w:tc>
        <w:tc>
          <w:tcPr>
            <w:tcW w:w="1499" w:type="dxa"/>
            <w:vAlign w:val="center"/>
          </w:tcPr>
          <w:p w14:paraId="1E104CCC">
            <w:pPr>
              <w:jc w:val="center"/>
              <w:rPr>
                <w:rFonts w:ascii="宋体" w:hAnsi="宋体" w:cs="宋体"/>
                <w:szCs w:val="21"/>
              </w:rPr>
            </w:pPr>
          </w:p>
        </w:tc>
        <w:tc>
          <w:tcPr>
            <w:tcW w:w="1489" w:type="dxa"/>
            <w:vAlign w:val="center"/>
          </w:tcPr>
          <w:p w14:paraId="4B671FF5">
            <w:pPr>
              <w:jc w:val="center"/>
              <w:rPr>
                <w:rFonts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ascii="宋体" w:hAnsi="宋体" w:cs="宋体"/>
                <w:szCs w:val="21"/>
              </w:rPr>
            </w:pPr>
          </w:p>
        </w:tc>
        <w:tc>
          <w:tcPr>
            <w:tcW w:w="1990" w:type="dxa"/>
            <w:gridSpan w:val="2"/>
            <w:vAlign w:val="center"/>
          </w:tcPr>
          <w:p w14:paraId="54D45196">
            <w:pPr>
              <w:jc w:val="center"/>
              <w:rPr>
                <w:rFonts w:ascii="宋体" w:hAnsi="宋体" w:cs="宋体"/>
                <w:szCs w:val="21"/>
              </w:rPr>
            </w:pPr>
          </w:p>
        </w:tc>
        <w:tc>
          <w:tcPr>
            <w:tcW w:w="1499" w:type="dxa"/>
            <w:vAlign w:val="center"/>
          </w:tcPr>
          <w:p w14:paraId="0A67FB86">
            <w:pPr>
              <w:jc w:val="center"/>
              <w:rPr>
                <w:rFonts w:ascii="宋体" w:hAnsi="宋体" w:cs="宋体"/>
                <w:szCs w:val="21"/>
              </w:rPr>
            </w:pPr>
          </w:p>
        </w:tc>
        <w:tc>
          <w:tcPr>
            <w:tcW w:w="1489" w:type="dxa"/>
            <w:vAlign w:val="center"/>
          </w:tcPr>
          <w:p w14:paraId="4CB2FCB9">
            <w:pPr>
              <w:jc w:val="center"/>
              <w:rPr>
                <w:rFonts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ascii="宋体" w:hAnsi="宋体" w:cs="宋体"/>
                <w:szCs w:val="21"/>
              </w:rPr>
            </w:pPr>
          </w:p>
        </w:tc>
        <w:tc>
          <w:tcPr>
            <w:tcW w:w="1990" w:type="dxa"/>
            <w:gridSpan w:val="2"/>
            <w:vAlign w:val="center"/>
          </w:tcPr>
          <w:p w14:paraId="2DFD4C48">
            <w:pPr>
              <w:jc w:val="center"/>
              <w:rPr>
                <w:rFonts w:ascii="宋体" w:hAnsi="宋体" w:cs="宋体"/>
                <w:szCs w:val="21"/>
              </w:rPr>
            </w:pPr>
          </w:p>
        </w:tc>
        <w:tc>
          <w:tcPr>
            <w:tcW w:w="1499" w:type="dxa"/>
            <w:vAlign w:val="center"/>
          </w:tcPr>
          <w:p w14:paraId="70106985">
            <w:pPr>
              <w:jc w:val="center"/>
              <w:rPr>
                <w:rFonts w:ascii="宋体" w:hAnsi="宋体" w:cs="宋体"/>
                <w:szCs w:val="21"/>
              </w:rPr>
            </w:pPr>
          </w:p>
        </w:tc>
        <w:tc>
          <w:tcPr>
            <w:tcW w:w="1489" w:type="dxa"/>
            <w:vAlign w:val="center"/>
          </w:tcPr>
          <w:p w14:paraId="5A01D034">
            <w:pPr>
              <w:jc w:val="center"/>
              <w:rPr>
                <w:rFonts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1E62D94">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ascii="宋体" w:hAnsi="宋体" w:cs="宋体"/>
                <w:szCs w:val="21"/>
              </w:rPr>
            </w:pPr>
          </w:p>
          <w:p w14:paraId="37F3BE1B">
            <w:pPr>
              <w:spacing w:line="290" w:lineRule="auto"/>
              <w:rPr>
                <w:rFonts w:ascii="宋体" w:hAnsi="宋体" w:cs="宋体"/>
                <w:szCs w:val="21"/>
              </w:rPr>
            </w:pPr>
          </w:p>
          <w:p w14:paraId="1C77A8D4">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ascii="宋体" w:hAnsi="宋体" w:cs="宋体"/>
                <w:szCs w:val="21"/>
              </w:rPr>
            </w:pPr>
          </w:p>
          <w:p w14:paraId="04B2031F">
            <w:pPr>
              <w:spacing w:line="274" w:lineRule="auto"/>
              <w:rPr>
                <w:rFonts w:ascii="宋体" w:hAnsi="宋体" w:cs="宋体"/>
                <w:szCs w:val="21"/>
              </w:rPr>
            </w:pPr>
          </w:p>
          <w:p w14:paraId="5F2DCEA6">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ascii="宋体" w:hAnsi="宋体" w:cs="宋体"/>
                <w:szCs w:val="21"/>
              </w:rPr>
            </w:pPr>
          </w:p>
        </w:tc>
        <w:tc>
          <w:tcPr>
            <w:tcW w:w="4187" w:type="dxa"/>
            <w:gridSpan w:val="3"/>
            <w:vAlign w:val="center"/>
          </w:tcPr>
          <w:p w14:paraId="58841808">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ascii="宋体" w:hAnsi="宋体" w:cs="宋体"/>
                <w:szCs w:val="21"/>
              </w:rPr>
            </w:pPr>
          </w:p>
        </w:tc>
        <w:tc>
          <w:tcPr>
            <w:tcW w:w="4187" w:type="dxa"/>
            <w:gridSpan w:val="3"/>
          </w:tcPr>
          <w:p w14:paraId="76D51515">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74A4AB36">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DFD60B1">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D7FCA5B">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53B085DE">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73832946">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A7CE09">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ascii="宋体" w:hAnsi="宋体" w:cs="宋体"/>
          <w:b/>
          <w:bCs/>
          <w:highlight w:val="yellow"/>
        </w:rPr>
      </w:pPr>
    </w:p>
    <w:p w14:paraId="136DA391">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ascii="宋体" w:hAnsi="宋体" w:cs="宋体"/>
          <w:szCs w:val="21"/>
        </w:rPr>
      </w:pPr>
    </w:p>
    <w:p w14:paraId="5FF9C370">
      <w:pPr>
        <w:spacing w:line="560" w:lineRule="exact"/>
        <w:rPr>
          <w:rFonts w:ascii="宋体" w:hAnsi="宋体" w:cs="宋体"/>
          <w:szCs w:val="21"/>
        </w:rPr>
      </w:pPr>
    </w:p>
    <w:p w14:paraId="5B178052">
      <w:pPr>
        <w:spacing w:line="560" w:lineRule="exact"/>
        <w:rPr>
          <w:rFonts w:ascii="宋体" w:hAnsi="宋体" w:cs="宋体"/>
          <w:szCs w:val="21"/>
        </w:rPr>
      </w:pPr>
      <w:r>
        <w:rPr>
          <w:rFonts w:hint="eastAsia" w:ascii="宋体" w:hAnsi="宋体" w:cs="宋体"/>
          <w:szCs w:val="21"/>
        </w:rPr>
        <w:t>2、项目投标授权代表人</w:t>
      </w:r>
    </w:p>
    <w:p w14:paraId="3BB53E5A">
      <w:pPr>
        <w:spacing w:line="560" w:lineRule="exact"/>
        <w:rPr>
          <w:rFonts w:ascii="宋体" w:hAnsi="宋体" w:cs="宋体"/>
          <w:szCs w:val="21"/>
        </w:rPr>
      </w:pPr>
    </w:p>
    <w:p w14:paraId="0AA9A664">
      <w:pPr>
        <w:spacing w:line="560" w:lineRule="exact"/>
        <w:rPr>
          <w:rFonts w:ascii="宋体" w:hAnsi="宋体" w:cs="宋体"/>
          <w:szCs w:val="21"/>
        </w:rPr>
      </w:pPr>
    </w:p>
    <w:p w14:paraId="480319B6">
      <w:pPr>
        <w:spacing w:line="560" w:lineRule="exact"/>
        <w:rPr>
          <w:rFonts w:ascii="宋体" w:hAnsi="宋体" w:cs="宋体"/>
          <w:szCs w:val="21"/>
        </w:rPr>
      </w:pPr>
      <w:r>
        <w:rPr>
          <w:rFonts w:hint="eastAsia" w:ascii="宋体" w:hAnsi="宋体" w:cs="宋体"/>
          <w:szCs w:val="21"/>
        </w:rPr>
        <w:t>3、项目负责人</w:t>
      </w:r>
    </w:p>
    <w:p w14:paraId="61CDCC84">
      <w:pPr>
        <w:spacing w:line="560" w:lineRule="exact"/>
        <w:rPr>
          <w:rFonts w:ascii="宋体" w:hAnsi="宋体" w:cs="宋体"/>
          <w:szCs w:val="21"/>
        </w:rPr>
      </w:pPr>
    </w:p>
    <w:p w14:paraId="73C3EDC8">
      <w:pPr>
        <w:spacing w:line="560" w:lineRule="exact"/>
        <w:rPr>
          <w:rFonts w:ascii="宋体" w:hAnsi="宋体" w:cs="宋体"/>
          <w:szCs w:val="21"/>
        </w:rPr>
      </w:pPr>
    </w:p>
    <w:p w14:paraId="6DAB0B75">
      <w:pPr>
        <w:spacing w:line="560" w:lineRule="exact"/>
        <w:rPr>
          <w:rFonts w:ascii="宋体" w:hAnsi="宋体" w:cs="宋体"/>
          <w:szCs w:val="21"/>
        </w:rPr>
      </w:pPr>
      <w:r>
        <w:rPr>
          <w:rFonts w:hint="eastAsia" w:ascii="宋体" w:hAnsi="宋体" w:cs="宋体"/>
          <w:szCs w:val="21"/>
        </w:rPr>
        <w:t>4、主要技术人员</w:t>
      </w:r>
    </w:p>
    <w:p w14:paraId="5C7C7B2C">
      <w:pPr>
        <w:spacing w:line="560" w:lineRule="exact"/>
        <w:rPr>
          <w:rFonts w:ascii="宋体" w:hAnsi="宋体" w:cs="宋体"/>
          <w:szCs w:val="21"/>
        </w:rPr>
      </w:pPr>
    </w:p>
    <w:p w14:paraId="5334BDF3">
      <w:pPr>
        <w:spacing w:line="560" w:lineRule="exact"/>
        <w:rPr>
          <w:rFonts w:ascii="宋体" w:hAnsi="宋体" w:cs="宋体"/>
          <w:szCs w:val="21"/>
        </w:rPr>
      </w:pPr>
    </w:p>
    <w:p w14:paraId="00E9823A">
      <w:pPr>
        <w:numPr>
          <w:ilvl w:val="0"/>
          <w:numId w:val="6"/>
        </w:numPr>
        <w:spacing w:line="560" w:lineRule="exact"/>
        <w:rPr>
          <w:rFonts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ascii="宋体" w:hAnsi="宋体" w:cs="宋体"/>
          <w:spacing w:val="-2"/>
          <w:szCs w:val="21"/>
        </w:rPr>
      </w:pPr>
    </w:p>
    <w:p w14:paraId="52274137">
      <w:pPr>
        <w:spacing w:line="560" w:lineRule="exact"/>
        <w:rPr>
          <w:rFonts w:ascii="宋体" w:hAnsi="宋体" w:cs="宋体"/>
          <w:szCs w:val="21"/>
        </w:rPr>
      </w:pPr>
    </w:p>
    <w:p w14:paraId="3CF329C6">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ascii="宋体" w:hAnsi="宋体" w:cs="宋体"/>
          <w:szCs w:val="21"/>
        </w:rPr>
      </w:pPr>
    </w:p>
    <w:p w14:paraId="0870873D">
      <w:pPr>
        <w:spacing w:line="560" w:lineRule="exact"/>
        <w:rPr>
          <w:rFonts w:ascii="宋体" w:hAnsi="宋体" w:cs="宋体"/>
          <w:szCs w:val="21"/>
        </w:rPr>
      </w:pPr>
    </w:p>
    <w:p w14:paraId="1F252129">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0"/>
        <w:rPr>
          <w:rFonts w:ascii="宋体" w:hAnsi="宋体" w:cs="宋体"/>
          <w:b/>
          <w:bCs/>
          <w:color w:val="FF0000"/>
          <w:szCs w:val="21"/>
        </w:rPr>
      </w:pPr>
    </w:p>
    <w:p w14:paraId="06D4D0CF">
      <w:pPr>
        <w:pStyle w:val="20"/>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43"/>
      </w:pPr>
    </w:p>
    <w:p w14:paraId="56421FFD">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ascii="宋体" w:hAnsi="宋体" w:cs="宋体"/>
          <w:b/>
          <w:bCs/>
          <w:szCs w:val="21"/>
        </w:rPr>
      </w:pPr>
    </w:p>
    <w:p w14:paraId="58114567">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0C475610"/>
    <w:p w14:paraId="21BBEEA0">
      <w:pPr>
        <w:rPr>
          <w:rFonts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1"/>
      <w:bookmarkEnd w:id="62"/>
      <w:bookmarkEnd w:id="63"/>
      <w:bookmarkEnd w:id="64"/>
      <w:bookmarkEnd w:id="65"/>
    </w:p>
    <w:p w14:paraId="7C1B5D4A">
      <w:pPr>
        <w:adjustRightInd w:val="0"/>
        <w:snapToGrid w:val="0"/>
        <w:spacing w:line="360" w:lineRule="auto"/>
        <w:ind w:firstLine="424" w:firstLineChars="202"/>
        <w:rPr>
          <w:rFonts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CC6988B">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ascii="宋体" w:hAnsi="宋体" w:cs="Courier New"/>
          <w:snapToGrid w:val="0"/>
          <w:szCs w:val="18"/>
        </w:rPr>
      </w:pPr>
    </w:p>
    <w:p w14:paraId="248FAC08">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0" w:firstLineChars="200"/>
        <w:rPr>
          <w:rFonts w:ascii="宋体" w:hAnsi="宋体"/>
          <w:szCs w:val="21"/>
        </w:rPr>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6" w:name="_Toc135293183"/>
      <w:r>
        <w:rPr>
          <w:rFonts w:hint="eastAsia" w:asciiTheme="minorEastAsia" w:hAnsiTheme="minorEastAsia" w:eastAsiaTheme="minorEastAsia"/>
        </w:rPr>
        <w:t>格式2  法定代表人（负责人）证明书及授权委托书</w:t>
      </w:r>
      <w:bookmarkEnd w:id="66"/>
    </w:p>
    <w:p w14:paraId="65192C1D">
      <w:pPr>
        <w:widowControl/>
        <w:jc w:val="left"/>
        <w:rPr>
          <w:rFonts w:ascii="宋体" w:hAnsi="宋体"/>
          <w:b/>
          <w:sz w:val="28"/>
          <w:szCs w:val="28"/>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ascii="宋体" w:hAnsi="宋体"/>
          <w:b/>
          <w:sz w:val="28"/>
          <w:szCs w:val="28"/>
        </w:rPr>
      </w:pPr>
      <w:r>
        <w:rPr>
          <w:rFonts w:hint="eastAsia" w:ascii="宋体" w:hAnsi="宋体"/>
          <w:b/>
          <w:sz w:val="28"/>
          <w:szCs w:val="28"/>
        </w:rPr>
        <w:br w:type="page"/>
      </w:r>
    </w:p>
    <w:p w14:paraId="62FC7172">
      <w:pPr>
        <w:widowControl/>
        <w:jc w:val="center"/>
        <w:rPr>
          <w:rFonts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1048"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1047"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4B954082">
      <w:pPr>
        <w:spacing w:line="360" w:lineRule="auto"/>
        <w:ind w:firstLine="539" w:firstLineChars="257"/>
        <w:rPr>
          <w:highlight w:val="yellow"/>
        </w:rPr>
      </w:pPr>
    </w:p>
    <w:p w14:paraId="0800E14B">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b/>
          <w:bCs/>
          <w:sz w:val="28"/>
        </w:rPr>
      </w:pPr>
    </w:p>
    <w:p w14:paraId="3EF0D02B">
      <w:pPr>
        <w:jc w:val="center"/>
        <w:rPr>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rPr>
        <w:t>投标单位名称：（公章）</w:t>
      </w:r>
    </w:p>
    <w:p w14:paraId="7C2D8CF3">
      <w:pPr>
        <w:ind w:firstLine="630"/>
      </w:pPr>
    </w:p>
    <w:p w14:paraId="4902E904">
      <w:pPr>
        <w:ind w:firstLine="630"/>
      </w:pPr>
      <w:r>
        <w:rPr>
          <w:rFonts w:hint="eastAsia"/>
        </w:rPr>
        <w:t>法定代表人（单位负责人）：（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7" w:name="_Toc226217114"/>
      <w:r>
        <w:rPr>
          <w:rFonts w:ascii="宋体"/>
        </w:rPr>
        <w:pict>
          <v:rect id="Rectangle 2" o:spid="_x0000_s1045"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1046"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7"/>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8"/>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asciiTheme="minorEastAsia" w:hAnsiTheme="minorEastAsia" w:eastAsiaTheme="minorEastAsia"/>
        </w:rPr>
      </w:pPr>
      <w:bookmarkStart w:id="69" w:name="_Toc135293185"/>
      <w:r>
        <w:rPr>
          <w:rFonts w:hint="eastAsia" w:asciiTheme="minorEastAsia" w:hAnsiTheme="minorEastAsia" w:eastAsiaTheme="minorEastAsia"/>
        </w:rPr>
        <w:t xml:space="preserve">格式4  </w:t>
      </w:r>
      <w:bookmarkEnd w:id="69"/>
      <w:r>
        <w:rPr>
          <w:rFonts w:hint="eastAsia" w:asciiTheme="minorEastAsia" w:hAnsiTheme="minorEastAsia" w:eastAsiaTheme="minorEastAsia"/>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70" w:name="_Hlk71925120"/>
      <w:r>
        <w:rPr>
          <w:rFonts w:hint="eastAsia" w:asciiTheme="minorEastAsia" w:hAnsiTheme="minorEastAsia" w:eastAsiaTheme="minorEastAsia"/>
          <w:kern w:val="0"/>
          <w:szCs w:val="21"/>
        </w:rPr>
        <w:t>《关于印发中小企业划型标准规定的通知》（工信部联企业〔2011〕300 号</w:t>
      </w:r>
      <w:bookmarkEnd w:id="70"/>
      <w:r>
        <w:rPr>
          <w:rFonts w:hint="eastAsia" w:asciiTheme="minorEastAsia" w:hAnsiTheme="minorEastAsia" w:eastAsiaTheme="minorEastAsia"/>
          <w:kern w:val="0"/>
          <w:szCs w:val="21"/>
        </w:rPr>
        <w:t>）</w:t>
      </w:r>
    </w:p>
    <w:p w14:paraId="5C999ED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02245991">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5"/>
        <w:tabs>
          <w:tab w:val="left" w:pos="0"/>
        </w:tabs>
        <w:jc w:val="center"/>
        <w:rPr>
          <w:rFonts w:ascii="宋体" w:hAnsi="宋体" w:eastAsia="宋体"/>
        </w:rPr>
      </w:pPr>
      <w:r>
        <w:rPr>
          <w:rFonts w:hint="eastAsia" w:ascii="宋体" w:hAnsi="宋体" w:eastAsia="宋体"/>
        </w:rPr>
        <w:t>中小企业声明函</w:t>
      </w:r>
    </w:p>
    <w:p w14:paraId="26132446">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5"/>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5"/>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71" w:name="_Toc135293186"/>
      <w:bookmarkStart w:id="72" w:name="_Toc44691397"/>
      <w:bookmarkStart w:id="73" w:name="_Toc44690433"/>
      <w:bookmarkStart w:id="74" w:name="_Toc44691165"/>
      <w:bookmarkStart w:id="75" w:name="_Toc44690706"/>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spacing w:before="0" w:beforeAutospacing="0" w:after="0" w:afterAutospacing="0" w:line="560" w:lineRule="atLeast"/>
        <w:jc w:val="center"/>
        <w:textAlignment w:val="baseline"/>
        <w:rPr>
          <w:rFonts w:ascii="宋体" w:hAnsi="宋体" w:cs="宋体"/>
          <w:sz w:val="28"/>
          <w:szCs w:val="28"/>
        </w:rPr>
      </w:pPr>
      <w:r>
        <w:rPr>
          <w:rStyle w:val="53"/>
          <w:rFonts w:hint="eastAsia" w:ascii="宋体" w:hAnsi="宋体" w:cs="宋体"/>
          <w:color w:val="000000"/>
          <w:sz w:val="28"/>
          <w:szCs w:val="28"/>
          <w:shd w:val="clear" w:color="auto" w:fill="FFFFFF"/>
        </w:rPr>
        <w:t>关于符合本国产品标准的声明函</w:t>
      </w:r>
    </w:p>
    <w:p w14:paraId="65E92E21">
      <w:pPr>
        <w:pStyle w:val="45"/>
        <w:spacing w:before="0" w:beforeAutospacing="0" w:after="0" w:afterAutospacing="0" w:line="560" w:lineRule="atLeast"/>
        <w:ind w:firstLine="420"/>
        <w:textAlignment w:val="baseline"/>
        <w:rPr>
          <w:rFonts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63557353">
      <w:pPr>
        <w:pStyle w:val="45"/>
        <w:spacing w:before="0" w:beforeAutospacing="0" w:after="0" w:afterAutospacing="0" w:line="560" w:lineRule="atLeast"/>
        <w:ind w:firstLine="420"/>
        <w:textAlignment w:val="baseline"/>
        <w:rPr>
          <w:rFonts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p>
    <w:p w14:paraId="0B592BAF">
      <w:pPr>
        <w:rPr>
          <w:rFonts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71"/>
      <w:bookmarkEnd w:id="72"/>
      <w:bookmarkEnd w:id="73"/>
      <w:bookmarkEnd w:id="74"/>
      <w:bookmarkEnd w:id="75"/>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5"/>
        <w:gridCol w:w="3680"/>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965"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3680"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965" w:type="dxa"/>
            <w:tcBorders>
              <w:top w:val="single" w:color="auto" w:sz="4" w:space="0"/>
            </w:tcBorders>
            <w:vAlign w:val="center"/>
          </w:tcPr>
          <w:p w14:paraId="7DC4F4A9">
            <w:pPr>
              <w:adjustRightInd w:val="0"/>
              <w:snapToGrid w:val="0"/>
              <w:spacing w:line="360" w:lineRule="auto"/>
              <w:jc w:val="center"/>
            </w:pPr>
            <w:r>
              <w:rPr>
                <w:rFonts w:hint="eastAsia" w:asciiTheme="minorEastAsia" w:hAnsiTheme="minorEastAsia" w:eastAsiaTheme="minorEastAsia"/>
              </w:rPr>
              <w:t>深圳市梧桐山发射台改造项目环评服务</w:t>
            </w:r>
          </w:p>
        </w:tc>
        <w:tc>
          <w:tcPr>
            <w:tcW w:w="3680"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6" w:name="_Toc44691166"/>
      <w:bookmarkStart w:id="77" w:name="_Toc44690707"/>
      <w:bookmarkStart w:id="78" w:name="_Toc44691398"/>
      <w:bookmarkStart w:id="79" w:name="_Toc44690434"/>
      <w:bookmarkStart w:id="80" w:name="_Toc135293187"/>
      <w:r>
        <w:rPr>
          <w:rFonts w:hint="eastAsia" w:asciiTheme="minorEastAsia" w:hAnsiTheme="minorEastAsia" w:eastAsiaTheme="minorEastAsia"/>
        </w:rPr>
        <w:t>格式6  报价表</w:t>
      </w:r>
      <w:bookmarkEnd w:id="76"/>
      <w:bookmarkEnd w:id="77"/>
      <w:bookmarkEnd w:id="78"/>
      <w:bookmarkEnd w:id="79"/>
      <w:bookmarkEnd w:id="80"/>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156" w:beforeLines="50" w:after="156"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投标单位：（加盖公章）</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8"/>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81" w:name="_Toc135293188"/>
      <w:bookmarkStart w:id="82" w:name="_Toc44690708"/>
      <w:bookmarkStart w:id="83" w:name="_Toc44691167"/>
      <w:bookmarkStart w:id="84" w:name="_Toc44691399"/>
      <w:bookmarkStart w:id="85" w:name="_Toc44690435"/>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81"/>
      <w:bookmarkEnd w:id="82"/>
      <w:bookmarkEnd w:id="83"/>
      <w:bookmarkEnd w:id="84"/>
      <w:bookmarkEnd w:id="85"/>
    </w:p>
    <w:p w14:paraId="5F581870">
      <w:pPr>
        <w:pStyle w:val="7"/>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2E3D8D25">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73FB428F">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1DD75486">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42066D9D">
      <w:pPr>
        <w:spacing w:line="360" w:lineRule="auto"/>
        <w:ind w:firstLine="420" w:firstLineChars="200"/>
        <w:rPr>
          <w:rFonts w:ascii="宋体" w:hAnsi="宋体" w:cs="宋体"/>
          <w:szCs w:val="21"/>
        </w:rPr>
      </w:pPr>
      <w:r>
        <w:rPr>
          <w:rFonts w:hint="eastAsia" w:ascii="宋体" w:hAnsi="宋体" w:cs="宋体"/>
          <w:szCs w:val="21"/>
        </w:rPr>
        <w:t>4、</w:t>
      </w:r>
      <w:r>
        <w:rPr>
          <w:rFonts w:hint="eastAsia" w:ascii="宋体" w:hAnsi="宋体"/>
          <w:szCs w:val="21"/>
        </w:rPr>
        <w:t>违约承诺</w:t>
      </w:r>
    </w:p>
    <w:p w14:paraId="5D4F00B9">
      <w:pPr>
        <w:spacing w:line="360" w:lineRule="auto"/>
        <w:ind w:firstLine="420" w:firstLineChars="200"/>
        <w:rPr>
          <w:rFonts w:ascii="宋体" w:hAnsi="宋体"/>
          <w:szCs w:val="21"/>
        </w:rPr>
      </w:pPr>
      <w:r>
        <w:rPr>
          <w:rFonts w:hint="eastAsia" w:ascii="宋体" w:hAnsi="宋体"/>
          <w:szCs w:val="21"/>
        </w:rPr>
        <w:t>5、拟投入人员情况：包括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2D8E219">
      <w:pPr>
        <w:spacing w:line="360" w:lineRule="auto"/>
        <w:ind w:left="420"/>
        <w:rPr>
          <w:rFonts w:ascii="宋体" w:hAnsi="宋体"/>
          <w:bCs/>
        </w:rPr>
      </w:pPr>
      <w:r>
        <w:rPr>
          <w:rFonts w:hint="eastAsia" w:ascii="宋体" w:hAnsi="宋体"/>
          <w:bCs/>
        </w:rPr>
        <w:t>6、投标人认为必要的其他方案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pPr>
    </w:p>
    <w:p w14:paraId="4828A698">
      <w:pPr>
        <w:tabs>
          <w:tab w:val="left" w:pos="8248"/>
          <w:tab w:val="left" w:pos="9368"/>
        </w:tabs>
        <w:spacing w:line="360" w:lineRule="auto"/>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投标单位：（加盖公章）</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6"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6"/>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7" w:name="_Toc44690709"/>
      <w:bookmarkStart w:id="88" w:name="_Toc44690436"/>
      <w:bookmarkStart w:id="89" w:name="_Toc44691168"/>
      <w:bookmarkStart w:id="90" w:name="_Toc135293190"/>
      <w:bookmarkStart w:id="91" w:name="_Toc44691400"/>
      <w:r>
        <w:rPr>
          <w:rFonts w:hint="eastAsia" w:asciiTheme="minorEastAsia" w:hAnsiTheme="minorEastAsia" w:eastAsiaTheme="minorEastAsia"/>
        </w:rPr>
        <w:t>格式9  偏离表</w:t>
      </w:r>
      <w:bookmarkEnd w:id="87"/>
      <w:bookmarkEnd w:id="88"/>
      <w:bookmarkEnd w:id="89"/>
      <w:bookmarkEnd w:id="90"/>
      <w:bookmarkEnd w:id="91"/>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546FFD48">
      <w:pPr>
        <w:spacing w:line="400" w:lineRule="exact"/>
        <w:rPr>
          <w:rFonts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招标文件商务要求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snapToGrid w:val="0"/>
          <w:kern w:val="0"/>
        </w:rPr>
      </w:pPr>
    </w:p>
    <w:p w14:paraId="659C70D4">
      <w:pPr>
        <w:adjustRightInd w:val="0"/>
        <w:snapToGrid w:val="0"/>
        <w:spacing w:line="300" w:lineRule="auto"/>
        <w:rPr>
          <w:snapToGrid w:val="0"/>
          <w:kern w:val="0"/>
        </w:rPr>
      </w:pPr>
      <w:r>
        <w:rPr>
          <w:rFonts w:hint="eastAsia"/>
          <w:snapToGrid w:val="0"/>
          <w:kern w:val="0"/>
        </w:rPr>
        <w:t>投标单位：（加盖公章）</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92" w:name="q15"/>
      <w:bookmarkEnd w:id="92"/>
      <w:bookmarkStart w:id="93" w:name="_格式3__"/>
      <w:bookmarkEnd w:id="93"/>
      <w:bookmarkStart w:id="94" w:name="_格式4__"/>
      <w:bookmarkEnd w:id="94"/>
      <w:bookmarkStart w:id="95" w:name="q17"/>
      <w:bookmarkEnd w:id="95"/>
      <w:bookmarkStart w:id="96" w:name="_格式2__投标保证金凭证"/>
      <w:bookmarkEnd w:id="96"/>
      <w:bookmarkStart w:id="97" w:name="q16"/>
      <w:bookmarkEnd w:id="97"/>
      <w:bookmarkStart w:id="98" w:name="_格式5__"/>
      <w:bookmarkEnd w:id="98"/>
      <w:r>
        <w:rPr>
          <w:rFonts w:asciiTheme="minorEastAsia" w:hAnsiTheme="minorEastAsia" w:eastAsiaTheme="minorEastAsia"/>
        </w:rPr>
        <w:tab/>
      </w:r>
      <w:bookmarkStart w:id="99" w:name="_Toc44691169"/>
      <w:bookmarkStart w:id="100" w:name="_Toc44690437"/>
      <w:bookmarkStart w:id="101" w:name="_Toc44690710"/>
      <w:bookmarkStart w:id="102" w:name="_Toc44691401"/>
      <w:bookmarkStart w:id="103"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9"/>
      <w:bookmarkEnd w:id="100"/>
      <w:bookmarkEnd w:id="101"/>
      <w:bookmarkEnd w:id="102"/>
      <w:r>
        <w:rPr>
          <w:rFonts w:hint="eastAsia" w:asciiTheme="minorEastAsia" w:hAnsiTheme="minorEastAsia" w:eastAsiaTheme="minorEastAsia"/>
        </w:rPr>
        <w:t>招标文件要求的其他资料或投标人认为需要补充的资料</w:t>
      </w:r>
      <w:bookmarkEnd w:id="103"/>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4" w:name="_Toc135293192"/>
      <w:r>
        <w:rPr>
          <w:rFonts w:hint="eastAsia"/>
        </w:rPr>
        <w:t>第八章  合同条款</w:t>
      </w:r>
      <w:bookmarkEnd w:id="104"/>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6"/>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6"/>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6"/>
        <w:snapToGrid w:val="0"/>
        <w:spacing w:line="360" w:lineRule="auto"/>
        <w:ind w:firstLine="422" w:firstLineChars="200"/>
        <w:rPr>
          <w:rFonts w:hAnsi="宋体"/>
          <w:b/>
          <w:szCs w:val="21"/>
        </w:rPr>
      </w:pPr>
      <w:r>
        <w:rPr>
          <w:rFonts w:hint="eastAsia" w:hAnsi="宋体"/>
          <w:b/>
          <w:szCs w:val="21"/>
        </w:rPr>
        <w:t>二、合同金额</w:t>
      </w:r>
    </w:p>
    <w:p w14:paraId="1A9D4D7D">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6"/>
        <w:snapToGrid w:val="0"/>
        <w:spacing w:line="360" w:lineRule="auto"/>
        <w:ind w:firstLine="422" w:firstLineChars="200"/>
        <w:rPr>
          <w:rFonts w:hAnsi="宋体"/>
          <w:b/>
          <w:szCs w:val="21"/>
        </w:rPr>
      </w:pPr>
      <w:r>
        <w:rPr>
          <w:rFonts w:hint="eastAsia" w:hAnsi="宋体"/>
          <w:b/>
          <w:szCs w:val="21"/>
        </w:rPr>
        <w:t>三、技术资料</w:t>
      </w:r>
    </w:p>
    <w:p w14:paraId="536237EC">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6"/>
        <w:snapToGrid w:val="0"/>
        <w:spacing w:line="360" w:lineRule="auto"/>
        <w:ind w:firstLine="422" w:firstLineChars="200"/>
        <w:rPr>
          <w:rFonts w:hAnsi="宋体"/>
          <w:b/>
          <w:szCs w:val="21"/>
        </w:rPr>
      </w:pPr>
      <w:r>
        <w:rPr>
          <w:rFonts w:hint="eastAsia" w:hAnsi="宋体"/>
          <w:b/>
          <w:szCs w:val="21"/>
        </w:rPr>
        <w:t>四、知识产权</w:t>
      </w:r>
    </w:p>
    <w:p w14:paraId="089B43B5">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6"/>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6"/>
        <w:snapToGrid w:val="0"/>
        <w:spacing w:line="360" w:lineRule="auto"/>
        <w:ind w:firstLine="422" w:firstLineChars="200"/>
        <w:rPr>
          <w:rFonts w:hAnsi="宋体"/>
          <w:b/>
          <w:szCs w:val="21"/>
        </w:rPr>
      </w:pPr>
      <w:r>
        <w:rPr>
          <w:rFonts w:hint="eastAsia" w:hAnsi="宋体"/>
          <w:b/>
          <w:szCs w:val="21"/>
        </w:rPr>
        <w:t>十、付款方式和税费</w:t>
      </w:r>
    </w:p>
    <w:p w14:paraId="2CAD3547">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6"/>
        <w:snapToGrid w:val="0"/>
        <w:spacing w:line="360" w:lineRule="auto"/>
        <w:ind w:firstLine="422" w:firstLineChars="200"/>
        <w:rPr>
          <w:rFonts w:hAnsi="宋体"/>
          <w:b/>
          <w:szCs w:val="21"/>
        </w:rPr>
      </w:pPr>
      <w:r>
        <w:rPr>
          <w:rFonts w:hint="eastAsia" w:hAnsi="宋体"/>
          <w:b/>
          <w:szCs w:val="21"/>
        </w:rPr>
        <w:t>十二、违约责任</w:t>
      </w:r>
    </w:p>
    <w:p w14:paraId="37297565">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6"/>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5" w:name="_Toc135293193"/>
      <w:bookmarkStart w:id="106" w:name="_Toc73610161"/>
      <w:r>
        <w:rPr>
          <w:rFonts w:hint="eastAsia"/>
        </w:rPr>
        <w:t>第九章  附件</w:t>
      </w:r>
      <w:bookmarkEnd w:id="105"/>
      <w:bookmarkEnd w:id="106"/>
    </w:p>
    <w:p w14:paraId="3C84BC95">
      <w:pPr>
        <w:pStyle w:val="4"/>
        <w:spacing w:before="0" w:after="0"/>
      </w:pPr>
      <w:bookmarkStart w:id="107" w:name="_Toc73613644"/>
      <w:bookmarkStart w:id="108" w:name="_Toc73610162"/>
      <w:bookmarkStart w:id="109" w:name="_Toc135293194"/>
      <w:r>
        <w:rPr>
          <w:rFonts w:hint="eastAsia"/>
        </w:rPr>
        <w:t>一、财政部 工业和信息化部关于印发《政府采购促进中小企业发展管理办法》的通知</w:t>
      </w:r>
      <w:bookmarkEnd w:id="107"/>
      <w:bookmarkEnd w:id="108"/>
      <w:bookmarkEnd w:id="109"/>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10" w:name="_Toc73610163"/>
      <w:bookmarkStart w:id="111" w:name="_Toc73613645"/>
      <w:bookmarkStart w:id="112" w:name="_Toc135293195"/>
      <w:r>
        <w:rPr>
          <w:rFonts w:hint="eastAsia"/>
        </w:rPr>
        <w:t>二、关于印发中小企业划型标准规定的通知</w:t>
      </w:r>
      <w:bookmarkEnd w:id="110"/>
      <w:bookmarkEnd w:id="111"/>
      <w:bookmarkEnd w:id="112"/>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13" w:name="_Toc73610164"/>
      <w:bookmarkStart w:id="114" w:name="_Toc135293196"/>
      <w:bookmarkStart w:id="115" w:name="_Toc73613646"/>
      <w:r>
        <w:rPr>
          <w:rFonts w:hint="eastAsia"/>
        </w:rPr>
        <w:t>三、</w:t>
      </w:r>
      <w:r>
        <w:t>国家统计局关于印发《统计上大中小微型企业划分办法 （2017）》的通知</w:t>
      </w:r>
      <w:bookmarkEnd w:id="113"/>
      <w:bookmarkEnd w:id="114"/>
      <w:bookmarkEnd w:id="115"/>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6" w:name="_Toc73613647"/>
      <w:bookmarkStart w:id="117" w:name="_Toc73610165"/>
      <w:bookmarkStart w:id="118" w:name="_Toc135293197"/>
      <w:r>
        <w:rPr>
          <w:rFonts w:hint="eastAsia"/>
        </w:rPr>
        <w:t>四、</w:t>
      </w:r>
      <w:r>
        <w:t>财政部 民政部 中国残疾人联合会关于促进残疾人就业 政府采购政策的通知</w:t>
      </w:r>
      <w:bookmarkEnd w:id="116"/>
      <w:bookmarkEnd w:id="117"/>
      <w:bookmarkEnd w:id="118"/>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9" w:name="_Toc135293198"/>
      <w:r>
        <w:rPr>
          <w:rFonts w:hint="eastAsia"/>
        </w:rPr>
        <w:t>五、财政部 司法部关于政府采购支持监狱企业发展有关问题的通知</w:t>
      </w:r>
      <w:bookmarkEnd w:id="119"/>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17</w:t>
    </w:r>
    <w:r>
      <w:rPr>
        <w:rStyle w:val="54"/>
      </w:rPr>
      <w:fldChar w:fldCharType="end"/>
    </w:r>
  </w:p>
  <w:p w14:paraId="21DB7764">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2"/>
      <w:tabs>
        <w:tab w:val="center" w:pos="4819"/>
        <w:tab w:val="right" w:pos="9638"/>
      </w:tabs>
      <w:jc w:val="left"/>
    </w:pPr>
    <w:r>
      <w:rPr>
        <w:rFonts w:hint="eastAsia"/>
      </w:rPr>
      <w:t>项目名称：深圳市梧桐山发射台改造项目环评服务                             项目编号：</w:t>
    </w:r>
    <w:r>
      <w:rPr>
        <w:rFonts w:hint="eastAsia" w:asciiTheme="minorEastAsia" w:hAnsiTheme="minorEastAsia" w:eastAsiaTheme="minorEastAsia"/>
      </w:rPr>
      <w:t>SZZZ2026-QC0035</w:t>
    </w:r>
    <w:r>
      <w:tab/>
    </w:r>
  </w:p>
  <w:p w14:paraId="60593B1B">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5D8"/>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851"/>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949"/>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125"/>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280"/>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36BF"/>
    <w:rsid w:val="001B5780"/>
    <w:rsid w:val="001B5B42"/>
    <w:rsid w:val="001B606A"/>
    <w:rsid w:val="001B6DDB"/>
    <w:rsid w:val="001B7078"/>
    <w:rsid w:val="001B7491"/>
    <w:rsid w:val="001B75CF"/>
    <w:rsid w:val="001B7A8D"/>
    <w:rsid w:val="001B7EBE"/>
    <w:rsid w:val="001C06C0"/>
    <w:rsid w:val="001C0AC9"/>
    <w:rsid w:val="001C0D5A"/>
    <w:rsid w:val="001C0FA1"/>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8C"/>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A2C"/>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8D8"/>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6F9"/>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55F"/>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0A94"/>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1EA"/>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5F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DDE"/>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26F1"/>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5DE5"/>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202"/>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956"/>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1F2E"/>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47F02"/>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774"/>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9C1"/>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88E"/>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09D"/>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48"/>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3E0"/>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61F6"/>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1FB"/>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04B"/>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B610AA"/>
    <w:rsid w:val="01F0299B"/>
    <w:rsid w:val="02323801"/>
    <w:rsid w:val="02352754"/>
    <w:rsid w:val="024D4C30"/>
    <w:rsid w:val="026E4F91"/>
    <w:rsid w:val="029546DD"/>
    <w:rsid w:val="02C77214"/>
    <w:rsid w:val="02CB1CF7"/>
    <w:rsid w:val="035F4222"/>
    <w:rsid w:val="03675DAC"/>
    <w:rsid w:val="039C57C0"/>
    <w:rsid w:val="03D71DDD"/>
    <w:rsid w:val="041D095D"/>
    <w:rsid w:val="052D0A47"/>
    <w:rsid w:val="054247C4"/>
    <w:rsid w:val="05C87DB9"/>
    <w:rsid w:val="05FE0636"/>
    <w:rsid w:val="06CC603E"/>
    <w:rsid w:val="06E1580F"/>
    <w:rsid w:val="06EB2968"/>
    <w:rsid w:val="077E586F"/>
    <w:rsid w:val="07DD5502"/>
    <w:rsid w:val="07EC69C8"/>
    <w:rsid w:val="07FC18D4"/>
    <w:rsid w:val="0838123A"/>
    <w:rsid w:val="08425EAC"/>
    <w:rsid w:val="089C0B2D"/>
    <w:rsid w:val="08A2469D"/>
    <w:rsid w:val="094C3466"/>
    <w:rsid w:val="0961739E"/>
    <w:rsid w:val="098E6083"/>
    <w:rsid w:val="09D354E6"/>
    <w:rsid w:val="09F51EE3"/>
    <w:rsid w:val="0A2C39C3"/>
    <w:rsid w:val="0A2F22C5"/>
    <w:rsid w:val="0AC03ED3"/>
    <w:rsid w:val="0ADA4400"/>
    <w:rsid w:val="0B1A21AD"/>
    <w:rsid w:val="0B205B2B"/>
    <w:rsid w:val="0B3D0378"/>
    <w:rsid w:val="0B782559"/>
    <w:rsid w:val="0BFD483A"/>
    <w:rsid w:val="0C032502"/>
    <w:rsid w:val="0C11337E"/>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74577C"/>
    <w:rsid w:val="10CF32FA"/>
    <w:rsid w:val="11080DB5"/>
    <w:rsid w:val="114573C0"/>
    <w:rsid w:val="115F3FD7"/>
    <w:rsid w:val="11651569"/>
    <w:rsid w:val="11834124"/>
    <w:rsid w:val="11A259DD"/>
    <w:rsid w:val="11BA4BC1"/>
    <w:rsid w:val="11C20769"/>
    <w:rsid w:val="11D90C91"/>
    <w:rsid w:val="11F9269A"/>
    <w:rsid w:val="120474A0"/>
    <w:rsid w:val="12940358"/>
    <w:rsid w:val="12C32C8D"/>
    <w:rsid w:val="12ED5EA4"/>
    <w:rsid w:val="13102ABE"/>
    <w:rsid w:val="13A46CB7"/>
    <w:rsid w:val="142B3CF9"/>
    <w:rsid w:val="148803C5"/>
    <w:rsid w:val="14B22D17"/>
    <w:rsid w:val="14CF5677"/>
    <w:rsid w:val="150424E2"/>
    <w:rsid w:val="16651C1E"/>
    <w:rsid w:val="167D280D"/>
    <w:rsid w:val="16D67114"/>
    <w:rsid w:val="16EF4EE4"/>
    <w:rsid w:val="17047766"/>
    <w:rsid w:val="170A4C85"/>
    <w:rsid w:val="174A5413"/>
    <w:rsid w:val="17706018"/>
    <w:rsid w:val="17935895"/>
    <w:rsid w:val="17EB6CC4"/>
    <w:rsid w:val="17F52C18"/>
    <w:rsid w:val="1807166C"/>
    <w:rsid w:val="182C6223"/>
    <w:rsid w:val="184530EF"/>
    <w:rsid w:val="187842FE"/>
    <w:rsid w:val="19227A4B"/>
    <w:rsid w:val="19410B0E"/>
    <w:rsid w:val="19461C80"/>
    <w:rsid w:val="1A182B91"/>
    <w:rsid w:val="1A3B761A"/>
    <w:rsid w:val="1A4E7B88"/>
    <w:rsid w:val="1ABE67E3"/>
    <w:rsid w:val="1AFF0E5E"/>
    <w:rsid w:val="1B3E182A"/>
    <w:rsid w:val="1B4B5195"/>
    <w:rsid w:val="1C174C6F"/>
    <w:rsid w:val="1C7C020D"/>
    <w:rsid w:val="1C8F78BA"/>
    <w:rsid w:val="1C9B0D84"/>
    <w:rsid w:val="1CDD3F3B"/>
    <w:rsid w:val="1D4D6869"/>
    <w:rsid w:val="1D523FF4"/>
    <w:rsid w:val="1D980D85"/>
    <w:rsid w:val="1DD01078"/>
    <w:rsid w:val="1DF42FCA"/>
    <w:rsid w:val="1E8B0AD8"/>
    <w:rsid w:val="1F654F8F"/>
    <w:rsid w:val="1F922B90"/>
    <w:rsid w:val="20252FDD"/>
    <w:rsid w:val="20707345"/>
    <w:rsid w:val="20D255C9"/>
    <w:rsid w:val="20FD7003"/>
    <w:rsid w:val="21076199"/>
    <w:rsid w:val="21760101"/>
    <w:rsid w:val="219F72F5"/>
    <w:rsid w:val="22B25284"/>
    <w:rsid w:val="22C07D9F"/>
    <w:rsid w:val="23056CBA"/>
    <w:rsid w:val="234C1E42"/>
    <w:rsid w:val="23650B37"/>
    <w:rsid w:val="23900222"/>
    <w:rsid w:val="239643B6"/>
    <w:rsid w:val="23B1286A"/>
    <w:rsid w:val="23C6059E"/>
    <w:rsid w:val="23C95079"/>
    <w:rsid w:val="23F46EA8"/>
    <w:rsid w:val="23FE5D77"/>
    <w:rsid w:val="24031A53"/>
    <w:rsid w:val="24307C26"/>
    <w:rsid w:val="24322559"/>
    <w:rsid w:val="245426F3"/>
    <w:rsid w:val="248E5D4C"/>
    <w:rsid w:val="24C47897"/>
    <w:rsid w:val="24D521C3"/>
    <w:rsid w:val="24E337F8"/>
    <w:rsid w:val="250D5B0A"/>
    <w:rsid w:val="252C71BA"/>
    <w:rsid w:val="25853B30"/>
    <w:rsid w:val="258D3B57"/>
    <w:rsid w:val="259F5DCD"/>
    <w:rsid w:val="262336EE"/>
    <w:rsid w:val="269E4C0C"/>
    <w:rsid w:val="27024D1A"/>
    <w:rsid w:val="278C78CF"/>
    <w:rsid w:val="278F0C96"/>
    <w:rsid w:val="27AA4F6F"/>
    <w:rsid w:val="283437D1"/>
    <w:rsid w:val="28746B97"/>
    <w:rsid w:val="28823097"/>
    <w:rsid w:val="28F7242D"/>
    <w:rsid w:val="29076E89"/>
    <w:rsid w:val="296806C9"/>
    <w:rsid w:val="29A30A29"/>
    <w:rsid w:val="29F00112"/>
    <w:rsid w:val="2A161A99"/>
    <w:rsid w:val="2A7615AE"/>
    <w:rsid w:val="2AA44A58"/>
    <w:rsid w:val="2ABE3D6C"/>
    <w:rsid w:val="2AD85037"/>
    <w:rsid w:val="2B002AD1"/>
    <w:rsid w:val="2B1B2E90"/>
    <w:rsid w:val="2B1E480B"/>
    <w:rsid w:val="2B6E074C"/>
    <w:rsid w:val="2B7F003F"/>
    <w:rsid w:val="2BC03B14"/>
    <w:rsid w:val="2BD0253B"/>
    <w:rsid w:val="2BEE0681"/>
    <w:rsid w:val="2C187060"/>
    <w:rsid w:val="2C444480"/>
    <w:rsid w:val="2C564DC3"/>
    <w:rsid w:val="2CBA13DB"/>
    <w:rsid w:val="2CE90E48"/>
    <w:rsid w:val="2D0D4B37"/>
    <w:rsid w:val="2D6C141D"/>
    <w:rsid w:val="2DEA2B8B"/>
    <w:rsid w:val="2E980D64"/>
    <w:rsid w:val="2EB64B4B"/>
    <w:rsid w:val="2EDB590A"/>
    <w:rsid w:val="2F0A29E3"/>
    <w:rsid w:val="303732F1"/>
    <w:rsid w:val="30404152"/>
    <w:rsid w:val="30601421"/>
    <w:rsid w:val="30817D6A"/>
    <w:rsid w:val="30B87A6A"/>
    <w:rsid w:val="30F72470"/>
    <w:rsid w:val="3157114E"/>
    <w:rsid w:val="315D7CF4"/>
    <w:rsid w:val="316136A3"/>
    <w:rsid w:val="31F01538"/>
    <w:rsid w:val="31F2037F"/>
    <w:rsid w:val="321B5F48"/>
    <w:rsid w:val="329B11F6"/>
    <w:rsid w:val="32F42BE8"/>
    <w:rsid w:val="336E087E"/>
    <w:rsid w:val="33775400"/>
    <w:rsid w:val="33A85DA6"/>
    <w:rsid w:val="33C3087D"/>
    <w:rsid w:val="33FE78CF"/>
    <w:rsid w:val="34002328"/>
    <w:rsid w:val="3421498A"/>
    <w:rsid w:val="344C0413"/>
    <w:rsid w:val="344F5E45"/>
    <w:rsid w:val="34842E9F"/>
    <w:rsid w:val="34CC0541"/>
    <w:rsid w:val="34FA7B3A"/>
    <w:rsid w:val="350F28AA"/>
    <w:rsid w:val="35961B12"/>
    <w:rsid w:val="359E6C74"/>
    <w:rsid w:val="35FF36B6"/>
    <w:rsid w:val="36370E76"/>
    <w:rsid w:val="364523AD"/>
    <w:rsid w:val="36700D38"/>
    <w:rsid w:val="368636C2"/>
    <w:rsid w:val="36985DB9"/>
    <w:rsid w:val="36C4673D"/>
    <w:rsid w:val="377C6DA9"/>
    <w:rsid w:val="37B10B63"/>
    <w:rsid w:val="37D17C49"/>
    <w:rsid w:val="37DC0287"/>
    <w:rsid w:val="381F29DE"/>
    <w:rsid w:val="387624AA"/>
    <w:rsid w:val="388C7258"/>
    <w:rsid w:val="38950836"/>
    <w:rsid w:val="38DF5E6F"/>
    <w:rsid w:val="3900628A"/>
    <w:rsid w:val="390721D7"/>
    <w:rsid w:val="392E5E12"/>
    <w:rsid w:val="393B510C"/>
    <w:rsid w:val="393E7417"/>
    <w:rsid w:val="393F4767"/>
    <w:rsid w:val="396C364A"/>
    <w:rsid w:val="39A97E97"/>
    <w:rsid w:val="3A260C29"/>
    <w:rsid w:val="3A651F6E"/>
    <w:rsid w:val="3AA53060"/>
    <w:rsid w:val="3AC058DE"/>
    <w:rsid w:val="3AD26068"/>
    <w:rsid w:val="3B0A6C0E"/>
    <w:rsid w:val="3B57268D"/>
    <w:rsid w:val="3B6176CE"/>
    <w:rsid w:val="3B64626A"/>
    <w:rsid w:val="3BEC3220"/>
    <w:rsid w:val="3BF9504C"/>
    <w:rsid w:val="3C425ABB"/>
    <w:rsid w:val="3C872BFA"/>
    <w:rsid w:val="3C9963E7"/>
    <w:rsid w:val="3C9D3F8B"/>
    <w:rsid w:val="3CA60B04"/>
    <w:rsid w:val="3CBE5E4E"/>
    <w:rsid w:val="3CCF5E45"/>
    <w:rsid w:val="3CEF24AB"/>
    <w:rsid w:val="3CF022B1"/>
    <w:rsid w:val="3CF11603"/>
    <w:rsid w:val="3D4A3CC7"/>
    <w:rsid w:val="3D5129F3"/>
    <w:rsid w:val="3D515A8A"/>
    <w:rsid w:val="3D567E34"/>
    <w:rsid w:val="3D623CEE"/>
    <w:rsid w:val="3D7507FB"/>
    <w:rsid w:val="3DA800F8"/>
    <w:rsid w:val="3DC64E6A"/>
    <w:rsid w:val="3E907C2F"/>
    <w:rsid w:val="3EB5127A"/>
    <w:rsid w:val="3EF341BE"/>
    <w:rsid w:val="3F2A1578"/>
    <w:rsid w:val="3F503E5E"/>
    <w:rsid w:val="3F5E53B5"/>
    <w:rsid w:val="3F812CA8"/>
    <w:rsid w:val="3FB547D5"/>
    <w:rsid w:val="3FBE2D92"/>
    <w:rsid w:val="3FC16214"/>
    <w:rsid w:val="404B7AD8"/>
    <w:rsid w:val="408D1DBF"/>
    <w:rsid w:val="40C92C06"/>
    <w:rsid w:val="414B15F9"/>
    <w:rsid w:val="41576FF8"/>
    <w:rsid w:val="418F600A"/>
    <w:rsid w:val="41D9164E"/>
    <w:rsid w:val="41DD521D"/>
    <w:rsid w:val="421870CD"/>
    <w:rsid w:val="423B7022"/>
    <w:rsid w:val="429A23DC"/>
    <w:rsid w:val="42A87124"/>
    <w:rsid w:val="42CE4643"/>
    <w:rsid w:val="42D633EC"/>
    <w:rsid w:val="430239C6"/>
    <w:rsid w:val="434370AD"/>
    <w:rsid w:val="43532EC5"/>
    <w:rsid w:val="4389060E"/>
    <w:rsid w:val="43C8028A"/>
    <w:rsid w:val="43CB5BBA"/>
    <w:rsid w:val="43D51667"/>
    <w:rsid w:val="43DD7F5F"/>
    <w:rsid w:val="43F62371"/>
    <w:rsid w:val="443B2C25"/>
    <w:rsid w:val="444A6219"/>
    <w:rsid w:val="444C3D3F"/>
    <w:rsid w:val="448421F1"/>
    <w:rsid w:val="448A3011"/>
    <w:rsid w:val="44B931B7"/>
    <w:rsid w:val="44CE3521"/>
    <w:rsid w:val="44DC50C3"/>
    <w:rsid w:val="44E93C84"/>
    <w:rsid w:val="452A2964"/>
    <w:rsid w:val="458319E2"/>
    <w:rsid w:val="45920C15"/>
    <w:rsid w:val="459D2A33"/>
    <w:rsid w:val="45D37D9B"/>
    <w:rsid w:val="46027BAC"/>
    <w:rsid w:val="46761547"/>
    <w:rsid w:val="474642BA"/>
    <w:rsid w:val="47975C19"/>
    <w:rsid w:val="47C817CD"/>
    <w:rsid w:val="48194FD5"/>
    <w:rsid w:val="484514CB"/>
    <w:rsid w:val="48AD2FFF"/>
    <w:rsid w:val="48C86EE1"/>
    <w:rsid w:val="49484020"/>
    <w:rsid w:val="498272AD"/>
    <w:rsid w:val="49A34BDC"/>
    <w:rsid w:val="49BF4FB3"/>
    <w:rsid w:val="49D547D7"/>
    <w:rsid w:val="49FA6EF8"/>
    <w:rsid w:val="4A0701BA"/>
    <w:rsid w:val="4A784961"/>
    <w:rsid w:val="4ACF3A3C"/>
    <w:rsid w:val="4B121AEC"/>
    <w:rsid w:val="4B1700DF"/>
    <w:rsid w:val="4B4B6AFE"/>
    <w:rsid w:val="4B7815E6"/>
    <w:rsid w:val="4B8B7843"/>
    <w:rsid w:val="4BFF5EC7"/>
    <w:rsid w:val="4C083D73"/>
    <w:rsid w:val="4C085898"/>
    <w:rsid w:val="4C373527"/>
    <w:rsid w:val="4C6267F5"/>
    <w:rsid w:val="4C787A00"/>
    <w:rsid w:val="4CC805CD"/>
    <w:rsid w:val="4CCA7EF7"/>
    <w:rsid w:val="4CD90E2A"/>
    <w:rsid w:val="4CF620A8"/>
    <w:rsid w:val="4D16313C"/>
    <w:rsid w:val="4D2E66D8"/>
    <w:rsid w:val="4E055E94"/>
    <w:rsid w:val="4E1910C7"/>
    <w:rsid w:val="4E612149"/>
    <w:rsid w:val="4EB175C0"/>
    <w:rsid w:val="4EED725F"/>
    <w:rsid w:val="4F0F6A19"/>
    <w:rsid w:val="4F111E0D"/>
    <w:rsid w:val="4FAE1D52"/>
    <w:rsid w:val="50AB1BDB"/>
    <w:rsid w:val="514635A0"/>
    <w:rsid w:val="51D10A66"/>
    <w:rsid w:val="526A01B2"/>
    <w:rsid w:val="528A390F"/>
    <w:rsid w:val="528C6991"/>
    <w:rsid w:val="52C3297B"/>
    <w:rsid w:val="52E350B6"/>
    <w:rsid w:val="532961F9"/>
    <w:rsid w:val="54054633"/>
    <w:rsid w:val="540605E4"/>
    <w:rsid w:val="54176117"/>
    <w:rsid w:val="5438084B"/>
    <w:rsid w:val="547F0032"/>
    <w:rsid w:val="54A02A20"/>
    <w:rsid w:val="55064A46"/>
    <w:rsid w:val="555869E7"/>
    <w:rsid w:val="55B24F8F"/>
    <w:rsid w:val="55C61B79"/>
    <w:rsid w:val="55C87B3E"/>
    <w:rsid w:val="56714961"/>
    <w:rsid w:val="56D10963"/>
    <w:rsid w:val="570B7A8A"/>
    <w:rsid w:val="57142FA7"/>
    <w:rsid w:val="57E35EFD"/>
    <w:rsid w:val="57F33150"/>
    <w:rsid w:val="57F347A6"/>
    <w:rsid w:val="58677DAE"/>
    <w:rsid w:val="587A4EC7"/>
    <w:rsid w:val="58D67D8C"/>
    <w:rsid w:val="58E10577"/>
    <w:rsid w:val="59165EF7"/>
    <w:rsid w:val="59702A12"/>
    <w:rsid w:val="599D70BF"/>
    <w:rsid w:val="59C95102"/>
    <w:rsid w:val="59CF1242"/>
    <w:rsid w:val="5AE1122D"/>
    <w:rsid w:val="5AE46F75"/>
    <w:rsid w:val="5AED2A9C"/>
    <w:rsid w:val="5B785330"/>
    <w:rsid w:val="5BC746C9"/>
    <w:rsid w:val="5CC61F72"/>
    <w:rsid w:val="5CF206F7"/>
    <w:rsid w:val="5D125E69"/>
    <w:rsid w:val="5D1F2AE3"/>
    <w:rsid w:val="5D440F45"/>
    <w:rsid w:val="5D5201C0"/>
    <w:rsid w:val="5D6121B1"/>
    <w:rsid w:val="5DA764EE"/>
    <w:rsid w:val="5DC10EA2"/>
    <w:rsid w:val="5E7466D9"/>
    <w:rsid w:val="5EA0340D"/>
    <w:rsid w:val="5ED66C3C"/>
    <w:rsid w:val="5EE017FC"/>
    <w:rsid w:val="5F7A468D"/>
    <w:rsid w:val="5F9E76ED"/>
    <w:rsid w:val="5FDD643B"/>
    <w:rsid w:val="607249AE"/>
    <w:rsid w:val="60BA3E42"/>
    <w:rsid w:val="61125007"/>
    <w:rsid w:val="61181E1C"/>
    <w:rsid w:val="613F3A2F"/>
    <w:rsid w:val="6155072E"/>
    <w:rsid w:val="617A7A66"/>
    <w:rsid w:val="6194383B"/>
    <w:rsid w:val="61A415C7"/>
    <w:rsid w:val="61C71D9F"/>
    <w:rsid w:val="61CB5375"/>
    <w:rsid w:val="61F21F72"/>
    <w:rsid w:val="623348CA"/>
    <w:rsid w:val="625421DB"/>
    <w:rsid w:val="63250BED"/>
    <w:rsid w:val="63D11B11"/>
    <w:rsid w:val="63D26282"/>
    <w:rsid w:val="649B41FB"/>
    <w:rsid w:val="64AC0915"/>
    <w:rsid w:val="64B37F11"/>
    <w:rsid w:val="6526467F"/>
    <w:rsid w:val="65492532"/>
    <w:rsid w:val="65687212"/>
    <w:rsid w:val="657D5FF6"/>
    <w:rsid w:val="658254E1"/>
    <w:rsid w:val="65C05392"/>
    <w:rsid w:val="65C27922"/>
    <w:rsid w:val="65CA685B"/>
    <w:rsid w:val="65CF34A7"/>
    <w:rsid w:val="65F660EF"/>
    <w:rsid w:val="661E1452"/>
    <w:rsid w:val="6673798C"/>
    <w:rsid w:val="66C37115"/>
    <w:rsid w:val="66C739CD"/>
    <w:rsid w:val="66F83B86"/>
    <w:rsid w:val="673905B6"/>
    <w:rsid w:val="674F2A30"/>
    <w:rsid w:val="678B16EA"/>
    <w:rsid w:val="67966EFB"/>
    <w:rsid w:val="681C3942"/>
    <w:rsid w:val="68330545"/>
    <w:rsid w:val="68460AAC"/>
    <w:rsid w:val="68AC1CFE"/>
    <w:rsid w:val="68EC626C"/>
    <w:rsid w:val="69227F4C"/>
    <w:rsid w:val="6A42482C"/>
    <w:rsid w:val="6A8D3F8A"/>
    <w:rsid w:val="6A9A31A7"/>
    <w:rsid w:val="6BBD7356"/>
    <w:rsid w:val="6BCD1DE6"/>
    <w:rsid w:val="6BD921DC"/>
    <w:rsid w:val="6C0E3655"/>
    <w:rsid w:val="6C4443B0"/>
    <w:rsid w:val="6C505023"/>
    <w:rsid w:val="6CCE7457"/>
    <w:rsid w:val="6CE001A6"/>
    <w:rsid w:val="6CF41368"/>
    <w:rsid w:val="6D14299F"/>
    <w:rsid w:val="6D581766"/>
    <w:rsid w:val="6D672A1E"/>
    <w:rsid w:val="6DC237D1"/>
    <w:rsid w:val="6DE22E9A"/>
    <w:rsid w:val="6E170030"/>
    <w:rsid w:val="6E2F4B86"/>
    <w:rsid w:val="6E587601"/>
    <w:rsid w:val="6E681EA9"/>
    <w:rsid w:val="6E811281"/>
    <w:rsid w:val="6E8421A4"/>
    <w:rsid w:val="6EB56801"/>
    <w:rsid w:val="6F40725E"/>
    <w:rsid w:val="6F4C2770"/>
    <w:rsid w:val="6F745D74"/>
    <w:rsid w:val="6F8F2BAE"/>
    <w:rsid w:val="6FC23A75"/>
    <w:rsid w:val="704D7B76"/>
    <w:rsid w:val="7053600D"/>
    <w:rsid w:val="70AE175A"/>
    <w:rsid w:val="711172CF"/>
    <w:rsid w:val="71B10318"/>
    <w:rsid w:val="71D461FE"/>
    <w:rsid w:val="71FD54DD"/>
    <w:rsid w:val="72007D93"/>
    <w:rsid w:val="72064994"/>
    <w:rsid w:val="729A3A97"/>
    <w:rsid w:val="72CA287C"/>
    <w:rsid w:val="730D7EC7"/>
    <w:rsid w:val="7315161C"/>
    <w:rsid w:val="73515B1A"/>
    <w:rsid w:val="735C11EB"/>
    <w:rsid w:val="738E7E4C"/>
    <w:rsid w:val="739A7F5B"/>
    <w:rsid w:val="73C66DBA"/>
    <w:rsid w:val="740F250F"/>
    <w:rsid w:val="740F3B71"/>
    <w:rsid w:val="7410294D"/>
    <w:rsid w:val="741915E0"/>
    <w:rsid w:val="74214742"/>
    <w:rsid w:val="74275AAB"/>
    <w:rsid w:val="742C2BF6"/>
    <w:rsid w:val="749E3893"/>
    <w:rsid w:val="74CE5592"/>
    <w:rsid w:val="75041948"/>
    <w:rsid w:val="750464B4"/>
    <w:rsid w:val="752B4572"/>
    <w:rsid w:val="752C70F1"/>
    <w:rsid w:val="760D6F22"/>
    <w:rsid w:val="76373F9F"/>
    <w:rsid w:val="765B0B31"/>
    <w:rsid w:val="765E32DA"/>
    <w:rsid w:val="76D71644"/>
    <w:rsid w:val="76EE69B8"/>
    <w:rsid w:val="77036A35"/>
    <w:rsid w:val="771D759E"/>
    <w:rsid w:val="77552740"/>
    <w:rsid w:val="776C2FB6"/>
    <w:rsid w:val="77A669E4"/>
    <w:rsid w:val="78B35276"/>
    <w:rsid w:val="78CB268C"/>
    <w:rsid w:val="78E65653"/>
    <w:rsid w:val="78E711F4"/>
    <w:rsid w:val="790C34C1"/>
    <w:rsid w:val="794E7636"/>
    <w:rsid w:val="79982284"/>
    <w:rsid w:val="7998662D"/>
    <w:rsid w:val="79F820B0"/>
    <w:rsid w:val="7A2F2846"/>
    <w:rsid w:val="7A546F18"/>
    <w:rsid w:val="7A82180D"/>
    <w:rsid w:val="7A865511"/>
    <w:rsid w:val="7A8C5878"/>
    <w:rsid w:val="7ACA0796"/>
    <w:rsid w:val="7AFB559C"/>
    <w:rsid w:val="7B0D0F0D"/>
    <w:rsid w:val="7B471854"/>
    <w:rsid w:val="7BA43E85"/>
    <w:rsid w:val="7C131497"/>
    <w:rsid w:val="7C552333"/>
    <w:rsid w:val="7CA86C55"/>
    <w:rsid w:val="7CDA5B60"/>
    <w:rsid w:val="7CF019C1"/>
    <w:rsid w:val="7D4476CE"/>
    <w:rsid w:val="7D461CAD"/>
    <w:rsid w:val="7D5D078F"/>
    <w:rsid w:val="7D7C001B"/>
    <w:rsid w:val="7D8C5614"/>
    <w:rsid w:val="7DB023C3"/>
    <w:rsid w:val="7E28286A"/>
    <w:rsid w:val="7E4159BB"/>
    <w:rsid w:val="7E4515FE"/>
    <w:rsid w:val="7E562ADD"/>
    <w:rsid w:val="7E967DD2"/>
    <w:rsid w:val="7EAD59B2"/>
    <w:rsid w:val="7EBF11BA"/>
    <w:rsid w:val="7F4C4618"/>
    <w:rsid w:val="7F680E86"/>
    <w:rsid w:val="7F8847EF"/>
    <w:rsid w:val="7F91273C"/>
    <w:rsid w:val="7FE558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autoRedefine/>
    <w:qFormat/>
    <w:uiPriority w:val="0"/>
    <w:pPr>
      <w:ind w:firstLine="420" w:firstLineChars="200"/>
    </w:pPr>
  </w:style>
  <w:style w:type="paragraph" w:styleId="12">
    <w:name w:val="toc 7"/>
    <w:basedOn w:val="1"/>
    <w:next w:val="1"/>
    <w:autoRedefine/>
    <w:qFormat/>
    <w:uiPriority w:val="0"/>
    <w:pPr>
      <w:ind w:left="1260"/>
      <w:jc w:val="left"/>
    </w:pPr>
    <w:rPr>
      <w:szCs w:val="21"/>
    </w:rPr>
  </w:style>
  <w:style w:type="paragraph" w:styleId="13">
    <w:name w:val="List Number 2"/>
    <w:basedOn w:val="1"/>
    <w:autoRedefine/>
    <w:qFormat/>
    <w:uiPriority w:val="0"/>
    <w:pPr>
      <w:tabs>
        <w:tab w:val="left" w:pos="780"/>
      </w:tabs>
      <w:ind w:left="780" w:hanging="360"/>
    </w:pPr>
    <w:rPr>
      <w:szCs w:val="20"/>
    </w:rPr>
  </w:style>
  <w:style w:type="paragraph" w:styleId="14">
    <w:name w:val="List Bullet 4"/>
    <w:basedOn w:val="1"/>
    <w:autoRedefine/>
    <w:qFormat/>
    <w:uiPriority w:val="0"/>
    <w:pPr>
      <w:tabs>
        <w:tab w:val="left" w:pos="425"/>
        <w:tab w:val="left" w:pos="1620"/>
      </w:tabs>
      <w:ind w:left="425" w:hanging="425"/>
    </w:pPr>
    <w:rPr>
      <w:szCs w:val="20"/>
    </w:rPr>
  </w:style>
  <w:style w:type="paragraph" w:styleId="15">
    <w:name w:val="caption"/>
    <w:basedOn w:val="1"/>
    <w:next w:val="1"/>
    <w:link w:val="297"/>
    <w:autoRedefine/>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autoRedefine/>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autoRedefine/>
    <w:qFormat/>
    <w:uiPriority w:val="0"/>
    <w:pPr>
      <w:spacing w:after="120"/>
      <w:ind w:left="420" w:leftChars="200"/>
    </w:pPr>
  </w:style>
  <w:style w:type="paragraph" w:styleId="22">
    <w:name w:val="Block Text"/>
    <w:basedOn w:val="1"/>
    <w:autoRedefine/>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autoRedefine/>
    <w:qFormat/>
    <w:uiPriority w:val="0"/>
    <w:pPr>
      <w:ind w:left="840"/>
      <w:jc w:val="left"/>
    </w:pPr>
    <w:rPr>
      <w:szCs w:val="21"/>
    </w:rPr>
  </w:style>
  <w:style w:type="paragraph" w:styleId="25">
    <w:name w:val="toc 3"/>
    <w:basedOn w:val="1"/>
    <w:next w:val="1"/>
    <w:autoRedefine/>
    <w:qFormat/>
    <w:uiPriority w:val="39"/>
    <w:pPr>
      <w:ind w:left="420"/>
      <w:jc w:val="left"/>
    </w:pPr>
    <w:rPr>
      <w:iCs/>
    </w:rPr>
  </w:style>
  <w:style w:type="paragraph" w:styleId="26">
    <w:name w:val="Plain Text"/>
    <w:basedOn w:val="1"/>
    <w:link w:val="75"/>
    <w:autoRedefine/>
    <w:qFormat/>
    <w:uiPriority w:val="0"/>
    <w:rPr>
      <w:rFonts w:ascii="宋体" w:hAnsi="Courier New"/>
      <w:szCs w:val="20"/>
    </w:rPr>
  </w:style>
  <w:style w:type="paragraph" w:styleId="27">
    <w:name w:val="toc 8"/>
    <w:basedOn w:val="1"/>
    <w:next w:val="1"/>
    <w:autoRedefine/>
    <w:qFormat/>
    <w:uiPriority w:val="0"/>
    <w:pPr>
      <w:ind w:left="1470"/>
      <w:jc w:val="left"/>
    </w:pPr>
    <w:rPr>
      <w:szCs w:val="21"/>
    </w:rPr>
  </w:style>
  <w:style w:type="paragraph" w:styleId="28">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autoRedefine/>
    <w:qFormat/>
    <w:uiPriority w:val="0"/>
    <w:pPr>
      <w:spacing w:after="120" w:line="480" w:lineRule="auto"/>
      <w:ind w:left="420" w:leftChars="200"/>
    </w:pPr>
  </w:style>
  <w:style w:type="paragraph" w:styleId="30">
    <w:name w:val="Balloon Text"/>
    <w:basedOn w:val="1"/>
    <w:link w:val="77"/>
    <w:autoRedefine/>
    <w:qFormat/>
    <w:uiPriority w:val="0"/>
    <w:rPr>
      <w:sz w:val="18"/>
      <w:szCs w:val="18"/>
    </w:rPr>
  </w:style>
  <w:style w:type="paragraph" w:styleId="31">
    <w:name w:val="footer"/>
    <w:basedOn w:val="1"/>
    <w:link w:val="78"/>
    <w:autoRedefine/>
    <w:qFormat/>
    <w:uiPriority w:val="99"/>
    <w:pPr>
      <w:tabs>
        <w:tab w:val="center" w:pos="4153"/>
        <w:tab w:val="right" w:pos="8306"/>
      </w:tabs>
      <w:snapToGrid w:val="0"/>
      <w:jc w:val="left"/>
    </w:pPr>
    <w:rPr>
      <w:sz w:val="18"/>
      <w:szCs w:val="18"/>
    </w:rPr>
  </w:style>
  <w:style w:type="paragraph" w:styleId="32">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autoRedefine/>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autoRedefine/>
    <w:qFormat/>
    <w:uiPriority w:val="0"/>
    <w:pPr>
      <w:ind w:left="630"/>
      <w:jc w:val="left"/>
    </w:pPr>
    <w:rPr>
      <w:szCs w:val="21"/>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footnote text"/>
    <w:basedOn w:val="1"/>
    <w:link w:val="481"/>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autoRedefine/>
    <w:qFormat/>
    <w:uiPriority w:val="39"/>
    <w:pPr>
      <w:ind w:left="210"/>
      <w:jc w:val="left"/>
    </w:pPr>
    <w:rPr>
      <w:smallCaps/>
    </w:rPr>
  </w:style>
  <w:style w:type="paragraph" w:styleId="42">
    <w:name w:val="toc 9"/>
    <w:basedOn w:val="1"/>
    <w:next w:val="1"/>
    <w:autoRedefine/>
    <w:qFormat/>
    <w:uiPriority w:val="0"/>
    <w:pPr>
      <w:ind w:left="1680"/>
      <w:jc w:val="left"/>
    </w:pPr>
    <w:rPr>
      <w:szCs w:val="21"/>
    </w:rPr>
  </w:style>
  <w:style w:type="paragraph" w:styleId="43">
    <w:name w:val="Body Text 2"/>
    <w:basedOn w:val="1"/>
    <w:link w:val="306"/>
    <w:autoRedefine/>
    <w:qFormat/>
    <w:uiPriority w:val="0"/>
    <w:rPr>
      <w:sz w:val="28"/>
      <w:szCs w:val="20"/>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autoRedefine/>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autoRedefine/>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autoRedefine/>
    <w:qFormat/>
    <w:uiPriority w:val="0"/>
    <w:rPr>
      <w:b/>
      <w:kern w:val="2"/>
      <w:sz w:val="28"/>
      <w:szCs w:val="24"/>
    </w:rPr>
  </w:style>
  <w:style w:type="character" w:customStyle="1" w:styleId="65">
    <w:name w:val="标题 6 字符"/>
    <w:basedOn w:val="52"/>
    <w:link w:val="8"/>
    <w:autoRedefine/>
    <w:qFormat/>
    <w:uiPriority w:val="9"/>
    <w:rPr>
      <w:rFonts w:ascii="Arial" w:hAnsi="Arial" w:eastAsia="黑体"/>
      <w:b/>
      <w:kern w:val="2"/>
      <w:sz w:val="24"/>
      <w:szCs w:val="24"/>
    </w:rPr>
  </w:style>
  <w:style w:type="character" w:customStyle="1" w:styleId="66">
    <w:name w:val="标题 7 字符"/>
    <w:basedOn w:val="52"/>
    <w:link w:val="9"/>
    <w:autoRedefine/>
    <w:qFormat/>
    <w:uiPriority w:val="9"/>
    <w:rPr>
      <w:b/>
      <w:kern w:val="2"/>
      <w:sz w:val="24"/>
      <w:szCs w:val="24"/>
    </w:rPr>
  </w:style>
  <w:style w:type="character" w:customStyle="1" w:styleId="67">
    <w:name w:val="标题 8 字符"/>
    <w:basedOn w:val="52"/>
    <w:link w:val="10"/>
    <w:autoRedefine/>
    <w:qFormat/>
    <w:uiPriority w:val="9"/>
    <w:rPr>
      <w:rFonts w:ascii="Arial" w:hAnsi="Arial" w:eastAsia="黑体"/>
      <w:kern w:val="2"/>
      <w:sz w:val="24"/>
      <w:szCs w:val="24"/>
    </w:rPr>
  </w:style>
  <w:style w:type="character" w:customStyle="1" w:styleId="68">
    <w:name w:val="标题 9 字符"/>
    <w:basedOn w:val="52"/>
    <w:link w:val="11"/>
    <w:autoRedefine/>
    <w:qFormat/>
    <w:uiPriority w:val="0"/>
    <w:rPr>
      <w:rFonts w:ascii="Arial" w:hAnsi="Arial" w:eastAsia="黑体"/>
      <w:kern w:val="2"/>
      <w:sz w:val="21"/>
      <w:szCs w:val="24"/>
    </w:rPr>
  </w:style>
  <w:style w:type="character" w:customStyle="1" w:styleId="69">
    <w:name w:val="批注文字 字符1"/>
    <w:link w:val="18"/>
    <w:autoRedefine/>
    <w:qFormat/>
    <w:uiPriority w:val="0"/>
    <w:rPr>
      <w:kern w:val="2"/>
      <w:sz w:val="21"/>
      <w:szCs w:val="24"/>
    </w:rPr>
  </w:style>
  <w:style w:type="character" w:customStyle="1" w:styleId="70">
    <w:name w:val="批注主题 字符"/>
    <w:basedOn w:val="69"/>
    <w:link w:val="47"/>
    <w:autoRedefine/>
    <w:qFormat/>
    <w:uiPriority w:val="0"/>
    <w:rPr>
      <w:b/>
      <w:bCs/>
      <w:kern w:val="2"/>
      <w:sz w:val="21"/>
      <w:szCs w:val="24"/>
    </w:rPr>
  </w:style>
  <w:style w:type="character" w:customStyle="1" w:styleId="71">
    <w:name w:val="正文文本 字符1"/>
    <w:basedOn w:val="52"/>
    <w:link w:val="20"/>
    <w:autoRedefine/>
    <w:qFormat/>
    <w:uiPriority w:val="0"/>
    <w:rPr>
      <w:kern w:val="2"/>
      <w:sz w:val="21"/>
      <w:szCs w:val="24"/>
    </w:rPr>
  </w:style>
  <w:style w:type="character" w:customStyle="1" w:styleId="72">
    <w:name w:val="正文首行缩进 字符"/>
    <w:link w:val="48"/>
    <w:autoRedefine/>
    <w:qFormat/>
    <w:uiPriority w:val="0"/>
    <w:rPr>
      <w:rFonts w:eastAsia="宋体"/>
      <w:kern w:val="2"/>
      <w:sz w:val="21"/>
      <w:szCs w:val="24"/>
      <w:lang w:val="en-US" w:eastAsia="zh-CN" w:bidi="ar-SA"/>
    </w:rPr>
  </w:style>
  <w:style w:type="character" w:customStyle="1" w:styleId="73">
    <w:name w:val="文档结构图 字符"/>
    <w:basedOn w:val="52"/>
    <w:link w:val="17"/>
    <w:autoRedefine/>
    <w:qFormat/>
    <w:uiPriority w:val="0"/>
    <w:rPr>
      <w:kern w:val="2"/>
      <w:sz w:val="21"/>
      <w:szCs w:val="24"/>
      <w:shd w:val="clear" w:color="auto" w:fill="000080"/>
    </w:rPr>
  </w:style>
  <w:style w:type="character" w:customStyle="1" w:styleId="74">
    <w:name w:val="正文文本缩进 字符1"/>
    <w:basedOn w:val="52"/>
    <w:link w:val="21"/>
    <w:autoRedefine/>
    <w:qFormat/>
    <w:uiPriority w:val="0"/>
    <w:rPr>
      <w:kern w:val="2"/>
      <w:sz w:val="21"/>
      <w:szCs w:val="24"/>
    </w:rPr>
  </w:style>
  <w:style w:type="character" w:customStyle="1" w:styleId="75">
    <w:name w:val="纯文本 字符"/>
    <w:link w:val="26"/>
    <w:autoRedefine/>
    <w:qFormat/>
    <w:uiPriority w:val="0"/>
    <w:rPr>
      <w:rFonts w:ascii="宋体" w:hAnsi="Courier New" w:eastAsia="宋体"/>
      <w:kern w:val="2"/>
      <w:sz w:val="21"/>
      <w:lang w:val="en-US" w:eastAsia="zh-CN" w:bidi="ar-SA"/>
    </w:rPr>
  </w:style>
  <w:style w:type="character" w:customStyle="1" w:styleId="76">
    <w:name w:val="正文文本缩进 2 字符"/>
    <w:link w:val="29"/>
    <w:autoRedefine/>
    <w:qFormat/>
    <w:uiPriority w:val="0"/>
    <w:rPr>
      <w:kern w:val="2"/>
      <w:sz w:val="21"/>
      <w:szCs w:val="24"/>
    </w:rPr>
  </w:style>
  <w:style w:type="character" w:customStyle="1" w:styleId="77">
    <w:name w:val="批注框文本 字符"/>
    <w:basedOn w:val="52"/>
    <w:link w:val="30"/>
    <w:autoRedefine/>
    <w:qFormat/>
    <w:uiPriority w:val="99"/>
    <w:rPr>
      <w:kern w:val="2"/>
      <w:sz w:val="18"/>
      <w:szCs w:val="18"/>
    </w:rPr>
  </w:style>
  <w:style w:type="character" w:customStyle="1" w:styleId="78">
    <w:name w:val="页脚 字符"/>
    <w:basedOn w:val="52"/>
    <w:link w:val="31"/>
    <w:autoRedefine/>
    <w:qFormat/>
    <w:uiPriority w:val="99"/>
    <w:rPr>
      <w:kern w:val="2"/>
      <w:sz w:val="18"/>
      <w:szCs w:val="18"/>
    </w:rPr>
  </w:style>
  <w:style w:type="character" w:customStyle="1" w:styleId="79">
    <w:name w:val="页眉 字符"/>
    <w:link w:val="32"/>
    <w:autoRedefine/>
    <w:qFormat/>
    <w:uiPriority w:val="99"/>
    <w:rPr>
      <w:kern w:val="2"/>
      <w:sz w:val="18"/>
      <w:szCs w:val="18"/>
    </w:rPr>
  </w:style>
  <w:style w:type="character" w:customStyle="1" w:styleId="80">
    <w:name w:val="HTML 预设格式 字符"/>
    <w:link w:val="44"/>
    <w:autoRedefine/>
    <w:qFormat/>
    <w:uiPriority w:val="0"/>
    <w:rPr>
      <w:rFonts w:ascii="宋体" w:hAnsi="宋体" w:cs="宋体"/>
      <w:sz w:val="24"/>
      <w:szCs w:val="24"/>
    </w:rPr>
  </w:style>
  <w:style w:type="character" w:customStyle="1" w:styleId="81">
    <w:name w:val="标题 字符"/>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字符"/>
    <w:link w:val="33"/>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字符"/>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字符"/>
    <w:link w:val="15"/>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5"/>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字符"/>
    <w:link w:val="43"/>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字符"/>
    <w:link w:val="40"/>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字符"/>
    <w:link w:val="28"/>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6"/>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4"/>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字符"/>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字符"/>
    <w:basedOn w:val="52"/>
    <w:link w:val="19"/>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autoRedefine/>
    <w:qFormat/>
    <w:uiPriority w:val="0"/>
    <w:rPr>
      <w:rFonts w:ascii="宋体" w:hAnsi="Courier New"/>
      <w:szCs w:val="20"/>
    </w:rPr>
  </w:style>
  <w:style w:type="character" w:customStyle="1" w:styleId="481">
    <w:name w:val="脚注文本 字符"/>
    <w:basedOn w:val="52"/>
    <w:link w:val="38"/>
    <w:autoRedefine/>
    <w:semiHidden/>
    <w:qFormat/>
    <w:uiPriority w:val="0"/>
    <w:rPr>
      <w:kern w:val="2"/>
      <w:sz w:val="18"/>
      <w:szCs w:val="18"/>
    </w:rPr>
  </w:style>
  <w:style w:type="paragraph" w:customStyle="1" w:styleId="482">
    <w:name w:val="_Style 56"/>
    <w:basedOn w:val="1"/>
    <w:next w:val="26"/>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29"/>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正文点我（首行缩进2字符）"/>
    <w:basedOn w:val="1"/>
    <w:qFormat/>
    <w:uiPriority w:val="0"/>
    <w:pPr>
      <w:widowControl/>
      <w:spacing w:line="360" w:lineRule="auto"/>
      <w:ind w:firstLine="20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51"/>
    <customShpInfo spid="_x0000_s1052"/>
    <customShpInfo spid="_x0000_s1050"/>
    <customShpInfo spid="_x0000_s1048"/>
    <customShpInfo spid="_x0000_s1047"/>
    <customShpInfo spid="_x0000_s1045"/>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88</Pages>
  <Words>2117</Words>
  <Characters>2204</Characters>
  <Lines>463</Lines>
  <Paragraphs>130</Paragraphs>
  <TotalTime>1</TotalTime>
  <ScaleCrop>false</ScaleCrop>
  <LinksUpToDate>false</LinksUpToDate>
  <CharactersWithSpaces>2341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中正--肖工</cp:lastModifiedBy>
  <cp:lastPrinted>2020-05-26T01:03:00Z</cp:lastPrinted>
  <dcterms:modified xsi:type="dcterms:W3CDTF">2026-03-13T07:40:37Z</dcterms:modified>
  <dc:title>招标编号：UHO2010-G0029</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