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计算机X射线断层扫描仪（CT680)维保</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SZZZ2026-QC0057</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5"/>
            <w:jc w:val="center"/>
            <w:rPr>
              <w:rFonts w:ascii="Times New Roman" w:hAnsi="Times New Roman" w:eastAsia="宋体" w:cs="Times New Roman"/>
              <w:b w:val="0"/>
              <w:bCs w:val="0"/>
              <w:iCs/>
              <w:smallCaps/>
              <w:color w:val="auto"/>
              <w:kern w:val="2"/>
              <w:sz w:val="21"/>
              <w:szCs w:val="24"/>
              <w:lang w:val="zh-CN"/>
            </w:rPr>
          </w:pPr>
        </w:p>
        <w:p w14:paraId="2A541850">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计算机X射线断层扫描仪（CT680)维保</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SZZZ2026-QC0057</w:t>
      </w:r>
    </w:p>
    <w:p w14:paraId="17E6EF6A">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计算机X射线断层扫描仪（CT680)维保</w:t>
      </w:r>
    </w:p>
    <w:p w14:paraId="58454035">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900,000.00</w:t>
      </w:r>
      <w:r>
        <w:rPr>
          <w:rFonts w:hint="eastAsia" w:ascii="宋体" w:hAnsi="宋体" w:eastAsia="宋体"/>
          <w:snapToGrid w:val="0"/>
          <w:color w:val="auto"/>
          <w:sz w:val="21"/>
          <w:szCs w:val="21"/>
        </w:rPr>
        <w:t>元</w:t>
      </w:r>
    </w:p>
    <w:p w14:paraId="36134925">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900,000.00</w:t>
      </w:r>
      <w:r>
        <w:rPr>
          <w:rFonts w:hint="eastAsia" w:ascii="宋体" w:hAnsi="宋体" w:eastAsia="宋体"/>
          <w:snapToGrid w:val="0"/>
          <w:color w:val="auto"/>
          <w:sz w:val="21"/>
          <w:szCs w:val="21"/>
        </w:rPr>
        <w:t>元</w:t>
      </w:r>
    </w:p>
    <w:p w14:paraId="39FF4180">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计算机X射线断层扫描仪（CT680)维保</w:t>
            </w:r>
          </w:p>
        </w:tc>
        <w:tc>
          <w:tcPr>
            <w:tcW w:w="92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lang w:eastAsia="zh-CN"/>
        </w:rPr>
        <w:t>日14点30分</w:t>
      </w:r>
      <w:r>
        <w:rPr>
          <w:rFonts w:hint="eastAsia" w:ascii="宋体" w:hAnsi="宋体" w:eastAsia="宋体"/>
          <w:snapToGrid w:val="0"/>
          <w:color w:val="auto"/>
          <w:sz w:val="21"/>
          <w:szCs w:val="21"/>
          <w:u w:val="single"/>
        </w:rPr>
        <w:t>（北京时间）</w:t>
      </w:r>
    </w:p>
    <w:p w14:paraId="7E1D111B">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041868A">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深圳市儿童医院</w:t>
      </w:r>
    </w:p>
    <w:p w14:paraId="68D52EF7">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地址：深圳市益田路7019号</w:t>
      </w:r>
    </w:p>
    <w:p w14:paraId="15C7CD1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朱老师 0755-83008143</w:t>
      </w:r>
      <w:r>
        <w:rPr>
          <w:rFonts w:hint="eastAsia" w:ascii="宋体" w:hAnsi="宋体" w:eastAsia="宋体"/>
          <w:snapToGrid w:val="0"/>
          <w:color w:val="auto"/>
          <w:sz w:val="21"/>
          <w:szCs w:val="21"/>
        </w:rPr>
        <w:t xml:space="preserve"> </w:t>
      </w:r>
    </w:p>
    <w:p w14:paraId="4960752B">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62D8D2FA">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4A58297">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985BA4E">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肖工</w:t>
      </w:r>
      <w:r>
        <w:rPr>
          <w:rFonts w:hint="eastAsia" w:ascii="宋体" w:hAnsi="宋体" w:eastAsia="宋体"/>
          <w:snapToGrid w:val="0"/>
          <w:color w:val="auto"/>
          <w:sz w:val="21"/>
          <w:szCs w:val="21"/>
        </w:rPr>
        <w:t>，0755-83026699</w:t>
      </w:r>
    </w:p>
    <w:p w14:paraId="02F69A3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9323861">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肖工</w:t>
      </w:r>
      <w:bookmarkStart w:id="116" w:name="_GoBack"/>
      <w:bookmarkEnd w:id="116"/>
    </w:p>
    <w:p w14:paraId="536543B3">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2"/>
        <w:ind w:firstLine="0" w:firstLineChars="0"/>
        <w:rPr>
          <w:b/>
        </w:rPr>
      </w:pPr>
    </w:p>
    <w:p w14:paraId="358BB719">
      <w:pPr>
        <w:pStyle w:val="322"/>
        <w:ind w:firstLine="0" w:firstLineChars="0"/>
        <w:rPr>
          <w:b/>
        </w:rPr>
      </w:pPr>
      <w:r>
        <w:rPr>
          <w:rFonts w:hint="eastAsia"/>
          <w:b/>
        </w:rPr>
        <w:t>一、项目概况</w:t>
      </w:r>
    </w:p>
    <w:p w14:paraId="03BF82EF">
      <w:pPr>
        <w:pStyle w:val="256"/>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计算机X射线断层扫描仪（CT680)维保</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900,000.00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8E9811D">
      <w:pPr>
        <w:pStyle w:val="256"/>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7"/>
        <w:wordWrap/>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计算机X射线断层扫描仪保养项目。用于保障设备高效运行，保障</w:t>
      </w:r>
      <w:r>
        <w:rPr>
          <w:rFonts w:hint="eastAsia" w:cs="Times New Roman"/>
          <w:snapToGrid/>
          <w:spacing w:val="0"/>
          <w:sz w:val="21"/>
          <w:szCs w:val="21"/>
          <w:lang w:val="en-US" w:eastAsia="zh-CN"/>
        </w:rPr>
        <w:t>医院</w:t>
      </w:r>
      <w:r>
        <w:rPr>
          <w:rFonts w:hint="eastAsia" w:cs="Times New Roman"/>
          <w:snapToGrid/>
          <w:spacing w:val="0"/>
          <w:sz w:val="21"/>
          <w:szCs w:val="21"/>
        </w:rPr>
        <w:t>为病人提供优质的就医服务</w:t>
      </w:r>
      <w:r>
        <w:rPr>
          <w:rFonts w:hint="eastAsia" w:cs="Times New Roman"/>
          <w:snapToGrid/>
          <w:spacing w:val="0"/>
          <w:sz w:val="21"/>
          <w:szCs w:val="21"/>
          <w:lang w:eastAsia="zh-CN"/>
        </w:rPr>
        <w:t>。</w:t>
      </w:r>
    </w:p>
    <w:p w14:paraId="682877D6">
      <w:pPr>
        <w:pStyle w:val="507"/>
        <w:wordWrap/>
        <w:spacing w:afterLines="0" w:line="360" w:lineRule="auto"/>
        <w:ind w:firstLine="420"/>
        <w:rPr>
          <w:rFonts w:cs="Times New Roman"/>
          <w:snapToGrid/>
          <w:spacing w:val="0"/>
          <w:sz w:val="21"/>
          <w:szCs w:val="21"/>
        </w:rPr>
      </w:pPr>
    </w:p>
    <w:p w14:paraId="105A0AED">
      <w:pPr>
        <w:pStyle w:val="322"/>
        <w:ind w:firstLine="0" w:firstLineChars="0"/>
        <w:rPr>
          <w:b/>
        </w:rPr>
      </w:pPr>
      <w:r>
        <w:rPr>
          <w:rFonts w:hint="eastAsia"/>
          <w:b/>
        </w:rPr>
        <w:t>二、项目服务要求</w:t>
      </w:r>
    </w:p>
    <w:p w14:paraId="1EFA9278">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1.GE CT680整机保修：包含人工、配件、定期保养、球管、探测器、AW工作站。不包括：第三方设备。</w:t>
      </w:r>
    </w:p>
    <w:p w14:paraId="0DD1BE8B">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 投标人服务过程</w:t>
      </w:r>
      <w:r>
        <w:rPr>
          <w:rFonts w:hint="eastAsia" w:cs="Times New Roman"/>
          <w:snapToGrid/>
          <w:spacing w:val="0"/>
          <w:sz w:val="21"/>
          <w:szCs w:val="21"/>
          <w:lang w:val="en-US" w:eastAsia="zh-CN"/>
        </w:rPr>
        <w:t>中应有</w:t>
      </w:r>
      <w:r>
        <w:rPr>
          <w:rFonts w:hint="eastAsia" w:cs="Times New Roman"/>
          <w:snapToGrid/>
          <w:spacing w:val="0"/>
          <w:sz w:val="21"/>
          <w:szCs w:val="21"/>
        </w:rPr>
        <w:t>安全保障</w:t>
      </w:r>
      <w:r>
        <w:rPr>
          <w:rFonts w:hint="eastAsia" w:cs="Times New Roman"/>
          <w:snapToGrid/>
          <w:spacing w:val="0"/>
          <w:sz w:val="21"/>
          <w:szCs w:val="21"/>
          <w:lang w:val="en-US" w:eastAsia="zh-CN"/>
        </w:rPr>
        <w:t>措施</w:t>
      </w:r>
      <w:r>
        <w:rPr>
          <w:rFonts w:hint="eastAsia" w:cs="Times New Roman"/>
          <w:snapToGrid/>
          <w:spacing w:val="0"/>
          <w:sz w:val="21"/>
          <w:szCs w:val="21"/>
        </w:rPr>
        <w:t>。</w:t>
      </w:r>
    </w:p>
    <w:p w14:paraId="42878FC5">
      <w:pPr>
        <w:pStyle w:val="507"/>
        <w:wordWrap/>
        <w:spacing w:afterLines="0" w:line="360" w:lineRule="auto"/>
        <w:ind w:firstLine="420"/>
        <w:rPr>
          <w:rFonts w:hint="eastAsia" w:cs="Times New Roman"/>
          <w:b/>
          <w:bCs/>
          <w:snapToGrid/>
          <w:spacing w:val="0"/>
          <w:sz w:val="21"/>
          <w:szCs w:val="21"/>
        </w:rPr>
      </w:pPr>
      <w:r>
        <w:rPr>
          <w:rFonts w:hint="eastAsia" w:cs="Times New Roman"/>
          <w:b/>
          <w:bCs/>
          <w:snapToGrid/>
          <w:spacing w:val="0"/>
          <w:sz w:val="21"/>
          <w:szCs w:val="21"/>
        </w:rPr>
        <w:t>3. ▲投标人在国内设有专业、充足的设备零备件仓库，</w:t>
      </w:r>
      <w:r>
        <w:rPr>
          <w:rFonts w:hint="eastAsia"/>
          <w:b/>
          <w:bCs/>
          <w:sz w:val="21"/>
          <w:szCs w:val="21"/>
          <w:lang w:eastAsia="zh-CN"/>
        </w:rPr>
        <w:t>要求</w:t>
      </w:r>
      <w:r>
        <w:rPr>
          <w:rFonts w:hint="eastAsia" w:cs="Times New Roman"/>
          <w:b/>
          <w:bCs/>
          <w:snapToGrid/>
          <w:spacing w:val="0"/>
          <w:sz w:val="21"/>
          <w:szCs w:val="21"/>
        </w:rPr>
        <w:t>提供仓库租赁或产权合同</w:t>
      </w:r>
      <w:r>
        <w:rPr>
          <w:rFonts w:hint="eastAsia" w:cs="Times New Roman"/>
          <w:b/>
          <w:bCs/>
          <w:snapToGrid/>
          <w:spacing w:val="0"/>
          <w:sz w:val="21"/>
          <w:szCs w:val="21"/>
          <w:lang w:val="en-US" w:eastAsia="zh-CN"/>
        </w:rPr>
        <w:t>复印件</w:t>
      </w:r>
      <w:r>
        <w:rPr>
          <w:rFonts w:hint="eastAsia" w:cs="Times New Roman"/>
          <w:b/>
          <w:bCs/>
          <w:snapToGrid/>
          <w:spacing w:val="0"/>
          <w:sz w:val="21"/>
          <w:szCs w:val="21"/>
        </w:rPr>
        <w:t>。</w:t>
      </w:r>
    </w:p>
    <w:p w14:paraId="65A35806">
      <w:pPr>
        <w:pStyle w:val="507"/>
        <w:wordWrap/>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4. 投标人具备400客户服务专线电话，每天开通服务时间不少于12小时。服务专线电话每年24小时 *365天开通，且可视化中央控制、实时管理。</w:t>
      </w:r>
    </w:p>
    <w:p w14:paraId="09200E55">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5. 响应时间要求：投标人应接获报修电话后提供突发性问题的解决措施及特殊紧急的合理化处理措施。</w:t>
      </w:r>
    </w:p>
    <w:p w14:paraId="2DD296D7">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（1）每年响应时间为365天</w:t>
      </w:r>
    </w:p>
    <w:p w14:paraId="02F18648">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（2）响应时间≤1小时</w:t>
      </w:r>
    </w:p>
    <w:p w14:paraId="06B93946">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（3）到达现场时间≤24小时，紧急维修到场时间≤12小时</w:t>
      </w:r>
    </w:p>
    <w:p w14:paraId="705BC829">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6. ▲投标人需针对本项目的CT设备配备由原厂认证同类机型维修资质的工程师提供服务。</w:t>
      </w:r>
    </w:p>
    <w:p w14:paraId="0C1AC6FC">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7. 投标人能够随时按需要取得设备生产者研发和工厂的技术、物力支持。有全职的应用培训专家，支持本项目的维修保障服务，并能以现场的和远程的形式，提供临床扫描、图像处理和相应业务拓展的专业支持。</w:t>
      </w:r>
    </w:p>
    <w:p w14:paraId="7A50685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8. 提供服务期间保证设备开机率≥95%，按照一年365天计算，停机时间超过5%的，</w:t>
      </w:r>
      <w:r>
        <w:rPr>
          <w:rFonts w:hint="eastAsia" w:cs="Times New Roman"/>
          <w:snapToGrid/>
          <w:spacing w:val="0"/>
          <w:sz w:val="21"/>
          <w:szCs w:val="21"/>
          <w:lang w:val="en-US" w:eastAsia="zh-CN"/>
        </w:rPr>
        <w:t>每</w:t>
      </w:r>
      <w:r>
        <w:rPr>
          <w:rFonts w:hint="eastAsia" w:cs="Times New Roman"/>
          <w:snapToGrid/>
          <w:spacing w:val="0"/>
          <w:sz w:val="21"/>
          <w:szCs w:val="21"/>
        </w:rPr>
        <w:t>停机超过一天顺延</w:t>
      </w:r>
      <w:r>
        <w:rPr>
          <w:rFonts w:hint="eastAsia" w:cs="Times New Roman"/>
          <w:snapToGrid/>
          <w:spacing w:val="0"/>
          <w:sz w:val="21"/>
          <w:szCs w:val="21"/>
          <w:lang w:val="en-US" w:eastAsia="zh-CN"/>
        </w:rPr>
        <w:t>保期</w:t>
      </w:r>
      <w:r>
        <w:rPr>
          <w:rFonts w:hint="eastAsia" w:cs="Times New Roman"/>
          <w:snapToGrid/>
          <w:spacing w:val="0"/>
          <w:sz w:val="21"/>
          <w:szCs w:val="21"/>
        </w:rPr>
        <w:t>三天。</w:t>
      </w:r>
    </w:p>
    <w:p w14:paraId="2B1D7FED">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9. ▲有权限访问原厂的全球维修经验数据库《Offline knowledge》，</w:t>
      </w:r>
      <w:r>
        <w:rPr>
          <w:rFonts w:hint="eastAsia"/>
          <w:sz w:val="21"/>
          <w:szCs w:val="21"/>
          <w:lang w:eastAsia="zh-CN"/>
        </w:rPr>
        <w:t>签订合同前</w:t>
      </w:r>
      <w:r>
        <w:rPr>
          <w:rFonts w:hint="eastAsia" w:cs="Times New Roman"/>
          <w:snapToGrid/>
          <w:spacing w:val="0"/>
          <w:sz w:val="21"/>
          <w:szCs w:val="21"/>
        </w:rPr>
        <w:t>能提供有效的访问用户名供核实。</w:t>
      </w:r>
    </w:p>
    <w:p w14:paraId="25C16D75">
      <w:pPr>
        <w:pStyle w:val="507"/>
        <w:wordWrap/>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10. ▲零备件供应：投标人所有更换的零部件应为全新原厂认证/测试合格件, 有追踪号码，如为进口零备件，提供相应的合法进口报关证明（如供货时不按照承诺执行，采购人有权中止合同）。更换零配件保修期：维修或更换配件设备的保修期</w:t>
      </w:r>
      <w:r>
        <w:rPr>
          <w:rFonts w:hint="eastAsia"/>
          <w:lang w:eastAsia="zh-CN"/>
        </w:rPr>
        <w:t>：</w:t>
      </w:r>
      <w:r>
        <w:rPr>
          <w:rFonts w:hint="eastAsia"/>
          <w:sz w:val="21"/>
          <w:szCs w:val="21"/>
          <w:lang w:eastAsia="zh-CN"/>
        </w:rPr>
        <w:t>不少于</w:t>
      </w:r>
      <w:r>
        <w:rPr>
          <w:rFonts w:hint="eastAsia"/>
          <w:sz w:val="21"/>
          <w:szCs w:val="21"/>
          <w:lang w:val="en-US" w:eastAsia="zh-CN"/>
        </w:rPr>
        <w:t>3个月，时间自零备件交付采购人使用之日起开始计算</w:t>
      </w:r>
      <w:r>
        <w:rPr>
          <w:rFonts w:hint="eastAsia" w:cs="Times New Roman"/>
          <w:snapToGrid/>
          <w:spacing w:val="0"/>
          <w:sz w:val="21"/>
          <w:szCs w:val="21"/>
        </w:rPr>
        <w:t>。</w:t>
      </w:r>
      <w:r>
        <w:rPr>
          <w:rFonts w:hint="eastAsia" w:cs="Times New Roman"/>
          <w:snapToGrid/>
          <w:spacing w:val="0"/>
          <w:sz w:val="21"/>
          <w:szCs w:val="21"/>
          <w:lang w:eastAsia="zh-CN"/>
        </w:rPr>
        <w:t>（</w:t>
      </w:r>
      <w:r>
        <w:rPr>
          <w:rFonts w:hint="eastAsia" w:cs="Times New Roman"/>
          <w:snapToGrid/>
          <w:spacing w:val="0"/>
          <w:sz w:val="21"/>
          <w:szCs w:val="21"/>
          <w:lang w:val="en-US" w:eastAsia="zh-CN"/>
        </w:rPr>
        <w:t>费用包含在投标总价内</w:t>
      </w:r>
      <w:r>
        <w:rPr>
          <w:rFonts w:hint="eastAsia" w:cs="Times New Roman"/>
          <w:snapToGrid/>
          <w:spacing w:val="0"/>
          <w:sz w:val="21"/>
          <w:szCs w:val="21"/>
          <w:lang w:eastAsia="zh-CN"/>
        </w:rPr>
        <w:t>）</w:t>
      </w:r>
    </w:p>
    <w:p w14:paraId="0890EA7D">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11. 投标人须具有互联网远程登陆主机进行远程保养的服务能力，并提供设备运行状况和措施报告。</w:t>
      </w:r>
    </w:p>
    <w:p w14:paraId="3A806DBD">
      <w:pPr>
        <w:pStyle w:val="507"/>
        <w:wordWrap/>
        <w:spacing w:afterLines="0" w:line="360" w:lineRule="auto"/>
        <w:ind w:firstLine="420"/>
        <w:rPr>
          <w:rFonts w:hint="eastAsia" w:eastAsia="宋体" w:cs="Times New Roman"/>
          <w:b/>
          <w:bCs/>
          <w:snapToGrid/>
          <w:spacing w:val="0"/>
          <w:sz w:val="21"/>
          <w:szCs w:val="21"/>
          <w:lang w:val="en-US" w:eastAsia="zh-CN"/>
        </w:rPr>
      </w:pPr>
      <w:r>
        <w:rPr>
          <w:rFonts w:hint="eastAsia" w:cs="Times New Roman"/>
          <w:b/>
          <w:bCs/>
          <w:snapToGrid/>
          <w:spacing w:val="0"/>
          <w:sz w:val="21"/>
          <w:szCs w:val="21"/>
        </w:rPr>
        <w:t>12. ▲提供原厂的数字化远程故障筛排系统，提前预知设备整机及主要零部件的问题，确保设备最高开机率。</w:t>
      </w:r>
      <w:r>
        <w:rPr>
          <w:rFonts w:hint="eastAsia" w:cs="Times New Roman"/>
          <w:b/>
          <w:bCs/>
          <w:snapToGrid/>
          <w:spacing w:val="0"/>
          <w:sz w:val="21"/>
          <w:szCs w:val="21"/>
          <w:lang w:val="en-US" w:eastAsia="zh-CN"/>
        </w:rPr>
        <w:t>需提供远程故障筛查系统截图。</w:t>
      </w:r>
    </w:p>
    <w:p w14:paraId="6BFECB9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13. 提供基于宽带接入的、可动态远程监测标的设备温湿度实时曲线的软件及硬件,具备对标的设备的电气环境进行24小时实时监测能力。</w:t>
      </w:r>
    </w:p>
    <w:p w14:paraId="28D466B3">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14. ▲通过远程系统24小时不间断监测设备运行健康状况（温湿度、数据库系统、球管、探测器等核心信息），提供自动预警、主动预防型保障和维修方案。显示CT设备的24小时实时动态的球管异常打火次数，球管使用量等。</w:t>
      </w:r>
    </w:p>
    <w:p w14:paraId="501B5765">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15. ▲投标人须能合法获得、完整使用有效的原厂高级故障诊断维修钥匙，以解决相应故障。</w:t>
      </w:r>
    </w:p>
    <w:p w14:paraId="43F49B2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w:t>
      </w:r>
      <w:r>
        <w:rPr>
          <w:rFonts w:hint="eastAsia" w:cs="Times New Roman"/>
          <w:snapToGrid/>
          <w:spacing w:val="0"/>
          <w:sz w:val="21"/>
          <w:szCs w:val="21"/>
          <w:lang w:val="en-US" w:eastAsia="zh-CN"/>
        </w:rPr>
        <w:t>6</w:t>
      </w:r>
      <w:r>
        <w:rPr>
          <w:rFonts w:hint="eastAsia" w:cs="Times New Roman"/>
          <w:snapToGrid/>
          <w:spacing w:val="0"/>
          <w:sz w:val="21"/>
          <w:szCs w:val="21"/>
        </w:rPr>
        <w:t>. ▲投标人须能及时获取并提供全套完整的原厂系统软硬件改版措施（FA），</w:t>
      </w:r>
      <w:r>
        <w:rPr>
          <w:rFonts w:hint="eastAsia" w:cs="Times New Roman"/>
          <w:snapToGrid/>
          <w:spacing w:val="0"/>
          <w:sz w:val="21"/>
          <w:szCs w:val="21"/>
          <w:lang w:val="en-US" w:eastAsia="zh-CN"/>
        </w:rPr>
        <w:t>保修期</w:t>
      </w:r>
      <w:r>
        <w:rPr>
          <w:rFonts w:hint="eastAsia" w:cs="Times New Roman"/>
          <w:snapToGrid/>
          <w:spacing w:val="0"/>
          <w:sz w:val="21"/>
          <w:szCs w:val="21"/>
        </w:rPr>
        <w:t>内提供设备（含独立工作站）的系统软件技术补丁和技术支持</w:t>
      </w:r>
      <w:r>
        <w:rPr>
          <w:rFonts w:hint="eastAsia" w:cs="Times New Roman"/>
          <w:snapToGrid/>
          <w:spacing w:val="0"/>
          <w:sz w:val="21"/>
          <w:szCs w:val="21"/>
          <w:lang w:eastAsia="zh-CN"/>
        </w:rPr>
        <w:t>（</w:t>
      </w:r>
      <w:r>
        <w:rPr>
          <w:rFonts w:hint="eastAsia" w:cs="Times New Roman"/>
          <w:snapToGrid/>
          <w:spacing w:val="0"/>
          <w:sz w:val="21"/>
          <w:szCs w:val="21"/>
          <w:lang w:val="en-US" w:eastAsia="zh-CN"/>
        </w:rPr>
        <w:t>不额外收费</w:t>
      </w:r>
      <w:r>
        <w:rPr>
          <w:rFonts w:hint="eastAsia" w:cs="Times New Roman"/>
          <w:snapToGrid/>
          <w:spacing w:val="0"/>
          <w:sz w:val="21"/>
          <w:szCs w:val="21"/>
          <w:lang w:eastAsia="zh-CN"/>
        </w:rPr>
        <w:t>）</w:t>
      </w:r>
      <w:r>
        <w:rPr>
          <w:rFonts w:hint="eastAsia" w:cs="Times New Roman"/>
          <w:snapToGrid/>
          <w:spacing w:val="0"/>
          <w:sz w:val="21"/>
          <w:szCs w:val="21"/>
        </w:rPr>
        <w:t>。</w:t>
      </w:r>
    </w:p>
    <w:p w14:paraId="19F007E0">
      <w:pPr>
        <w:pStyle w:val="507"/>
        <w:wordWrap/>
        <w:spacing w:afterLines="0" w:line="360" w:lineRule="auto"/>
        <w:ind w:firstLine="420"/>
        <w:rPr>
          <w:rFonts w:hint="default" w:eastAsia="宋体" w:cs="Times New Roman"/>
          <w:b/>
          <w:bCs/>
          <w:snapToGrid/>
          <w:spacing w:val="0"/>
          <w:sz w:val="21"/>
          <w:szCs w:val="21"/>
          <w:lang w:val="en-US" w:eastAsia="zh-CN"/>
        </w:rPr>
      </w:pPr>
      <w:r>
        <w:rPr>
          <w:rFonts w:hint="eastAsia" w:cs="Times New Roman"/>
          <w:b/>
          <w:bCs/>
          <w:snapToGrid/>
          <w:spacing w:val="0"/>
          <w:sz w:val="21"/>
          <w:szCs w:val="21"/>
        </w:rPr>
        <w:t>1</w:t>
      </w:r>
      <w:r>
        <w:rPr>
          <w:rFonts w:hint="eastAsia" w:cs="Times New Roman"/>
          <w:b/>
          <w:bCs/>
          <w:snapToGrid/>
          <w:spacing w:val="0"/>
          <w:sz w:val="21"/>
          <w:szCs w:val="21"/>
          <w:lang w:val="en-US" w:eastAsia="zh-CN"/>
        </w:rPr>
        <w:t>7</w:t>
      </w:r>
      <w:r>
        <w:rPr>
          <w:rFonts w:hint="eastAsia" w:cs="Times New Roman"/>
          <w:b/>
          <w:bCs/>
          <w:snapToGrid/>
          <w:spacing w:val="0"/>
          <w:sz w:val="21"/>
          <w:szCs w:val="21"/>
        </w:rPr>
        <w:t>. ▲投标人具有GE CT680 的全新进口探测器更换的能力</w:t>
      </w:r>
      <w:r>
        <w:rPr>
          <w:rFonts w:hint="eastAsia" w:cs="Times New Roman"/>
          <w:b/>
          <w:bCs/>
          <w:snapToGrid/>
          <w:spacing w:val="0"/>
          <w:sz w:val="21"/>
          <w:szCs w:val="21"/>
          <w:lang w:val="en-US" w:eastAsia="zh-CN"/>
        </w:rPr>
        <w:t>。</w:t>
      </w:r>
    </w:p>
    <w:p w14:paraId="286AC969">
      <w:pPr>
        <w:pStyle w:val="507"/>
        <w:wordWrap/>
        <w:spacing w:afterLines="0" w:line="360" w:lineRule="auto"/>
        <w:ind w:firstLine="420"/>
        <w:rPr>
          <w:rFonts w:hint="default" w:cs="Times New Roman"/>
          <w:b/>
          <w:bCs/>
          <w:snapToGrid/>
          <w:spacing w:val="0"/>
          <w:sz w:val="21"/>
          <w:szCs w:val="21"/>
          <w:lang w:val="en-US"/>
        </w:rPr>
      </w:pPr>
      <w:r>
        <w:rPr>
          <w:rFonts w:hint="eastAsia" w:cs="Times New Roman"/>
          <w:b/>
          <w:bCs/>
          <w:snapToGrid/>
          <w:spacing w:val="0"/>
          <w:sz w:val="21"/>
          <w:szCs w:val="21"/>
        </w:rPr>
        <w:t>1</w:t>
      </w:r>
      <w:r>
        <w:rPr>
          <w:rFonts w:hint="eastAsia" w:cs="Times New Roman"/>
          <w:b/>
          <w:bCs/>
          <w:snapToGrid/>
          <w:spacing w:val="0"/>
          <w:sz w:val="21"/>
          <w:szCs w:val="21"/>
          <w:lang w:val="en-US" w:eastAsia="zh-CN"/>
        </w:rPr>
        <w:t>8</w:t>
      </w:r>
      <w:r>
        <w:rPr>
          <w:rFonts w:hint="eastAsia" w:cs="Times New Roman"/>
          <w:b/>
          <w:bCs/>
          <w:snapToGrid/>
          <w:spacing w:val="0"/>
          <w:sz w:val="21"/>
          <w:szCs w:val="21"/>
        </w:rPr>
        <w:t>. 有专设的电气环境保障团队和</w:t>
      </w:r>
      <w:r>
        <w:rPr>
          <w:rFonts w:hint="eastAsia" w:cs="Times New Roman"/>
          <w:b/>
          <w:bCs/>
          <w:snapToGrid/>
          <w:spacing w:val="0"/>
          <w:sz w:val="21"/>
          <w:szCs w:val="21"/>
          <w:lang w:val="en-US" w:eastAsia="zh-CN"/>
        </w:rPr>
        <w:t>检测</w:t>
      </w:r>
      <w:r>
        <w:rPr>
          <w:rFonts w:hint="eastAsia" w:cs="Times New Roman"/>
          <w:b/>
          <w:bCs/>
          <w:snapToGrid/>
          <w:spacing w:val="0"/>
          <w:sz w:val="21"/>
          <w:szCs w:val="21"/>
        </w:rPr>
        <w:t>设备，检测包括但不限于电网质量、电磁干扰、环境腐蚀气体与震动等。</w:t>
      </w:r>
      <w:r>
        <w:rPr>
          <w:rFonts w:hint="eastAsia" w:cs="Times New Roman"/>
          <w:b/>
          <w:bCs/>
          <w:snapToGrid/>
          <w:spacing w:val="0"/>
          <w:sz w:val="21"/>
          <w:szCs w:val="21"/>
          <w:lang w:val="en-US" w:eastAsia="zh-CN"/>
        </w:rPr>
        <w:t>需提供电气环境保障团队人员名单、检测设备清单复印件。</w:t>
      </w:r>
    </w:p>
    <w:p w14:paraId="23BD7AFE">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19</w:t>
      </w:r>
      <w:r>
        <w:rPr>
          <w:rFonts w:hint="eastAsia" w:cs="Times New Roman"/>
          <w:snapToGrid/>
          <w:spacing w:val="0"/>
          <w:sz w:val="21"/>
          <w:szCs w:val="21"/>
        </w:rPr>
        <w:t>. 每年提供CT设备保养≥4次，使之保持原厂QC标准或国家质量计监部门之标准，并能提供原厂技术组长或技术支持专家审核合格的PM Report，包含但不限于如下项目：</w:t>
      </w:r>
    </w:p>
    <w:p w14:paraId="37241E7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（1）机器清洁；</w:t>
      </w:r>
    </w:p>
    <w:p w14:paraId="7FB0A96B">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（2）性能测试及校准；</w:t>
      </w:r>
    </w:p>
    <w:p w14:paraId="37605BF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（3）必要的机械或电气环境的检查；</w:t>
      </w:r>
    </w:p>
    <w:p w14:paraId="06B3FFF3">
      <w:pPr>
        <w:pStyle w:val="507"/>
        <w:wordWrap/>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（4）提供计划性的定期维护报告，且经原厂资深专家审核合格</w:t>
      </w:r>
      <w:r>
        <w:rPr>
          <w:rFonts w:hint="eastAsia" w:cs="Times New Roman"/>
          <w:snapToGrid/>
          <w:spacing w:val="0"/>
          <w:sz w:val="21"/>
          <w:szCs w:val="21"/>
          <w:lang w:eastAsia="zh-CN"/>
        </w:rPr>
        <w:t>。</w:t>
      </w:r>
    </w:p>
    <w:p w14:paraId="426EC71F">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w:t>
      </w:r>
      <w:r>
        <w:rPr>
          <w:rFonts w:hint="eastAsia" w:cs="Times New Roman"/>
          <w:snapToGrid/>
          <w:spacing w:val="0"/>
          <w:sz w:val="21"/>
          <w:szCs w:val="21"/>
          <w:lang w:val="en-US" w:eastAsia="zh-CN"/>
        </w:rPr>
        <w:t>0</w:t>
      </w:r>
      <w:r>
        <w:rPr>
          <w:rFonts w:hint="eastAsia" w:cs="Times New Roman"/>
          <w:snapToGrid/>
          <w:spacing w:val="0"/>
          <w:sz w:val="21"/>
          <w:szCs w:val="21"/>
        </w:rPr>
        <w:t>. 投标人具有经合法校正的CT专业维修工具、仪器，并能提供序列号和需校正的工具仪器的校正记录文件。</w:t>
      </w:r>
    </w:p>
    <w:p w14:paraId="2ED9D2CB">
      <w:pPr>
        <w:pStyle w:val="507"/>
        <w:wordWrap/>
        <w:spacing w:afterLines="0" w:line="360" w:lineRule="auto"/>
        <w:ind w:firstLine="420"/>
        <w:rPr>
          <w:rFonts w:hint="eastAsia" w:cs="Times New Roman"/>
          <w:b/>
          <w:bCs/>
          <w:snapToGrid/>
          <w:spacing w:val="0"/>
          <w:sz w:val="21"/>
          <w:szCs w:val="21"/>
        </w:rPr>
      </w:pPr>
      <w:r>
        <w:rPr>
          <w:rFonts w:hint="eastAsia" w:cs="Times New Roman"/>
          <w:b/>
          <w:bCs/>
          <w:snapToGrid/>
          <w:spacing w:val="0"/>
          <w:sz w:val="21"/>
          <w:szCs w:val="21"/>
        </w:rPr>
        <w:t>2</w:t>
      </w:r>
      <w:r>
        <w:rPr>
          <w:rFonts w:hint="eastAsia" w:cs="Times New Roman"/>
          <w:b/>
          <w:bCs/>
          <w:snapToGrid/>
          <w:spacing w:val="0"/>
          <w:sz w:val="21"/>
          <w:szCs w:val="21"/>
          <w:lang w:val="en-US" w:eastAsia="zh-CN"/>
        </w:rPr>
        <w:t>0</w:t>
      </w:r>
      <w:r>
        <w:rPr>
          <w:rFonts w:hint="eastAsia" w:cs="Times New Roman"/>
          <w:b/>
          <w:bCs/>
          <w:snapToGrid/>
          <w:spacing w:val="0"/>
          <w:sz w:val="21"/>
          <w:szCs w:val="21"/>
        </w:rPr>
        <w:t>.1. ▲至少拥有CT高压检测工具≥1套，并提供检测</w:t>
      </w:r>
      <w:r>
        <w:rPr>
          <w:rFonts w:hint="eastAsia" w:cs="Times New Roman"/>
          <w:b/>
          <w:bCs/>
          <w:snapToGrid/>
          <w:spacing w:val="0"/>
          <w:sz w:val="21"/>
          <w:szCs w:val="21"/>
          <w:lang w:val="en-US" w:eastAsia="zh-CN"/>
        </w:rPr>
        <w:t>机构出具</w:t>
      </w:r>
      <w:r>
        <w:rPr>
          <w:rFonts w:hint="eastAsia" w:cs="Times New Roman"/>
          <w:b/>
          <w:bCs/>
          <w:snapToGrid/>
          <w:spacing w:val="0"/>
          <w:sz w:val="21"/>
          <w:szCs w:val="21"/>
        </w:rPr>
        <w:t>的</w:t>
      </w:r>
      <w:r>
        <w:rPr>
          <w:rFonts w:hint="eastAsia" w:cs="Times New Roman"/>
          <w:b/>
          <w:bCs/>
          <w:snapToGrid/>
          <w:spacing w:val="0"/>
          <w:sz w:val="21"/>
          <w:szCs w:val="21"/>
          <w:lang w:val="en-US" w:eastAsia="zh-CN"/>
        </w:rPr>
        <w:t>具有CMA标识的</w:t>
      </w:r>
      <w:r>
        <w:rPr>
          <w:rFonts w:hint="eastAsia" w:cs="Times New Roman"/>
          <w:b/>
          <w:bCs/>
          <w:snapToGrid/>
          <w:spacing w:val="0"/>
          <w:sz w:val="21"/>
          <w:szCs w:val="21"/>
        </w:rPr>
        <w:t>相关校准合格证书以供核实（提供相关证明文件</w:t>
      </w:r>
      <w:r>
        <w:rPr>
          <w:rFonts w:hint="eastAsia" w:cs="Times New Roman"/>
          <w:b/>
          <w:bCs/>
          <w:snapToGrid/>
          <w:spacing w:val="0"/>
          <w:sz w:val="21"/>
          <w:szCs w:val="21"/>
          <w:lang w:val="en-US" w:eastAsia="zh-CN"/>
        </w:rPr>
        <w:t>复印件</w:t>
      </w:r>
      <w:r>
        <w:rPr>
          <w:rFonts w:hint="eastAsia" w:cs="Times New Roman"/>
          <w:b/>
          <w:bCs/>
          <w:snapToGrid/>
          <w:spacing w:val="0"/>
          <w:sz w:val="21"/>
          <w:szCs w:val="21"/>
        </w:rPr>
        <w:t>）。</w:t>
      </w:r>
    </w:p>
    <w:p w14:paraId="75788A1D">
      <w:pPr>
        <w:pStyle w:val="507"/>
        <w:wordWrap/>
        <w:spacing w:afterLines="0" w:line="360" w:lineRule="auto"/>
        <w:ind w:firstLine="420"/>
        <w:rPr>
          <w:rFonts w:hint="eastAsia" w:cs="Times New Roman"/>
          <w:b/>
          <w:bCs/>
          <w:snapToGrid/>
          <w:spacing w:val="0"/>
          <w:sz w:val="21"/>
          <w:szCs w:val="21"/>
        </w:rPr>
      </w:pPr>
      <w:r>
        <w:rPr>
          <w:rFonts w:hint="eastAsia" w:cs="Times New Roman"/>
          <w:b/>
          <w:bCs/>
          <w:snapToGrid/>
          <w:spacing w:val="0"/>
          <w:sz w:val="21"/>
          <w:szCs w:val="21"/>
        </w:rPr>
        <w:t>2</w:t>
      </w:r>
      <w:r>
        <w:rPr>
          <w:rFonts w:hint="eastAsia" w:cs="Times New Roman"/>
          <w:b/>
          <w:bCs/>
          <w:snapToGrid/>
          <w:spacing w:val="0"/>
          <w:sz w:val="21"/>
          <w:szCs w:val="21"/>
          <w:lang w:val="en-US" w:eastAsia="zh-CN"/>
        </w:rPr>
        <w:t>0</w:t>
      </w:r>
      <w:r>
        <w:rPr>
          <w:rFonts w:hint="eastAsia" w:cs="Times New Roman"/>
          <w:b/>
          <w:bCs/>
          <w:snapToGrid/>
          <w:spacing w:val="0"/>
          <w:sz w:val="21"/>
          <w:szCs w:val="21"/>
        </w:rPr>
        <w:t>.2. ▲至少拥有CT的DAS/Dector专用工具集≥1套，并提供检测</w:t>
      </w:r>
      <w:r>
        <w:rPr>
          <w:rFonts w:hint="eastAsia" w:cs="Times New Roman"/>
          <w:b/>
          <w:bCs/>
          <w:snapToGrid/>
          <w:spacing w:val="0"/>
          <w:sz w:val="21"/>
          <w:szCs w:val="21"/>
          <w:lang w:val="en-US" w:eastAsia="zh-CN"/>
        </w:rPr>
        <w:t>机构出具的具有CMA标识的</w:t>
      </w:r>
      <w:r>
        <w:rPr>
          <w:rFonts w:hint="eastAsia" w:cs="Times New Roman"/>
          <w:b/>
          <w:bCs/>
          <w:snapToGrid/>
          <w:spacing w:val="0"/>
          <w:sz w:val="21"/>
          <w:szCs w:val="21"/>
        </w:rPr>
        <w:t>相关专业校准合格证书以供核实（提供相关证明文件</w:t>
      </w:r>
      <w:r>
        <w:rPr>
          <w:rFonts w:hint="eastAsia" w:cs="Times New Roman"/>
          <w:b/>
          <w:bCs/>
          <w:snapToGrid/>
          <w:spacing w:val="0"/>
          <w:sz w:val="21"/>
          <w:szCs w:val="21"/>
          <w:lang w:val="en-US" w:eastAsia="zh-CN"/>
        </w:rPr>
        <w:t>复印件</w:t>
      </w:r>
      <w:r>
        <w:rPr>
          <w:rFonts w:hint="eastAsia" w:cs="Times New Roman"/>
          <w:b/>
          <w:bCs/>
          <w:snapToGrid/>
          <w:spacing w:val="0"/>
          <w:sz w:val="21"/>
          <w:szCs w:val="21"/>
        </w:rPr>
        <w:t>）。</w:t>
      </w:r>
    </w:p>
    <w:p w14:paraId="2C57689B">
      <w:pPr>
        <w:pStyle w:val="507"/>
        <w:wordWrap/>
        <w:spacing w:afterLines="0" w:line="360" w:lineRule="auto"/>
        <w:ind w:firstLine="420"/>
        <w:rPr>
          <w:rFonts w:hint="eastAsia" w:cs="Times New Roman"/>
          <w:b/>
          <w:bCs/>
          <w:snapToGrid/>
          <w:spacing w:val="0"/>
          <w:sz w:val="21"/>
          <w:szCs w:val="21"/>
        </w:rPr>
      </w:pPr>
      <w:r>
        <w:rPr>
          <w:rFonts w:hint="eastAsia" w:cs="Times New Roman"/>
          <w:b/>
          <w:bCs/>
          <w:snapToGrid/>
          <w:spacing w:val="0"/>
          <w:sz w:val="21"/>
          <w:szCs w:val="21"/>
        </w:rPr>
        <w:t>2</w:t>
      </w:r>
      <w:r>
        <w:rPr>
          <w:rFonts w:hint="eastAsia" w:cs="Times New Roman"/>
          <w:b/>
          <w:bCs/>
          <w:snapToGrid/>
          <w:spacing w:val="0"/>
          <w:sz w:val="21"/>
          <w:szCs w:val="21"/>
          <w:lang w:val="en-US" w:eastAsia="zh-CN"/>
        </w:rPr>
        <w:t>0</w:t>
      </w:r>
      <w:r>
        <w:rPr>
          <w:rFonts w:hint="eastAsia" w:cs="Times New Roman"/>
          <w:b/>
          <w:bCs/>
          <w:snapToGrid/>
          <w:spacing w:val="0"/>
          <w:sz w:val="21"/>
          <w:szCs w:val="21"/>
        </w:rPr>
        <w:t>.3. ▲至少拥有力矩扳手</w:t>
      </w:r>
      <w:r>
        <w:rPr>
          <w:rFonts w:hint="eastAsia" w:cs="Times New Roman"/>
          <w:b/>
          <w:bCs/>
          <w:snapToGrid/>
          <w:spacing w:val="0"/>
          <w:sz w:val="21"/>
          <w:szCs w:val="21"/>
          <w:lang w:eastAsia="zh-CN"/>
        </w:rPr>
        <w:t>，</w:t>
      </w:r>
      <w:r>
        <w:rPr>
          <w:rFonts w:hint="eastAsia" w:cs="Times New Roman"/>
          <w:b/>
          <w:bCs/>
          <w:snapToGrid/>
          <w:spacing w:val="0"/>
          <w:sz w:val="21"/>
          <w:szCs w:val="21"/>
        </w:rPr>
        <w:t>千分表&gt;=1套,滑环专用润滑枪≥1套，</w:t>
      </w:r>
      <w:r>
        <w:rPr>
          <w:rFonts w:hint="eastAsia" w:cs="Times New Roman"/>
          <w:b/>
          <w:bCs/>
          <w:snapToGrid/>
          <w:spacing w:val="0"/>
          <w:sz w:val="21"/>
          <w:szCs w:val="21"/>
          <w:lang w:val="en-US" w:eastAsia="zh-CN"/>
        </w:rPr>
        <w:t>并且</w:t>
      </w:r>
      <w:r>
        <w:rPr>
          <w:rFonts w:hint="eastAsia" w:cs="Times New Roman"/>
          <w:b/>
          <w:bCs/>
          <w:snapToGrid/>
          <w:spacing w:val="0"/>
          <w:sz w:val="21"/>
          <w:szCs w:val="21"/>
        </w:rPr>
        <w:t>力矩扳手和千分表应能提供检测</w:t>
      </w:r>
      <w:r>
        <w:rPr>
          <w:rFonts w:hint="eastAsia" w:cs="Times New Roman"/>
          <w:b/>
          <w:bCs/>
          <w:snapToGrid/>
          <w:spacing w:val="0"/>
          <w:sz w:val="21"/>
          <w:szCs w:val="21"/>
          <w:lang w:val="en-US" w:eastAsia="zh-CN"/>
        </w:rPr>
        <w:t>机构出具的具有CMA标识的</w:t>
      </w:r>
      <w:r>
        <w:rPr>
          <w:rFonts w:hint="eastAsia" w:cs="Times New Roman"/>
          <w:b/>
          <w:bCs/>
          <w:snapToGrid/>
          <w:spacing w:val="0"/>
          <w:sz w:val="21"/>
          <w:szCs w:val="21"/>
        </w:rPr>
        <w:t>相关专业校准合格证书以供核实（提供相关证明文件</w:t>
      </w:r>
      <w:r>
        <w:rPr>
          <w:rFonts w:hint="eastAsia" w:cs="Times New Roman"/>
          <w:b/>
          <w:bCs/>
          <w:snapToGrid/>
          <w:spacing w:val="0"/>
          <w:sz w:val="21"/>
          <w:szCs w:val="21"/>
          <w:lang w:val="en-US" w:eastAsia="zh-CN"/>
        </w:rPr>
        <w:t>复印件</w:t>
      </w:r>
      <w:r>
        <w:rPr>
          <w:rFonts w:hint="eastAsia" w:cs="Times New Roman"/>
          <w:b/>
          <w:bCs/>
          <w:snapToGrid/>
          <w:spacing w:val="0"/>
          <w:sz w:val="21"/>
          <w:szCs w:val="21"/>
        </w:rPr>
        <w:t>）。</w:t>
      </w:r>
    </w:p>
    <w:p w14:paraId="3054D5B4">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w:t>
      </w:r>
      <w:r>
        <w:rPr>
          <w:rFonts w:hint="eastAsia" w:cs="Times New Roman"/>
          <w:snapToGrid/>
          <w:spacing w:val="0"/>
          <w:sz w:val="21"/>
          <w:szCs w:val="21"/>
          <w:lang w:val="en-US" w:eastAsia="zh-CN"/>
        </w:rPr>
        <w:t>1</w:t>
      </w:r>
      <w:r>
        <w:rPr>
          <w:rFonts w:hint="eastAsia" w:cs="Times New Roman"/>
          <w:snapToGrid/>
          <w:spacing w:val="0"/>
          <w:sz w:val="21"/>
          <w:szCs w:val="21"/>
        </w:rPr>
        <w:t>. ▲提供每年1次原厂临床应用课堂培训。</w:t>
      </w:r>
    </w:p>
    <w:p w14:paraId="41973A99">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w:t>
      </w:r>
      <w:r>
        <w:rPr>
          <w:rFonts w:hint="eastAsia" w:cs="Times New Roman"/>
          <w:snapToGrid/>
          <w:spacing w:val="0"/>
          <w:sz w:val="21"/>
          <w:szCs w:val="21"/>
          <w:lang w:val="en-US" w:eastAsia="zh-CN"/>
        </w:rPr>
        <w:t>2</w:t>
      </w:r>
      <w:r>
        <w:rPr>
          <w:rFonts w:hint="eastAsia" w:cs="Times New Roman"/>
          <w:snapToGrid/>
          <w:spacing w:val="0"/>
          <w:sz w:val="21"/>
          <w:szCs w:val="21"/>
        </w:rPr>
        <w:t>. ▲投标人提供的临床培训服务工程师为全职临床应用培训讲师；（提供培训讲师资质证明</w:t>
      </w:r>
      <w:r>
        <w:rPr>
          <w:rFonts w:hint="eastAsia" w:cs="Times New Roman"/>
          <w:snapToGrid/>
          <w:spacing w:val="0"/>
          <w:sz w:val="21"/>
          <w:szCs w:val="21"/>
          <w:lang w:val="en-US" w:eastAsia="zh-CN"/>
        </w:rPr>
        <w:t>复印件</w:t>
      </w:r>
      <w:r>
        <w:rPr>
          <w:rFonts w:hint="eastAsia" w:cs="Times New Roman"/>
          <w:snapToGrid/>
          <w:spacing w:val="0"/>
          <w:sz w:val="21"/>
          <w:szCs w:val="21"/>
        </w:rPr>
        <w:t>）</w:t>
      </w:r>
    </w:p>
    <w:p w14:paraId="61AFE21C">
      <w:pPr>
        <w:pStyle w:val="507"/>
        <w:wordWrap/>
        <w:spacing w:afterLines="0" w:line="360" w:lineRule="auto"/>
        <w:ind w:firstLine="420"/>
        <w:rPr>
          <w:rFonts w:hint="eastAsia" w:eastAsia="宋体" w:cs="Times New Roman"/>
          <w:snapToGrid/>
          <w:spacing w:val="0"/>
          <w:sz w:val="21"/>
          <w:szCs w:val="21"/>
          <w:lang w:eastAsia="zh-CN"/>
        </w:rPr>
      </w:pPr>
      <w:r>
        <w:rPr>
          <w:rFonts w:hint="eastAsia" w:cs="Times New Roman"/>
          <w:snapToGrid/>
          <w:spacing w:val="0"/>
          <w:sz w:val="21"/>
          <w:szCs w:val="21"/>
        </w:rPr>
        <w:t>2</w:t>
      </w:r>
      <w:r>
        <w:rPr>
          <w:rFonts w:hint="eastAsia" w:cs="Times New Roman"/>
          <w:snapToGrid/>
          <w:spacing w:val="0"/>
          <w:sz w:val="21"/>
          <w:szCs w:val="21"/>
          <w:lang w:val="en-US" w:eastAsia="zh-CN"/>
        </w:rPr>
        <w:t>3</w:t>
      </w:r>
      <w:r>
        <w:rPr>
          <w:rFonts w:hint="eastAsia" w:cs="Times New Roman"/>
          <w:snapToGrid/>
          <w:spacing w:val="0"/>
          <w:sz w:val="21"/>
          <w:szCs w:val="21"/>
        </w:rPr>
        <w:t>.提供远程电话临床应用支持，针对客户在设备保修期内设备使用过程中的扫描参数，操作流程，图像后处理，临床应用等问题通过400客户电话解决</w:t>
      </w:r>
      <w:r>
        <w:rPr>
          <w:rFonts w:hint="eastAsia" w:cs="Times New Roman"/>
          <w:snapToGrid/>
          <w:spacing w:val="0"/>
          <w:sz w:val="21"/>
          <w:szCs w:val="21"/>
          <w:lang w:eastAsia="zh-CN"/>
        </w:rPr>
        <w:t>。</w:t>
      </w:r>
    </w:p>
    <w:p w14:paraId="338246E8">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w:t>
      </w:r>
      <w:r>
        <w:rPr>
          <w:rFonts w:hint="eastAsia" w:cs="Times New Roman"/>
          <w:snapToGrid/>
          <w:spacing w:val="0"/>
          <w:sz w:val="21"/>
          <w:szCs w:val="21"/>
          <w:lang w:val="en-US" w:eastAsia="zh-CN"/>
        </w:rPr>
        <w:t>4</w:t>
      </w:r>
      <w:r>
        <w:rPr>
          <w:rFonts w:hint="eastAsia" w:cs="Times New Roman"/>
          <w:snapToGrid/>
          <w:spacing w:val="0"/>
          <w:sz w:val="21"/>
          <w:szCs w:val="21"/>
        </w:rPr>
        <w:t>. 球管技术参数要求如下：</w:t>
      </w:r>
    </w:p>
    <w:tbl>
      <w:tblPr>
        <w:tblStyle w:val="50"/>
        <w:tblW w:w="4997" w:type="pct"/>
        <w:jc w:val="center"/>
        <w:tblLayout w:type="autofit"/>
        <w:tblCellMar>
          <w:top w:w="0" w:type="dxa"/>
          <w:left w:w="108" w:type="dxa"/>
          <w:bottom w:w="0" w:type="dxa"/>
          <w:right w:w="108" w:type="dxa"/>
        </w:tblCellMar>
      </w:tblPr>
      <w:tblGrid>
        <w:gridCol w:w="1101"/>
        <w:gridCol w:w="8747"/>
      </w:tblGrid>
      <w:tr w14:paraId="25C0DAAD">
        <w:tblPrEx>
          <w:tblCellMar>
            <w:top w:w="0" w:type="dxa"/>
            <w:left w:w="108" w:type="dxa"/>
            <w:bottom w:w="0" w:type="dxa"/>
            <w:right w:w="108" w:type="dxa"/>
          </w:tblCellMar>
        </w:tblPrEx>
        <w:trPr>
          <w:trHeight w:val="718"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E6F9FD">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rPr>
            </w:pPr>
            <w:r>
              <w:rPr>
                <w:rFonts w:hint="eastAsia" w:cs="Times New Roman"/>
                <w:snapToGrid/>
                <w:spacing w:val="0"/>
                <w:sz w:val="21"/>
                <w:szCs w:val="21"/>
              </w:rPr>
              <w:t>▲1</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11323B">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default" w:eastAsia="宋体" w:cs="Times New Roman"/>
                <w:snapToGrid/>
                <w:spacing w:val="0"/>
                <w:sz w:val="21"/>
                <w:szCs w:val="21"/>
                <w:lang w:val="en-US" w:eastAsia="zh-CN"/>
              </w:rPr>
            </w:pPr>
            <w:r>
              <w:rPr>
                <w:rFonts w:hint="eastAsia" w:cs="Times New Roman"/>
                <w:b/>
                <w:bCs/>
                <w:snapToGrid/>
                <w:spacing w:val="0"/>
                <w:sz w:val="21"/>
                <w:szCs w:val="21"/>
              </w:rPr>
              <w:t>提供的CT680球</w:t>
            </w:r>
            <w:r>
              <w:rPr>
                <w:rFonts w:hint="eastAsia" w:cs="Times New Roman"/>
                <w:b/>
                <w:bCs/>
                <w:snapToGrid/>
                <w:spacing w:val="0"/>
                <w:sz w:val="21"/>
                <w:szCs w:val="21"/>
                <w:lang w:val="en-US" w:eastAsia="zh-CN"/>
              </w:rPr>
              <w:t>应</w:t>
            </w:r>
            <w:r>
              <w:rPr>
                <w:rFonts w:hint="eastAsia" w:cs="Times New Roman"/>
                <w:b/>
                <w:bCs/>
                <w:snapToGrid/>
                <w:spacing w:val="0"/>
                <w:sz w:val="21"/>
                <w:szCs w:val="21"/>
              </w:rPr>
              <w:t>为原厂全新球管</w:t>
            </w: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需提供球管整机注册证及附件（需体现设备型号）复印件；若为进口产品，则还需提供球管相关的海关报关手续复印件。</w:t>
            </w:r>
          </w:p>
        </w:tc>
      </w:tr>
      <w:tr w14:paraId="268FB26C">
        <w:tblPrEx>
          <w:tblCellMar>
            <w:top w:w="0" w:type="dxa"/>
            <w:left w:w="108" w:type="dxa"/>
            <w:bottom w:w="0" w:type="dxa"/>
            <w:right w:w="108" w:type="dxa"/>
          </w:tblCellMar>
        </w:tblPrEx>
        <w:trPr>
          <w:trHeight w:val="448"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91DF22">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rPr>
            </w:pPr>
            <w:r>
              <w:rPr>
                <w:rFonts w:hint="eastAsia" w:cs="Times New Roman"/>
                <w:snapToGrid/>
                <w:spacing w:val="0"/>
                <w:sz w:val="21"/>
                <w:szCs w:val="21"/>
              </w:rPr>
              <w:t>▲2</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2A15B5">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提供球管与CT整机匹配的SFDA认证报告</w:t>
            </w:r>
          </w:p>
        </w:tc>
      </w:tr>
      <w:tr w14:paraId="63C8EC3E">
        <w:tblPrEx>
          <w:tblCellMar>
            <w:top w:w="0" w:type="dxa"/>
            <w:left w:w="108" w:type="dxa"/>
            <w:bottom w:w="0" w:type="dxa"/>
            <w:right w:w="108" w:type="dxa"/>
          </w:tblCellMar>
        </w:tblPrEx>
        <w:trPr>
          <w:trHeight w:val="36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931413">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eastAsia="宋体" w:cs="Times New Roman"/>
                <w:snapToGrid/>
                <w:spacing w:val="0"/>
                <w:sz w:val="21"/>
                <w:szCs w:val="21"/>
                <w:lang w:eastAsia="zh-CN"/>
              </w:rPr>
            </w:pPr>
            <w:r>
              <w:rPr>
                <w:rFonts w:hint="eastAsia" w:cs="Times New Roman"/>
                <w:snapToGrid/>
                <w:spacing w:val="0"/>
                <w:sz w:val="21"/>
                <w:szCs w:val="21"/>
              </w:rPr>
              <w:t>▲</w:t>
            </w:r>
            <w:r>
              <w:rPr>
                <w:rFonts w:hint="eastAsia" w:cs="Times New Roman"/>
                <w:snapToGrid/>
                <w:spacing w:val="0"/>
                <w:sz w:val="21"/>
                <w:szCs w:val="21"/>
                <w:lang w:val="en-US" w:eastAsia="zh-CN"/>
              </w:rPr>
              <w:t>3</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7619D0">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snapToGrid/>
                <w:spacing w:val="0"/>
                <w:sz w:val="21"/>
                <w:szCs w:val="21"/>
              </w:rPr>
              <w:t>阳极热容量：</w:t>
            </w:r>
            <w:r>
              <w:rPr>
                <w:rFonts w:hint="eastAsia" w:cs="Times New Roman"/>
                <w:snapToGrid/>
                <w:spacing w:val="0"/>
                <w:sz w:val="21"/>
                <w:szCs w:val="21"/>
                <w:lang w:val="en-US" w:eastAsia="zh-CN"/>
              </w:rPr>
              <w:t>≥</w:t>
            </w:r>
            <w:r>
              <w:rPr>
                <w:rFonts w:hint="eastAsia" w:cs="Times New Roman"/>
                <w:snapToGrid/>
                <w:spacing w:val="0"/>
                <w:sz w:val="21"/>
                <w:szCs w:val="21"/>
              </w:rPr>
              <w:t>5.0MJ</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0CFF3AB6">
        <w:tblPrEx>
          <w:tblCellMar>
            <w:top w:w="0" w:type="dxa"/>
            <w:left w:w="108" w:type="dxa"/>
            <w:bottom w:w="0" w:type="dxa"/>
            <w:right w:w="108" w:type="dxa"/>
          </w:tblCellMar>
        </w:tblPrEx>
        <w:trPr>
          <w:trHeight w:val="409"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1C02C2">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eastAsia="宋体" w:cs="Times New Roman"/>
                <w:snapToGrid/>
                <w:spacing w:val="0"/>
                <w:sz w:val="21"/>
                <w:szCs w:val="21"/>
                <w:lang w:eastAsia="zh-CN"/>
              </w:rPr>
            </w:pPr>
            <w:r>
              <w:rPr>
                <w:rFonts w:hint="eastAsia" w:cs="Times New Roman"/>
                <w:snapToGrid/>
                <w:spacing w:val="0"/>
                <w:sz w:val="21"/>
                <w:szCs w:val="21"/>
              </w:rPr>
              <w:t>▲</w:t>
            </w:r>
            <w:r>
              <w:rPr>
                <w:rFonts w:hint="eastAsia" w:cs="Times New Roman"/>
                <w:snapToGrid/>
                <w:spacing w:val="0"/>
                <w:sz w:val="21"/>
                <w:szCs w:val="21"/>
                <w:lang w:val="en-US" w:eastAsia="zh-CN"/>
              </w:rPr>
              <w:t>4</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A2861A">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管套热容量要求不小于7.7MJ</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717EED28">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7C127D">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eastAsia="宋体" w:cs="Times New Roman"/>
                <w:snapToGrid/>
                <w:spacing w:val="0"/>
                <w:sz w:val="21"/>
                <w:szCs w:val="21"/>
                <w:lang w:eastAsia="zh-CN"/>
              </w:rPr>
            </w:pPr>
            <w:r>
              <w:rPr>
                <w:rFonts w:hint="eastAsia" w:cs="Times New Roman"/>
                <w:snapToGrid/>
                <w:spacing w:val="0"/>
                <w:sz w:val="21"/>
                <w:szCs w:val="21"/>
              </w:rPr>
              <w:t>▲</w:t>
            </w:r>
            <w:r>
              <w:rPr>
                <w:rFonts w:hint="eastAsia" w:cs="Times New Roman"/>
                <w:snapToGrid/>
                <w:spacing w:val="0"/>
                <w:sz w:val="21"/>
                <w:szCs w:val="21"/>
                <w:lang w:val="en-US" w:eastAsia="zh-CN"/>
              </w:rPr>
              <w:t>5</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DE0BFE">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焦点数量：≥两个</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64C65C1D">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5D083A">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eastAsia="宋体" w:cs="Times New Roman"/>
                <w:snapToGrid/>
                <w:spacing w:val="0"/>
                <w:sz w:val="21"/>
                <w:szCs w:val="21"/>
                <w:lang w:eastAsia="zh-CN"/>
              </w:rPr>
            </w:pPr>
            <w:r>
              <w:rPr>
                <w:rFonts w:hint="eastAsia" w:cs="Times New Roman"/>
                <w:snapToGrid/>
                <w:spacing w:val="0"/>
                <w:sz w:val="21"/>
                <w:szCs w:val="21"/>
              </w:rPr>
              <w:t>▲</w:t>
            </w:r>
            <w:r>
              <w:rPr>
                <w:rFonts w:hint="eastAsia" w:cs="Times New Roman"/>
                <w:snapToGrid/>
                <w:spacing w:val="0"/>
                <w:sz w:val="21"/>
                <w:szCs w:val="21"/>
                <w:lang w:val="en-US" w:eastAsia="zh-CN"/>
              </w:rPr>
              <w:t>6</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1153BD">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焦点尺寸（IEC 336/2005）：小焦点≤0.9mm*0.7mm；大焦点≥1.2mm*1.1mm</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0D10E46C">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C8B84D">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eastAsia="宋体" w:cs="Times New Roman"/>
                <w:snapToGrid/>
                <w:spacing w:val="0"/>
                <w:sz w:val="21"/>
                <w:szCs w:val="21"/>
                <w:lang w:eastAsia="zh-CN"/>
              </w:rPr>
            </w:pPr>
            <w:r>
              <w:rPr>
                <w:rFonts w:hint="eastAsia" w:cs="Times New Roman"/>
                <w:snapToGrid/>
                <w:spacing w:val="0"/>
                <w:sz w:val="21"/>
                <w:szCs w:val="21"/>
              </w:rPr>
              <w:t>▲</w:t>
            </w:r>
            <w:r>
              <w:rPr>
                <w:rFonts w:hint="eastAsia" w:cs="Times New Roman"/>
                <w:snapToGrid/>
                <w:spacing w:val="0"/>
                <w:sz w:val="21"/>
                <w:szCs w:val="21"/>
                <w:lang w:val="en-US" w:eastAsia="zh-CN"/>
              </w:rPr>
              <w:t>7</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532DCD">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焦点功率要求最大≥72KW</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52DB8182">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17B9A2">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eastAsia="宋体" w:cs="Times New Roman"/>
                <w:snapToGrid/>
                <w:spacing w:val="0"/>
                <w:sz w:val="21"/>
                <w:szCs w:val="21"/>
                <w:lang w:eastAsia="zh-CN"/>
              </w:rPr>
            </w:pPr>
            <w:r>
              <w:rPr>
                <w:rFonts w:hint="eastAsia" w:cs="Times New Roman"/>
                <w:snapToGrid/>
                <w:spacing w:val="0"/>
                <w:sz w:val="21"/>
                <w:szCs w:val="21"/>
              </w:rPr>
              <w:t>▲</w:t>
            </w:r>
            <w:r>
              <w:rPr>
                <w:rFonts w:hint="eastAsia" w:cs="Times New Roman"/>
                <w:snapToGrid/>
                <w:spacing w:val="0"/>
                <w:sz w:val="21"/>
                <w:szCs w:val="21"/>
                <w:lang w:val="en-US" w:eastAsia="zh-CN"/>
              </w:rPr>
              <w:t>8</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3950C0">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120KV时最大毫安输出不低于600mA</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76C5F4D8">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043510">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eastAsia="宋体" w:cs="Times New Roman"/>
                <w:snapToGrid/>
                <w:spacing w:val="0"/>
                <w:sz w:val="21"/>
                <w:szCs w:val="21"/>
                <w:lang w:eastAsia="zh-CN"/>
              </w:rPr>
            </w:pPr>
            <w:r>
              <w:rPr>
                <w:rFonts w:hint="eastAsia" w:cs="Times New Roman"/>
                <w:snapToGrid/>
                <w:spacing w:val="0"/>
                <w:sz w:val="21"/>
                <w:szCs w:val="21"/>
              </w:rPr>
              <w:t>▲</w:t>
            </w:r>
            <w:r>
              <w:rPr>
                <w:rFonts w:hint="eastAsia" w:cs="Times New Roman"/>
                <w:snapToGrid/>
                <w:spacing w:val="0"/>
                <w:sz w:val="21"/>
                <w:szCs w:val="21"/>
                <w:lang w:val="en-US" w:eastAsia="zh-CN"/>
              </w:rPr>
              <w:t>9</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7482AD">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管套出线窗口FOV（Field of View）尺寸：40mm</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208B3F01">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4F060B">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default" w:eastAsia="宋体" w:cs="Times New Roman"/>
                <w:snapToGrid/>
                <w:spacing w:val="0"/>
                <w:sz w:val="21"/>
                <w:szCs w:val="21"/>
                <w:lang w:val="en-US" w:eastAsia="zh-CN"/>
              </w:rPr>
            </w:pPr>
            <w:r>
              <w:rPr>
                <w:rFonts w:hint="eastAsia" w:cs="Times New Roman"/>
                <w:snapToGrid/>
                <w:spacing w:val="0"/>
                <w:sz w:val="21"/>
                <w:szCs w:val="21"/>
              </w:rPr>
              <w:t>▲</w:t>
            </w:r>
            <w:r>
              <w:rPr>
                <w:rFonts w:hint="eastAsia" w:cs="Times New Roman"/>
                <w:snapToGrid/>
                <w:spacing w:val="0"/>
                <w:sz w:val="21"/>
                <w:szCs w:val="21"/>
                <w:lang w:val="en-US" w:eastAsia="zh-CN"/>
              </w:rPr>
              <w:t>10</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A7AC57">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支持</w:t>
            </w:r>
            <w:r>
              <w:rPr>
                <w:rFonts w:hint="eastAsia" w:cs="Times New Roman"/>
                <w:snapToGrid/>
                <w:spacing w:val="0"/>
                <w:sz w:val="21"/>
                <w:szCs w:val="21"/>
                <w:lang w:val="en-US" w:eastAsia="zh-CN"/>
              </w:rPr>
              <w:t>≥</w:t>
            </w:r>
            <w:r>
              <w:rPr>
                <w:rFonts w:hint="eastAsia" w:cs="Times New Roman"/>
                <w:snapToGrid/>
                <w:spacing w:val="0"/>
                <w:sz w:val="21"/>
                <w:szCs w:val="21"/>
              </w:rPr>
              <w:t>0.35秒每圈的高速旋转</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4A598107">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FCC216">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default" w:eastAsia="宋体" w:cs="Times New Roman"/>
                <w:snapToGrid/>
                <w:spacing w:val="0"/>
                <w:sz w:val="21"/>
                <w:szCs w:val="21"/>
                <w:lang w:val="en-US" w:eastAsia="zh-CN"/>
              </w:rPr>
            </w:pPr>
            <w:r>
              <w:rPr>
                <w:rFonts w:hint="eastAsia" w:cs="Times New Roman"/>
                <w:snapToGrid/>
                <w:spacing w:val="0"/>
                <w:sz w:val="21"/>
                <w:szCs w:val="21"/>
              </w:rPr>
              <w:t>▲</w:t>
            </w:r>
            <w:r>
              <w:rPr>
                <w:rFonts w:hint="eastAsia" w:cs="Times New Roman"/>
                <w:snapToGrid/>
                <w:spacing w:val="0"/>
                <w:sz w:val="21"/>
                <w:szCs w:val="21"/>
                <w:lang w:val="en-US" w:eastAsia="zh-CN"/>
              </w:rPr>
              <w:t>11</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AE8CBA">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球管拥有ASiR芯片，并提供接口，以支持小宝石CT的ASiR技术</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571CF77F">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B7D1FE">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default" w:eastAsia="宋体" w:cs="Times New Roman"/>
                <w:snapToGrid/>
                <w:spacing w:val="0"/>
                <w:sz w:val="21"/>
                <w:szCs w:val="21"/>
                <w:lang w:val="en-US" w:eastAsia="zh-CN"/>
              </w:rPr>
            </w:pPr>
            <w:r>
              <w:rPr>
                <w:rFonts w:hint="eastAsia" w:cs="Times New Roman"/>
                <w:snapToGrid/>
                <w:spacing w:val="0"/>
                <w:sz w:val="21"/>
                <w:szCs w:val="21"/>
              </w:rPr>
              <w:t>▲</w:t>
            </w:r>
            <w:r>
              <w:rPr>
                <w:rFonts w:hint="eastAsia" w:cs="Times New Roman"/>
                <w:snapToGrid/>
                <w:spacing w:val="0"/>
                <w:sz w:val="21"/>
                <w:szCs w:val="21"/>
                <w:lang w:val="en-US" w:eastAsia="zh-CN"/>
              </w:rPr>
              <w:t>12</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FFDF0E">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球管最大额定电压≥140KV</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r w14:paraId="3D78C57D">
        <w:tblPrEx>
          <w:tblCellMar>
            <w:top w:w="0" w:type="dxa"/>
            <w:left w:w="108" w:type="dxa"/>
            <w:bottom w:w="0" w:type="dxa"/>
            <w:right w:w="108" w:type="dxa"/>
          </w:tblCellMar>
        </w:tblPrEx>
        <w:trPr>
          <w:trHeight w:val="415" w:hRule="atLeast"/>
          <w:jc w:val="center"/>
        </w:trPr>
        <w:tc>
          <w:tcPr>
            <w:tcW w:w="55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4FB40F">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default" w:eastAsia="宋体" w:cs="Times New Roman"/>
                <w:snapToGrid/>
                <w:spacing w:val="0"/>
                <w:sz w:val="21"/>
                <w:szCs w:val="21"/>
                <w:lang w:val="en-US" w:eastAsia="zh-CN"/>
              </w:rPr>
            </w:pPr>
            <w:r>
              <w:rPr>
                <w:rFonts w:hint="eastAsia" w:cs="Times New Roman"/>
                <w:snapToGrid/>
                <w:spacing w:val="0"/>
                <w:sz w:val="21"/>
                <w:szCs w:val="21"/>
              </w:rPr>
              <w:t>▲</w:t>
            </w:r>
            <w:r>
              <w:rPr>
                <w:rFonts w:hint="eastAsia" w:cs="Times New Roman"/>
                <w:snapToGrid/>
                <w:spacing w:val="0"/>
                <w:sz w:val="21"/>
                <w:szCs w:val="21"/>
                <w:lang w:val="en-US" w:eastAsia="zh-CN"/>
              </w:rPr>
              <w:t>13</w:t>
            </w:r>
          </w:p>
        </w:tc>
        <w:tc>
          <w:tcPr>
            <w:tcW w:w="44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BB4CA9">
            <w:pPr>
              <w:pStyle w:val="507"/>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snapToGrid/>
                <w:spacing w:val="0"/>
                <w:sz w:val="21"/>
                <w:szCs w:val="21"/>
              </w:rPr>
              <w:t>阳极靶面角度：</w:t>
            </w:r>
            <w:r>
              <w:rPr>
                <w:rFonts w:hint="eastAsia" w:cs="Times New Roman"/>
                <w:snapToGrid/>
                <w:spacing w:val="0"/>
                <w:sz w:val="21"/>
                <w:szCs w:val="21"/>
                <w:lang w:val="en-US" w:eastAsia="zh-CN"/>
              </w:rPr>
              <w:t>≥</w:t>
            </w:r>
            <w:r>
              <w:rPr>
                <w:rFonts w:hint="eastAsia" w:cs="Times New Roman"/>
                <w:snapToGrid/>
                <w:spacing w:val="0"/>
                <w:sz w:val="21"/>
                <w:szCs w:val="21"/>
              </w:rPr>
              <w:t>7度</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提供技术白皮书复印件</w:t>
            </w:r>
            <w:r>
              <w:rPr>
                <w:rFonts w:hint="eastAsia" w:cs="Times New Roman"/>
                <w:snapToGrid/>
                <w:spacing w:val="0"/>
                <w:sz w:val="21"/>
                <w:szCs w:val="21"/>
                <w:lang w:eastAsia="zh-CN"/>
              </w:rPr>
              <w:t>）</w:t>
            </w:r>
          </w:p>
        </w:tc>
      </w:tr>
    </w:tbl>
    <w:p w14:paraId="5D3D1AEF">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 对GE CT680设备，投标人须提供数字化服务，满足如下要求：</w:t>
      </w:r>
    </w:p>
    <w:p w14:paraId="0C3F2A74">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.1. ▲提供基于专用路由器，宽带接入式的数字化远程服务平台。</w:t>
      </w:r>
    </w:p>
    <w:p w14:paraId="6E4C5FA2">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.2. ▲远程服务平台应具备对CT核心部件主要参数的实时监测能力。</w:t>
      </w:r>
    </w:p>
    <w:p w14:paraId="02FDAC3D">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.3. ▲远程服务平台应具备远程应用交流、故障诊断以及修复能力。</w:t>
      </w:r>
    </w:p>
    <w:p w14:paraId="58C5404E">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.4. 支持客户通过登录提供的链接查询相关设备状态信息。</w:t>
      </w:r>
    </w:p>
    <w:p w14:paraId="2240C742">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.5. 支持设备保养预约提示以及保养纪录查询。</w:t>
      </w:r>
    </w:p>
    <w:p w14:paraId="2A28EE1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.6. 支持合同状态、工程师派工、维修记录等多种信息查询。</w:t>
      </w:r>
    </w:p>
    <w:p w14:paraId="7F41D9C3">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.7. 支持二维码资产管理以及扫码报修。</w:t>
      </w:r>
    </w:p>
    <w:p w14:paraId="1C4C1B02">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eastAsia="zh-CN"/>
        </w:rPr>
        <w:t>25</w:t>
      </w:r>
      <w:r>
        <w:rPr>
          <w:rFonts w:hint="eastAsia" w:cs="Times New Roman"/>
          <w:snapToGrid/>
          <w:spacing w:val="0"/>
          <w:sz w:val="21"/>
          <w:szCs w:val="21"/>
        </w:rPr>
        <w:t>.8. 支持应用服务适配PC机和手持移动终端设备。</w:t>
      </w:r>
    </w:p>
    <w:p w14:paraId="0E09EFB0">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2</w:t>
      </w:r>
      <w:r>
        <w:rPr>
          <w:rFonts w:hint="eastAsia" w:cs="Times New Roman"/>
          <w:snapToGrid/>
          <w:spacing w:val="0"/>
          <w:sz w:val="21"/>
          <w:szCs w:val="21"/>
          <w:lang w:val="en-US" w:eastAsia="zh-CN"/>
        </w:rPr>
        <w:t>6</w:t>
      </w:r>
      <w:r>
        <w:rPr>
          <w:rFonts w:hint="eastAsia" w:cs="Times New Roman"/>
          <w:snapToGrid/>
          <w:spacing w:val="0"/>
          <w:sz w:val="21"/>
          <w:szCs w:val="21"/>
        </w:rPr>
        <w:t>. ▲核心部件球管到货时间小于</w:t>
      </w:r>
      <w:r>
        <w:rPr>
          <w:rFonts w:hint="eastAsia" w:cs="Times New Roman"/>
          <w:snapToGrid/>
          <w:spacing w:val="0"/>
          <w:sz w:val="21"/>
          <w:szCs w:val="21"/>
          <w:lang w:eastAsia="zh-CN"/>
        </w:rPr>
        <w:t>或</w:t>
      </w:r>
      <w:r>
        <w:rPr>
          <w:rFonts w:hint="eastAsia" w:cs="Times New Roman"/>
          <w:snapToGrid/>
          <w:spacing w:val="0"/>
          <w:sz w:val="21"/>
          <w:szCs w:val="21"/>
        </w:rPr>
        <w:t>等于48小时，</w:t>
      </w:r>
      <w:r>
        <w:rPr>
          <w:rFonts w:hint="eastAsia" w:cs="Times New Roman"/>
          <w:b/>
          <w:bCs/>
          <w:snapToGrid/>
          <w:spacing w:val="0"/>
          <w:sz w:val="21"/>
          <w:szCs w:val="21"/>
        </w:rPr>
        <w:t>提供</w:t>
      </w:r>
      <w:r>
        <w:rPr>
          <w:rFonts w:hint="eastAsia" w:cs="Times New Roman"/>
          <w:b/>
          <w:bCs/>
          <w:snapToGrid/>
          <w:spacing w:val="0"/>
          <w:sz w:val="21"/>
          <w:szCs w:val="21"/>
          <w:lang w:eastAsia="zh-CN"/>
        </w:rPr>
        <w:t>满足以上要求</w:t>
      </w:r>
      <w:r>
        <w:rPr>
          <w:rFonts w:hint="eastAsia" w:cs="Times New Roman"/>
          <w:b/>
          <w:bCs/>
          <w:snapToGrid/>
          <w:spacing w:val="0"/>
          <w:sz w:val="21"/>
          <w:szCs w:val="21"/>
        </w:rPr>
        <w:t>承诺函</w:t>
      </w:r>
      <w:r>
        <w:rPr>
          <w:rFonts w:hint="eastAsia" w:cs="Times New Roman"/>
          <w:snapToGrid/>
          <w:spacing w:val="0"/>
          <w:sz w:val="21"/>
          <w:szCs w:val="21"/>
        </w:rPr>
        <w:t>；核心部件球管保障供应，</w:t>
      </w:r>
      <w:r>
        <w:rPr>
          <w:rFonts w:hint="eastAsia" w:cs="Times New Roman"/>
          <w:b/>
          <w:bCs/>
          <w:snapToGrid/>
          <w:spacing w:val="0"/>
          <w:sz w:val="21"/>
          <w:szCs w:val="21"/>
        </w:rPr>
        <w:t>提供</w:t>
      </w:r>
      <w:r>
        <w:rPr>
          <w:rFonts w:hint="eastAsia" w:cs="Times New Roman"/>
          <w:b/>
          <w:bCs/>
          <w:snapToGrid/>
          <w:spacing w:val="0"/>
          <w:sz w:val="21"/>
          <w:szCs w:val="21"/>
          <w:lang w:val="en-US" w:eastAsia="zh-CN"/>
        </w:rPr>
        <w:t>核心部件</w:t>
      </w:r>
      <w:r>
        <w:rPr>
          <w:rFonts w:hint="eastAsia" w:cs="Times New Roman"/>
          <w:b/>
          <w:bCs/>
          <w:snapToGrid/>
          <w:spacing w:val="0"/>
          <w:sz w:val="21"/>
          <w:szCs w:val="21"/>
        </w:rPr>
        <w:t>库存证明</w:t>
      </w:r>
      <w:r>
        <w:rPr>
          <w:rFonts w:hint="eastAsia" w:cs="Times New Roman"/>
          <w:b/>
          <w:bCs/>
          <w:snapToGrid/>
          <w:spacing w:val="0"/>
          <w:sz w:val="21"/>
          <w:szCs w:val="21"/>
          <w:lang w:val="en-US" w:eastAsia="zh-CN"/>
        </w:rPr>
        <w:t>复印件</w:t>
      </w:r>
      <w:r>
        <w:rPr>
          <w:rFonts w:hint="eastAsia" w:cs="Times New Roman"/>
          <w:snapToGrid/>
          <w:spacing w:val="0"/>
          <w:sz w:val="21"/>
          <w:szCs w:val="21"/>
        </w:rPr>
        <w:t>。</w:t>
      </w:r>
    </w:p>
    <w:p w14:paraId="00254149">
      <w:pPr>
        <w:pStyle w:val="507"/>
        <w:wordWrap/>
        <w:spacing w:afterLines="0" w:line="360" w:lineRule="auto"/>
        <w:ind w:firstLine="420"/>
        <w:rPr>
          <w:rFonts w:cs="Times New Roman"/>
          <w:snapToGrid/>
          <w:spacing w:val="0"/>
          <w:sz w:val="21"/>
          <w:szCs w:val="21"/>
        </w:rPr>
      </w:pPr>
    </w:p>
    <w:p w14:paraId="4E96071C">
      <w:pPr>
        <w:pStyle w:val="322"/>
        <w:ind w:firstLine="0" w:firstLineChars="0"/>
        <w:rPr>
          <w:b/>
        </w:rPr>
      </w:pPr>
      <w:r>
        <w:rPr>
          <w:rFonts w:hint="eastAsia"/>
          <w:b/>
        </w:rPr>
        <w:t>三、项目商务要求</w:t>
      </w:r>
    </w:p>
    <w:p w14:paraId="5D1FA240">
      <w:pPr>
        <w:pStyle w:val="256"/>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6"/>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服务期限为自</w:t>
      </w:r>
      <w:r>
        <w:rPr>
          <w:rFonts w:hint="eastAsia" w:asciiTheme="minorEastAsia" w:hAnsiTheme="minorEastAsia" w:eastAsiaTheme="minorEastAsia"/>
          <w:b/>
          <w:highlight w:val="yellow"/>
          <w:lang w:val="en-US" w:eastAsia="zh-CN"/>
        </w:rPr>
        <w:t>合同</w:t>
      </w:r>
      <w:r>
        <w:rPr>
          <w:rFonts w:hint="eastAsia" w:asciiTheme="minorEastAsia" w:hAnsiTheme="minorEastAsia" w:eastAsiaTheme="minorEastAsia"/>
          <w:b/>
          <w:highlight w:val="yellow"/>
        </w:rPr>
        <w:t>约定之日起1年。本项目为长期服务类项目，第一年为本次招标的中标服务期限，采购</w:t>
      </w:r>
      <w:r>
        <w:rPr>
          <w:rFonts w:hint="eastAsia" w:asciiTheme="minorEastAsia" w:hAnsiTheme="minorEastAsia" w:eastAsiaTheme="minorEastAsia"/>
          <w:b/>
          <w:highlight w:val="yellow"/>
          <w:lang w:val="en-US" w:eastAsia="zh-CN"/>
        </w:rPr>
        <w:t>单位</w:t>
      </w:r>
      <w:r>
        <w:rPr>
          <w:rFonts w:hint="eastAsia" w:asciiTheme="minorEastAsia" w:hAnsiTheme="minorEastAsia" w:eastAsiaTheme="minorEastAsia"/>
          <w:b/>
          <w:highlight w:val="yellow"/>
        </w:rPr>
        <w:t>可根据项目需要和</w:t>
      </w:r>
      <w:r>
        <w:rPr>
          <w:rFonts w:hint="eastAsia" w:asciiTheme="minorEastAsia" w:hAnsiTheme="minorEastAsia" w:eastAsiaTheme="minorEastAsia"/>
          <w:b/>
          <w:highlight w:val="yellow"/>
          <w:lang w:val="en-US" w:eastAsia="zh-CN"/>
        </w:rPr>
        <w:t>投</w:t>
      </w:r>
      <w:r>
        <w:rPr>
          <w:rFonts w:hint="eastAsia" w:asciiTheme="minorEastAsia" w:hAnsiTheme="minorEastAsia" w:eastAsiaTheme="minorEastAsia"/>
          <w:b/>
          <w:highlight w:val="yellow"/>
        </w:rPr>
        <w:t>标人的履约情况确定合同期限是否延长，</w:t>
      </w:r>
      <w:r>
        <w:rPr>
          <w:rFonts w:hint="eastAsia" w:asciiTheme="minorEastAsia" w:hAnsiTheme="minorEastAsia" w:eastAsiaTheme="minorEastAsia"/>
          <w:b/>
          <w:highlight w:val="yellow"/>
          <w:lang w:val="en-US" w:eastAsia="zh-CN"/>
        </w:rPr>
        <w:t>合同履行期限</w:t>
      </w:r>
      <w:r>
        <w:rPr>
          <w:rFonts w:hint="eastAsia" w:asciiTheme="minorEastAsia" w:hAnsiTheme="minorEastAsia" w:eastAsiaTheme="minorEastAsia"/>
          <w:b/>
          <w:highlight w:val="yellow"/>
        </w:rPr>
        <w:t>最长不超过三年。如采购人对履约情况不满意，采购人不再续约。若政府采购主管部门发现项目有异常情况，以主管部门意见为准。</w:t>
      </w:r>
    </w:p>
    <w:p w14:paraId="6D71E25F">
      <w:pPr>
        <w:pStyle w:val="256"/>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6"/>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4A9BC37B">
      <w:pPr>
        <w:pStyle w:val="256"/>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05AA5A4F">
      <w:pPr>
        <w:spacing w:line="360" w:lineRule="auto"/>
        <w:ind w:firstLine="420" w:firstLineChars="200"/>
        <w:jc w:val="left"/>
        <w:rPr>
          <w:rFonts w:hint="eastAsia" w:ascii="宋体" w:hAnsi="宋体"/>
          <w:szCs w:val="21"/>
        </w:rPr>
      </w:pPr>
      <w:r>
        <w:rPr>
          <w:rFonts w:hint="eastAsia" w:ascii="宋体" w:hAnsi="宋体"/>
          <w:szCs w:val="21"/>
        </w:rPr>
        <w:t>3.1.本项目服务费采用包干制，应包括服务成本、法定税费和企业的利润。由企业根据招标文件所提供的资料自行测算投标报价。工时：包含在保修合同期内所需的人工费用。保修期间，设备进行维修，保养和更换配件，承担配件、劳务和差旅等费用，不再收取除合同款外的其他费用。</w:t>
      </w:r>
    </w:p>
    <w:p w14:paraId="763EC9E9">
      <w:pPr>
        <w:spacing w:line="360" w:lineRule="auto"/>
        <w:ind w:firstLine="420" w:firstLineChars="200"/>
        <w:jc w:val="left"/>
        <w:rPr>
          <w:rFonts w:hint="eastAsia" w:ascii="宋体" w:hAnsi="宋体"/>
          <w:szCs w:val="21"/>
        </w:rPr>
      </w:pPr>
      <w:r>
        <w:rPr>
          <w:rFonts w:hint="eastAsia" w:ascii="宋体" w:hAnsi="宋体"/>
          <w:szCs w:val="21"/>
        </w:rPr>
        <w:t>3.3投标人的投标报价，应是本项目招标范围和招标文件及合同条款上所列的各项内容中所述的全部，不得以任何理由予以重复，并以投标人在投标文件中提出的综合单价或总价为依据。</w:t>
      </w:r>
    </w:p>
    <w:p w14:paraId="61D4EE0C">
      <w:pPr>
        <w:spacing w:line="360" w:lineRule="auto"/>
        <w:ind w:firstLine="420" w:firstLineChars="200"/>
        <w:jc w:val="left"/>
        <w:rPr>
          <w:rFonts w:hint="eastAsia" w:ascii="宋体" w:hAnsi="宋体"/>
          <w:szCs w:val="21"/>
        </w:rPr>
      </w:pPr>
      <w:r>
        <w:rPr>
          <w:rFonts w:hint="eastAsia" w:ascii="宋体" w:hAnsi="宋体"/>
          <w:szCs w:val="21"/>
        </w:rPr>
        <w:t>3.4投标人应充分了解项目的位置、情况、道路及任何其它足以影响投标报价的情况，任何因忽视或误解项目情况而导致的索赔或服务期限延长申请将不获批准。</w:t>
      </w:r>
    </w:p>
    <w:p w14:paraId="71BCE99B">
      <w:pPr>
        <w:spacing w:line="360" w:lineRule="auto"/>
        <w:ind w:firstLine="420" w:firstLineChars="200"/>
        <w:jc w:val="left"/>
        <w:rPr>
          <w:rFonts w:ascii="宋体" w:hAnsi="宋体"/>
          <w:szCs w:val="21"/>
        </w:rPr>
      </w:pPr>
      <w:r>
        <w:rPr>
          <w:rFonts w:hint="eastAsia" w:ascii="宋体" w:hAnsi="宋体"/>
          <w:szCs w:val="21"/>
        </w:rPr>
        <w:t>3.5投标人不得期望通过索赔等方式获取补偿，否则，除可能遭到拒绝外，还可能将被作为不良行为记录在案，并可能影响其以后参加政府采购的项目投标。各投标人在投标报价时，应充分考虑投标报价的风险。</w:t>
      </w:r>
    </w:p>
    <w:p w14:paraId="78E0F21C">
      <w:pPr>
        <w:pStyle w:val="256"/>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76370C24">
      <w:pPr>
        <w:spacing w:line="360" w:lineRule="auto"/>
        <w:ind w:firstLine="420" w:firstLineChars="200"/>
        <w:jc w:val="left"/>
        <w:rPr>
          <w:rFonts w:ascii="宋体" w:hAnsi="宋体"/>
          <w:szCs w:val="21"/>
        </w:rPr>
      </w:pPr>
      <w:r>
        <w:rPr>
          <w:rFonts w:hint="eastAsia" w:ascii="宋体" w:hAnsi="宋体"/>
          <w:szCs w:val="21"/>
        </w:rPr>
        <w:t>合同签订后6个月，验收合格付50%；合同期满，验收合格付余下50%。每次按合同支付款项前，中标人应向采购人提供与支付金额相符的有效发票，且收款方、出具发票方、合同乙方均必须与中标人名称一致。</w:t>
      </w:r>
    </w:p>
    <w:p w14:paraId="608F08AB">
      <w:pPr>
        <w:pStyle w:val="256"/>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1CCD248A">
      <w:pPr>
        <w:spacing w:line="360" w:lineRule="auto"/>
        <w:ind w:firstLine="426" w:firstLineChars="202"/>
        <w:rPr>
          <w:rFonts w:hint="eastAsia" w:ascii="宋体" w:hAnsi="宋体" w:cs="宋体"/>
          <w:b w:val="0"/>
          <w:bCs w:val="0"/>
          <w:kern w:val="0"/>
          <w:szCs w:val="21"/>
        </w:rPr>
      </w:pPr>
      <w:r>
        <w:rPr>
          <w:rFonts w:hint="eastAsia" w:ascii="宋体" w:hAnsi="宋体" w:cs="宋体"/>
          <w:b/>
          <w:bCs/>
          <w:kern w:val="0"/>
          <w:szCs w:val="21"/>
        </w:rPr>
        <w:t>（</w:t>
      </w:r>
      <w:r>
        <w:rPr>
          <w:rFonts w:hint="eastAsia" w:ascii="宋体" w:hAnsi="宋体" w:cs="宋体"/>
          <w:b w:val="0"/>
          <w:bCs w:val="0"/>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17A87B8D">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（2）当满足以下条作时，采购人向中标人发出验收报告：</w:t>
      </w:r>
    </w:p>
    <w:p w14:paraId="286DD12C">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a、中标人已按照合同约定提供了全部服务以及完整的项目资料；</w:t>
      </w:r>
    </w:p>
    <w:p w14:paraId="77EABC17">
      <w:pPr>
        <w:spacing w:line="360" w:lineRule="auto"/>
        <w:ind w:firstLine="424" w:firstLineChars="202"/>
        <w:rPr>
          <w:rFonts w:ascii="宋体" w:hAnsi="宋体" w:cs="宋体"/>
          <w:b w:val="0"/>
          <w:bCs w:val="0"/>
          <w:kern w:val="0"/>
          <w:szCs w:val="21"/>
        </w:rPr>
      </w:pPr>
      <w:r>
        <w:rPr>
          <w:rFonts w:hint="eastAsia" w:ascii="宋体" w:hAnsi="宋体" w:cs="宋体"/>
          <w:b w:val="0"/>
          <w:bCs w:val="0"/>
          <w:kern w:val="0"/>
          <w:szCs w:val="21"/>
        </w:rPr>
        <w:t>b、符合项目技术服务要求，通过采购人验收。</w:t>
      </w:r>
    </w:p>
    <w:p w14:paraId="05DC4C09">
      <w:pPr>
        <w:pStyle w:val="256"/>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（六）质量考核：</w:t>
      </w:r>
    </w:p>
    <w:p w14:paraId="7B6A4DBC">
      <w:pPr>
        <w:spacing w:line="360" w:lineRule="auto"/>
        <w:ind w:firstLine="420" w:firstLineChars="200"/>
        <w:rPr>
          <w:rFonts w:hint="eastAsia" w:ascii="宋体" w:hAnsi="宋体" w:eastAsia="宋体" w:cs="楷体"/>
          <w:bCs/>
          <w:lang w:eastAsia="zh-CN"/>
        </w:rPr>
      </w:pPr>
      <w:r>
        <w:rPr>
          <w:rFonts w:hint="eastAsia" w:ascii="宋体" w:hAnsi="宋体" w:cs="楷体"/>
          <w:bCs/>
        </w:rPr>
        <w:t>采购人将对中标人总体服务质量进行考核，考核不合格采购人有权提前终止合同，考核结果达到优秀的，可按政府采购相关规定续签</w:t>
      </w:r>
      <w:r>
        <w:rPr>
          <w:rFonts w:hint="eastAsia" w:ascii="宋体" w:hAnsi="宋体" w:cs="楷体"/>
          <w:bCs/>
          <w:lang w:eastAsia="zh-CN"/>
        </w:rPr>
        <w:t>。</w:t>
      </w:r>
    </w:p>
    <w:p w14:paraId="66E1C82A">
      <w:pPr>
        <w:pStyle w:val="256"/>
        <w:spacing w:beforeLines="0" w:line="360" w:lineRule="auto"/>
        <w:ind w:firstLine="0" w:firstLineChars="0"/>
        <w:rPr>
          <w:rFonts w:hint="default" w:cs="Times New Roman" w:asciiTheme="minorEastAsia" w:hAnsiTheme="minorEastAsia" w:eastAsiaTheme="minorEastAsia"/>
          <w:b/>
          <w:lang w:val="en-US" w:eastAsia="zh-CN"/>
        </w:rPr>
      </w:pPr>
      <w:r>
        <w:rPr>
          <w:rFonts w:hint="eastAsia" w:cs="Times New Roman" w:asciiTheme="minorEastAsia" w:hAnsiTheme="minorEastAsia" w:eastAsiaTheme="minorEastAsia"/>
          <w:b/>
        </w:rPr>
        <w:t>（</w:t>
      </w:r>
      <w:r>
        <w:rPr>
          <w:rFonts w:hint="eastAsia" w:cs="Times New Roman" w:asciiTheme="minorEastAsia" w:hAnsiTheme="minorEastAsia" w:eastAsiaTheme="minorEastAsia"/>
          <w:b/>
          <w:lang w:val="en-US" w:eastAsia="zh-CN"/>
        </w:rPr>
        <w:t>七</w:t>
      </w:r>
      <w:r>
        <w:rPr>
          <w:rFonts w:hint="eastAsia" w:cs="Times New Roman" w:asciiTheme="minorEastAsia" w:hAnsiTheme="minorEastAsia" w:eastAsiaTheme="minorEastAsia"/>
          <w:b/>
        </w:rPr>
        <w:t>）</w:t>
      </w:r>
      <w:r>
        <w:rPr>
          <w:rFonts w:hint="eastAsia" w:cs="Times New Roman" w:asciiTheme="minorEastAsia" w:hAnsiTheme="minorEastAsia" w:eastAsiaTheme="minorEastAsia"/>
          <w:b/>
          <w:lang w:val="en-US" w:eastAsia="zh-CN"/>
        </w:rPr>
        <w:t>人员要求</w:t>
      </w:r>
    </w:p>
    <w:p w14:paraId="79C4F87F">
      <w:pPr>
        <w:spacing w:line="360" w:lineRule="auto"/>
        <w:ind w:firstLine="420" w:firstLineChars="200"/>
        <w:rPr>
          <w:rFonts w:hint="default" w:ascii="宋体" w:hAnsi="宋体" w:eastAsia="宋体" w:cs="楷体"/>
          <w:bCs/>
          <w:lang w:val="en-US" w:eastAsia="zh-CN"/>
        </w:rPr>
      </w:pPr>
      <w:r>
        <w:rPr>
          <w:rFonts w:hint="eastAsia" w:ascii="宋体" w:hAnsi="宋体" w:eastAsia="宋体" w:cs="楷体"/>
          <w:bCs/>
          <w:lang w:val="en-US" w:eastAsia="zh-CN"/>
        </w:rPr>
        <w:t>投标人需为本项目安排一名项目负责人及</w:t>
      </w:r>
      <w:r>
        <w:rPr>
          <w:rFonts w:hint="eastAsia" w:ascii="宋体" w:hAnsi="宋体" w:cs="楷体"/>
          <w:bCs/>
          <w:lang w:val="en-US" w:eastAsia="zh-CN"/>
        </w:rPr>
        <w:t>至少一位</w:t>
      </w:r>
      <w:r>
        <w:rPr>
          <w:rFonts w:hint="eastAsia" w:ascii="宋体" w:hAnsi="宋体" w:eastAsia="宋体" w:cs="楷体"/>
          <w:bCs/>
          <w:lang w:val="en-US" w:eastAsia="zh-CN"/>
        </w:rPr>
        <w:t>项目团队成员，均应具有原厂培训资格认证证书及同类维保服务经验。</w:t>
      </w:r>
    </w:p>
    <w:p w14:paraId="2E11C6E0">
      <w:pPr>
        <w:pStyle w:val="256"/>
        <w:spacing w:beforeLines="0" w:line="360" w:lineRule="auto"/>
        <w:ind w:firstLine="0" w:firstLineChars="0"/>
        <w:rPr>
          <w:rFonts w:hint="eastAsia" w:cs="Times New Roman" w:asciiTheme="minorEastAsia" w:hAnsiTheme="minorEastAsia" w:eastAsiaTheme="minorEastAsia"/>
          <w:b/>
        </w:rPr>
      </w:pPr>
      <w:r>
        <w:rPr>
          <w:rFonts w:hint="eastAsia" w:cs="Times New Roman" w:asciiTheme="minorEastAsia" w:hAnsiTheme="minorEastAsia" w:eastAsiaTheme="minorEastAsia"/>
          <w:b/>
        </w:rPr>
        <w:t>（</w:t>
      </w:r>
      <w:r>
        <w:rPr>
          <w:rFonts w:hint="eastAsia" w:cs="Times New Roman" w:asciiTheme="minorEastAsia" w:hAnsiTheme="minorEastAsia" w:eastAsiaTheme="minorEastAsia"/>
          <w:b/>
          <w:lang w:val="en-US" w:eastAsia="zh-CN"/>
        </w:rPr>
        <w:t>八</w:t>
      </w:r>
      <w:r>
        <w:rPr>
          <w:rFonts w:hint="eastAsia" w:cs="Times New Roman" w:asciiTheme="minorEastAsia" w:hAnsiTheme="minorEastAsia" w:eastAsiaTheme="minorEastAsia"/>
          <w:b/>
        </w:rPr>
        <w:t>）违</w:t>
      </w:r>
      <w:r>
        <w:rPr>
          <w:rFonts w:hint="eastAsia" w:cs="Times New Roman" w:asciiTheme="minorEastAsia" w:hAnsiTheme="minorEastAsia" w:eastAsiaTheme="minorEastAsia"/>
          <w:b/>
          <w:lang w:val="en-US" w:eastAsia="zh-CN"/>
        </w:rPr>
        <w:t>约责任</w:t>
      </w:r>
      <w:r>
        <w:rPr>
          <w:rFonts w:hint="eastAsia" w:cs="Times New Roman" w:asciiTheme="minorEastAsia" w:hAnsiTheme="minorEastAsia" w:eastAsiaTheme="minorEastAsia"/>
          <w:b/>
        </w:rPr>
        <w:t>：</w:t>
      </w:r>
    </w:p>
    <w:p w14:paraId="39C50463">
      <w:pPr>
        <w:spacing w:line="360" w:lineRule="auto"/>
        <w:ind w:firstLine="420" w:firstLineChars="200"/>
        <w:rPr>
          <w:rFonts w:hint="eastAsia" w:ascii="宋体" w:hAnsi="宋体" w:eastAsia="宋体" w:cs="楷体"/>
          <w:bCs/>
        </w:rPr>
      </w:pPr>
      <w:r>
        <w:rPr>
          <w:rFonts w:hint="eastAsia" w:ascii="宋体" w:hAnsi="宋体" w:eastAsia="宋体" w:cs="楷体"/>
          <w:bCs/>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244008FD">
      <w:pPr>
        <w:spacing w:line="360" w:lineRule="auto"/>
        <w:ind w:firstLine="420" w:firstLineChars="200"/>
        <w:rPr>
          <w:rFonts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514AD81A">
      <w:pPr>
        <w:spacing w:line="360" w:lineRule="auto"/>
        <w:ind w:firstLine="420" w:firstLineChars="200"/>
        <w:rPr>
          <w:rFonts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2CA4DFAF">
      <w:pPr>
        <w:spacing w:line="360" w:lineRule="auto"/>
        <w:ind w:firstLine="420" w:firstLineChars="200"/>
        <w:rPr>
          <w:rFonts w:ascii="宋体" w:hAnsi="宋体" w:cs="楷体"/>
          <w:bCs/>
        </w:rPr>
      </w:pPr>
      <w:r>
        <w:rPr>
          <w:rFonts w:hint="eastAsia" w:ascii="宋体" w:hAnsi="宋体" w:cs="楷体"/>
          <w:bCs/>
        </w:rPr>
        <w:t>（4）如中标人工作人员违反合同项下关于保密义务</w:t>
      </w:r>
      <w:r>
        <w:rPr>
          <w:rFonts w:hint="eastAsia" w:ascii="宋体" w:hAnsi="宋体" w:cs="楷体"/>
          <w:bCs/>
          <w:lang w:eastAsia="zh-CN"/>
        </w:rPr>
        <w:t>等</w:t>
      </w:r>
      <w:r>
        <w:rPr>
          <w:rFonts w:hint="eastAsia" w:ascii="宋体" w:hAnsi="宋体" w:cs="楷体"/>
          <w:bCs/>
        </w:rPr>
        <w:t>规定，给采购人造成损失的，中标人应当承担全部赔偿责任，涉及违法犯罪的人员，采购人可移送有关机关处理。</w:t>
      </w:r>
    </w:p>
    <w:p w14:paraId="1BC3C78B">
      <w:pPr>
        <w:spacing w:line="360" w:lineRule="auto"/>
        <w:ind w:firstLine="420" w:firstLineChars="200"/>
        <w:rPr>
          <w:rFonts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1B06AE9D">
      <w:pPr>
        <w:ind w:firstLine="420" w:firstLineChars="200"/>
      </w:pPr>
      <w:bookmarkStart w:id="8" w:name="_Toc135293161"/>
    </w:p>
    <w:p w14:paraId="3301BB2A">
      <w:pPr>
        <w:rPr>
          <w:rFonts w:hint="eastAsia"/>
        </w:rPr>
      </w:pPr>
      <w:r>
        <w:rPr>
          <w:rFonts w:hint="eastAsia"/>
        </w:rPr>
        <w:br w:type="page"/>
      </w:r>
    </w:p>
    <w:p w14:paraId="73B39F47">
      <w:pPr>
        <w:pStyle w:val="2"/>
        <w:rPr>
          <w:rFonts w:hint="eastAsia"/>
        </w:rPr>
      </w:pPr>
    </w:p>
    <w:p w14:paraId="260C741C">
      <w:pPr>
        <w:pStyle w:val="2"/>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2"/>
        <w:spacing w:after="0"/>
        <w:rPr>
          <w:rFonts w:hint="eastAsia"/>
        </w:rPr>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44690702"/>
      <w:bookmarkStart w:id="11" w:name="_Toc44691393"/>
      <w:bookmarkStart w:id="12" w:name="_Toc135293163"/>
      <w:bookmarkStart w:id="13" w:name="_Toc44691161"/>
      <w:bookmarkStart w:id="14" w:name="_Toc44690429"/>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1E2F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35C86A6C">
            <w:pPr>
              <w:autoSpaceDE w:val="0"/>
              <w:autoSpaceDN w:val="0"/>
              <w:adjustRightInd w:val="0"/>
              <w:spacing w:line="360" w:lineRule="exact"/>
              <w:jc w:val="center"/>
              <w:rPr>
                <w:rFonts w:hint="eastAsia" w:cs="仿宋" w:asciiTheme="minorEastAsia" w:hAnsiTheme="minorEastAsia" w:eastAsiaTheme="minorEastAsia"/>
                <w:b/>
                <w:szCs w:val="21"/>
                <w:lang w:val="zh-CN"/>
              </w:rPr>
            </w:pPr>
            <w:bookmarkStart w:id="16" w:name="_Toc135293165"/>
            <w:bookmarkStart w:id="17" w:name="_Toc44690430"/>
            <w:bookmarkStart w:id="18" w:name="_Toc44691162"/>
            <w:bookmarkStart w:id="19" w:name="_Toc44691394"/>
            <w:bookmarkStart w:id="20" w:name="_Toc44690703"/>
            <w:r>
              <w:rPr>
                <w:rFonts w:hint="eastAsia" w:cs="仿宋" w:asciiTheme="minorEastAsia" w:hAnsiTheme="minorEastAsia" w:eastAsiaTheme="minorEastAsia"/>
                <w:b/>
                <w:szCs w:val="21"/>
                <w:lang w:val="zh-CN"/>
              </w:rPr>
              <w:t>评分项及评分规则</w:t>
            </w:r>
          </w:p>
        </w:tc>
        <w:tc>
          <w:tcPr>
            <w:tcW w:w="1187" w:type="dxa"/>
            <w:vAlign w:val="center"/>
          </w:tcPr>
          <w:p w14:paraId="4881F1E7">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2BA61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57D9C5D4">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67E70F48">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24D05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5FEEA2DC">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3F2120A5">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3D83D4BF">
            <w:pPr>
              <w:adjustRightInd w:val="0"/>
              <w:snapToGrid w:val="0"/>
              <w:spacing w:line="360" w:lineRule="exact"/>
              <w:rPr>
                <w:rFonts w:hint="eastAsia" w:cs="Times New Roman" w:asciiTheme="minorEastAsia" w:hAnsiTheme="minorEastAsia" w:eastAsiaTheme="minorEastAsia"/>
                <w:snapToGrid w:val="0"/>
                <w:kern w:val="0"/>
                <w:szCs w:val="21"/>
              </w:rPr>
            </w:pPr>
            <w:r>
              <w:rPr>
                <w:rFonts w:hint="eastAsia" w:cs="Times New Roman" w:asciiTheme="minorEastAsia" w:hAnsiTheme="minorEastAsia" w:eastAsiaTheme="minorEastAsia"/>
                <w:snapToGrid w:val="0"/>
                <w:kern w:val="0"/>
                <w:szCs w:val="21"/>
              </w:rPr>
              <w:t>备注：</w:t>
            </w:r>
          </w:p>
          <w:p w14:paraId="6892CB3B">
            <w:pPr>
              <w:adjustRightInd w:val="0"/>
              <w:snapToGrid w:val="0"/>
              <w:spacing w:line="360" w:lineRule="exact"/>
              <w:rPr>
                <w:rFonts w:hint="eastAsia" w:cs="Times New Roman" w:asciiTheme="minorEastAsia" w:hAnsiTheme="minorEastAsia" w:eastAsiaTheme="minorEastAsia"/>
                <w:bCs/>
                <w:snapToGrid w:val="0"/>
                <w:kern w:val="0"/>
                <w:szCs w:val="21"/>
              </w:rPr>
            </w:pPr>
            <w:r>
              <w:rPr>
                <w:rFonts w:hint="eastAsia" w:cs="Times New Roman" w:asciiTheme="minorEastAsia" w:hAnsiTheme="minorEastAsia" w:eastAsiaTheme="minorEastAsia"/>
                <w:snapToGrid w:val="0"/>
                <w:kern w:val="0"/>
                <w:szCs w:val="21"/>
              </w:rPr>
              <w:t>1、因落实政府采购政策进行价格调整的，以调整后的价格计算评标基准价和投标报价</w:t>
            </w:r>
            <w:r>
              <w:rPr>
                <w:rFonts w:hint="eastAsia" w:cs="Times New Roman" w:asciiTheme="minorEastAsia" w:hAnsiTheme="minorEastAsia" w:eastAsiaTheme="minorEastAsia"/>
                <w:bCs/>
                <w:snapToGrid w:val="0"/>
                <w:kern w:val="0"/>
                <w:szCs w:val="21"/>
              </w:rPr>
              <w:t>；</w:t>
            </w:r>
          </w:p>
          <w:p w14:paraId="500363F8">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cs="Times New Roman"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BA63FB1">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7FE9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3082EDC">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726E4E03">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70</w:t>
            </w:r>
          </w:p>
        </w:tc>
      </w:tr>
      <w:tr w14:paraId="0FC93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D71A83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2C8CB8D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BC88051">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66070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28D0A1D3">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1BEBB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D12FCB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5CD5A332">
            <w:pPr>
              <w:widowControl/>
              <w:spacing w:line="360" w:lineRule="exact"/>
              <w:jc w:val="center"/>
              <w:rPr>
                <w:rFonts w:hint="eastAsia" w:cs="Times New Roman"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42CD99E8">
            <w:pPr>
              <w:widowControl/>
              <w:spacing w:line="360" w:lineRule="exact"/>
              <w:jc w:val="center"/>
              <w:rPr>
                <w:rFonts w:hint="eastAsia" w:cs="Times New Roman"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7ABC50B7">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1A9B8B3A">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考察投标人提供的项目服务方案，包含以下内容：</w:t>
            </w:r>
          </w:p>
          <w:p w14:paraId="372C3ED2">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cs="Times New Roman" w:asciiTheme="minorEastAsia" w:hAnsiTheme="minorEastAsia" w:eastAsiaTheme="minorEastAsia"/>
                <w:kern w:val="0"/>
                <w:szCs w:val="21"/>
              </w:rPr>
              <w:t>；</w:t>
            </w:r>
          </w:p>
          <w:p w14:paraId="73175F3A">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2、项目实施计划；</w:t>
            </w:r>
          </w:p>
          <w:p w14:paraId="3FCE4DF4">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cs="Times New Roman" w:asciiTheme="minorEastAsia" w:hAnsiTheme="minorEastAsia" w:eastAsiaTheme="minorEastAsia"/>
                <w:kern w:val="0"/>
                <w:szCs w:val="21"/>
              </w:rPr>
              <w:t>。</w:t>
            </w:r>
          </w:p>
          <w:p w14:paraId="65DCABDA">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（二）评分标准：</w:t>
            </w:r>
          </w:p>
          <w:p w14:paraId="4021FBC7">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方案包含以上三项内容得3分；包含以上二项内容得2分；包含以上一项内容得1分；其他情况不得分。</w:t>
            </w:r>
          </w:p>
          <w:p w14:paraId="64BC05D3">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在此基础上，根据方案响应情况进一步评审：</w:t>
            </w:r>
          </w:p>
          <w:p w14:paraId="5823C745">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1.需求理解全面、具体，实施计划可行性高，服务承诺科学合理的，加7分；</w:t>
            </w:r>
          </w:p>
          <w:p w14:paraId="0BA483D3">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2.需求理解比较全面，实施计划可行性较高，服务承诺较合理的，加4分；</w:t>
            </w:r>
          </w:p>
          <w:p w14:paraId="66A93A3C">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3.需求理解不够全面，实施计划可行性一般，服务承诺不够合理的，加1分；</w:t>
            </w:r>
          </w:p>
          <w:p w14:paraId="3A9BDA34">
            <w:pPr>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4.需求理解不全面，实施计划可行性低，服务承诺不合理的，不加分。</w:t>
            </w:r>
          </w:p>
        </w:tc>
        <w:tc>
          <w:tcPr>
            <w:tcW w:w="1187" w:type="dxa"/>
            <w:vAlign w:val="center"/>
          </w:tcPr>
          <w:p w14:paraId="01F007C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68A6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74C7B955">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1A55B3A9">
            <w:pPr>
              <w:widowControl/>
              <w:spacing w:line="360" w:lineRule="exact"/>
              <w:jc w:val="center"/>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项目重点难点分析、应对措施及相关的合理化建议</w:t>
            </w:r>
          </w:p>
        </w:tc>
        <w:tc>
          <w:tcPr>
            <w:tcW w:w="709" w:type="dxa"/>
            <w:vAlign w:val="center"/>
          </w:tcPr>
          <w:p w14:paraId="25B43A62">
            <w:pPr>
              <w:widowControl/>
              <w:spacing w:line="360" w:lineRule="exact"/>
              <w:jc w:val="center"/>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10</w:t>
            </w:r>
          </w:p>
        </w:tc>
        <w:tc>
          <w:tcPr>
            <w:tcW w:w="5953" w:type="dxa"/>
            <w:vAlign w:val="center"/>
          </w:tcPr>
          <w:p w14:paraId="33705704">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356C2968">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考察投标人提供的</w:t>
            </w:r>
            <w:r>
              <w:rPr>
                <w:rFonts w:hint="eastAsia" w:cs="Times New Roman" w:asciiTheme="minorEastAsia" w:hAnsiTheme="minorEastAsia" w:eastAsiaTheme="minorEastAsia"/>
                <w:szCs w:val="21"/>
              </w:rPr>
              <w:t>项目重点难点分析、应对措施及相关的合理化建议</w:t>
            </w:r>
            <w:r>
              <w:rPr>
                <w:rFonts w:hint="eastAsia" w:cs="Times New Roman" w:asciiTheme="minorEastAsia" w:hAnsiTheme="minorEastAsia" w:eastAsiaTheme="minorEastAsia"/>
                <w:kern w:val="0"/>
                <w:szCs w:val="21"/>
              </w:rPr>
              <w:t>，包含以下内容：</w:t>
            </w:r>
          </w:p>
          <w:p w14:paraId="7CD1E7D2">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1、项目重点难点分析；</w:t>
            </w:r>
          </w:p>
          <w:p w14:paraId="54437BA1">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2、针对项目重点难点逐项提出应对措施；</w:t>
            </w:r>
          </w:p>
          <w:p w14:paraId="50C6F429">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3、相关的合理化建议。</w:t>
            </w:r>
          </w:p>
          <w:p w14:paraId="37D7ECD9">
            <w:pPr>
              <w:widowControl/>
              <w:snapToGri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（二）评分标准：</w:t>
            </w:r>
          </w:p>
          <w:p w14:paraId="1AFD09D9">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方案包含以上三项内容得3分；包含以上二项内容得2分；包含以上一项内容得1分；其他情况不得分。</w:t>
            </w:r>
          </w:p>
          <w:p w14:paraId="4D528499">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在此基础上，根据方案响应情况进一步评审：</w:t>
            </w:r>
          </w:p>
          <w:p w14:paraId="46640306">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w:t>
            </w:r>
            <w:r>
              <w:rPr>
                <w:rFonts w:hint="eastAsia" w:cs="Times New Roman" w:asciiTheme="minorEastAsia" w:hAnsiTheme="minorEastAsia" w:eastAsiaTheme="minorEastAsia"/>
                <w:kern w:val="0"/>
                <w:szCs w:val="21"/>
              </w:rPr>
              <w:t>重点难点分析全面，应对措施可行性高，相关建议科学合理的</w:t>
            </w:r>
            <w:r>
              <w:rPr>
                <w:rFonts w:hint="eastAsia" w:cs="Times New Roman" w:asciiTheme="minorEastAsia" w:hAnsiTheme="minorEastAsia" w:eastAsiaTheme="minorEastAsia"/>
                <w:szCs w:val="21"/>
              </w:rPr>
              <w:t>，加7分；</w:t>
            </w:r>
          </w:p>
          <w:p w14:paraId="7AB31840">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w:t>
            </w:r>
            <w:r>
              <w:rPr>
                <w:rFonts w:hint="eastAsia" w:cs="Times New Roman" w:asciiTheme="minorEastAsia" w:hAnsiTheme="minorEastAsia" w:eastAsiaTheme="minorEastAsia"/>
                <w:kern w:val="0"/>
                <w:szCs w:val="21"/>
              </w:rPr>
              <w:t>重点难点分析比较全面，应对措施可行性较高，相关建议比较合理的</w:t>
            </w:r>
            <w:r>
              <w:rPr>
                <w:rFonts w:hint="eastAsia" w:cs="Times New Roman" w:asciiTheme="minorEastAsia" w:hAnsiTheme="minorEastAsia" w:eastAsiaTheme="minorEastAsia"/>
                <w:szCs w:val="21"/>
              </w:rPr>
              <w:t>，加4分；</w:t>
            </w:r>
          </w:p>
          <w:p w14:paraId="7A9C5725">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w:t>
            </w:r>
            <w:r>
              <w:rPr>
                <w:rFonts w:hint="eastAsia" w:cs="Times New Roman" w:asciiTheme="minorEastAsia" w:hAnsiTheme="minorEastAsia" w:eastAsiaTheme="minorEastAsia"/>
                <w:kern w:val="0"/>
                <w:szCs w:val="21"/>
              </w:rPr>
              <w:t>重点难点分析不够全面，应对措施可行性一般，相关建议不够合理的</w:t>
            </w:r>
            <w:r>
              <w:rPr>
                <w:rFonts w:hint="eastAsia" w:cs="Times New Roman" w:asciiTheme="minorEastAsia" w:hAnsiTheme="minorEastAsia" w:eastAsiaTheme="minorEastAsia"/>
                <w:szCs w:val="21"/>
              </w:rPr>
              <w:t>，加1分；</w:t>
            </w:r>
          </w:p>
          <w:p w14:paraId="4F73FA8F">
            <w:pPr>
              <w:autoSpaceDE w:val="0"/>
              <w:autoSpaceDN w:val="0"/>
              <w:adjustRightInd w:val="0"/>
              <w:spacing w:line="360" w:lineRule="exac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4.</w:t>
            </w:r>
            <w:r>
              <w:rPr>
                <w:rFonts w:hint="eastAsia" w:cs="Times New Roman" w:asciiTheme="minorEastAsia" w:hAnsiTheme="minorEastAsia" w:eastAsiaTheme="minorEastAsia"/>
                <w:kern w:val="0"/>
                <w:szCs w:val="21"/>
              </w:rPr>
              <w:t>重点难点分析不全面，应对措施可行性低，相关建议不合理的</w:t>
            </w:r>
            <w:r>
              <w:rPr>
                <w:rFonts w:hint="eastAsia" w:cs="Times New Roman" w:asciiTheme="minorEastAsia" w:hAnsiTheme="minorEastAsia" w:eastAsiaTheme="minorEastAsia"/>
                <w:szCs w:val="21"/>
              </w:rPr>
              <w:t>，不加分。</w:t>
            </w:r>
          </w:p>
        </w:tc>
        <w:tc>
          <w:tcPr>
            <w:tcW w:w="1187" w:type="dxa"/>
            <w:vAlign w:val="center"/>
          </w:tcPr>
          <w:p w14:paraId="039F6A39">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96FA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7888EB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0795A2C5">
            <w:pPr>
              <w:widowControl/>
              <w:spacing w:line="360" w:lineRule="exact"/>
              <w:jc w:val="center"/>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质量保障措施及方案</w:t>
            </w:r>
          </w:p>
        </w:tc>
        <w:tc>
          <w:tcPr>
            <w:tcW w:w="709" w:type="dxa"/>
            <w:vAlign w:val="center"/>
          </w:tcPr>
          <w:p w14:paraId="2DAACD44">
            <w:pPr>
              <w:widowControl/>
              <w:spacing w:line="360" w:lineRule="exact"/>
              <w:jc w:val="center"/>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10</w:t>
            </w:r>
          </w:p>
        </w:tc>
        <w:tc>
          <w:tcPr>
            <w:tcW w:w="5953" w:type="dxa"/>
            <w:vAlign w:val="center"/>
          </w:tcPr>
          <w:p w14:paraId="737AFC91">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4E79B7EA">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考察投标人提供的</w:t>
            </w:r>
            <w:r>
              <w:rPr>
                <w:rFonts w:hint="eastAsia" w:cs="Times New Roman" w:asciiTheme="minorEastAsia" w:hAnsiTheme="minorEastAsia" w:eastAsiaTheme="minorEastAsia"/>
                <w:szCs w:val="21"/>
              </w:rPr>
              <w:t>质量保障措施及方案</w:t>
            </w:r>
            <w:r>
              <w:rPr>
                <w:rFonts w:hint="eastAsia" w:cs="Times New Roman" w:asciiTheme="minorEastAsia" w:hAnsiTheme="minorEastAsia" w:eastAsiaTheme="minorEastAsia"/>
                <w:kern w:val="0"/>
                <w:szCs w:val="21"/>
              </w:rPr>
              <w:t>，包含以下内容：</w:t>
            </w:r>
          </w:p>
          <w:p w14:paraId="32F07ED6">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1、项目质量管理制度；</w:t>
            </w:r>
          </w:p>
          <w:p w14:paraId="6914F882">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2、服务质量检查、整改方案；</w:t>
            </w:r>
          </w:p>
          <w:p w14:paraId="06C08C16">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3、项目成果保障措施。</w:t>
            </w:r>
          </w:p>
          <w:p w14:paraId="30022E1A">
            <w:pPr>
              <w:widowControl/>
              <w:snapToGri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（二）评分标准：</w:t>
            </w:r>
          </w:p>
          <w:p w14:paraId="3544EF0F">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方案包含以上三项内容得3分；包含以上二项内容得2分；包含以上一项内容得1分；其他情况不得分。</w:t>
            </w:r>
          </w:p>
          <w:p w14:paraId="72908ED4">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在此基础上，根据方案响应情况进一步评审：</w:t>
            </w:r>
          </w:p>
          <w:p w14:paraId="08CAC3CF">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w:t>
            </w:r>
            <w:r>
              <w:rPr>
                <w:rFonts w:hint="eastAsia" w:cs="Times New Roman" w:asciiTheme="minorEastAsia" w:hAnsiTheme="minorEastAsia" w:eastAsiaTheme="minorEastAsia"/>
                <w:kern w:val="0"/>
                <w:szCs w:val="21"/>
              </w:rPr>
              <w:t>质量管理制度科学完善，质量检查、整改方案和项目成果保障措施可行性高的</w:t>
            </w:r>
            <w:r>
              <w:rPr>
                <w:rFonts w:hint="eastAsia" w:cs="Times New Roman" w:asciiTheme="minorEastAsia" w:hAnsiTheme="minorEastAsia" w:eastAsiaTheme="minorEastAsia"/>
                <w:szCs w:val="21"/>
              </w:rPr>
              <w:t>，加7分；</w:t>
            </w:r>
          </w:p>
          <w:p w14:paraId="3124059E">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w:t>
            </w:r>
            <w:r>
              <w:rPr>
                <w:rFonts w:hint="eastAsia" w:cs="Times New Roman" w:asciiTheme="minorEastAsia" w:hAnsiTheme="minorEastAsia" w:eastAsiaTheme="minorEastAsia"/>
                <w:kern w:val="0"/>
                <w:szCs w:val="21"/>
              </w:rPr>
              <w:t>质量管理制度比较完善，质量检查、整改方案和项目成果保障措施可行性较高的</w:t>
            </w:r>
            <w:r>
              <w:rPr>
                <w:rFonts w:hint="eastAsia" w:cs="Times New Roman" w:asciiTheme="minorEastAsia" w:hAnsiTheme="minorEastAsia" w:eastAsiaTheme="minorEastAsia"/>
                <w:szCs w:val="21"/>
              </w:rPr>
              <w:t>，加4分；</w:t>
            </w:r>
          </w:p>
          <w:p w14:paraId="013FEC1D">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w:t>
            </w:r>
            <w:r>
              <w:rPr>
                <w:rFonts w:hint="eastAsia" w:cs="Times New Roman" w:asciiTheme="minorEastAsia" w:hAnsiTheme="minorEastAsia" w:eastAsiaTheme="minorEastAsia"/>
                <w:kern w:val="0"/>
                <w:szCs w:val="21"/>
              </w:rPr>
              <w:t>质量管理制度不够完善，质量检查、整改方案和项目成果保障措施可行性一般的</w:t>
            </w:r>
            <w:r>
              <w:rPr>
                <w:rFonts w:hint="eastAsia" w:cs="Times New Roman" w:asciiTheme="minorEastAsia" w:hAnsiTheme="minorEastAsia" w:eastAsiaTheme="minorEastAsia"/>
                <w:szCs w:val="21"/>
              </w:rPr>
              <w:t>，加1分；</w:t>
            </w:r>
          </w:p>
          <w:p w14:paraId="39CD3E22">
            <w:pPr>
              <w:widowControl/>
              <w:snapToGri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4.</w:t>
            </w:r>
            <w:r>
              <w:rPr>
                <w:rFonts w:hint="eastAsia" w:cs="Times New Roman" w:asciiTheme="minorEastAsia" w:hAnsiTheme="minorEastAsia" w:eastAsiaTheme="minorEastAsia"/>
                <w:kern w:val="0"/>
                <w:szCs w:val="21"/>
              </w:rPr>
              <w:t>质量管理制度不完善，质量检查、整改方案和项目成果保障措施可行性低的</w:t>
            </w:r>
            <w:r>
              <w:rPr>
                <w:rFonts w:hint="eastAsia" w:cs="Times New Roman" w:asciiTheme="minorEastAsia" w:hAnsiTheme="minorEastAsia" w:eastAsiaTheme="minorEastAsia"/>
                <w:szCs w:val="21"/>
              </w:rPr>
              <w:t>，不加分。</w:t>
            </w:r>
          </w:p>
        </w:tc>
        <w:tc>
          <w:tcPr>
            <w:tcW w:w="1187" w:type="dxa"/>
            <w:vAlign w:val="center"/>
          </w:tcPr>
          <w:p w14:paraId="369CE59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D909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2839FFCD">
            <w:pPr>
              <w:widowControl/>
              <w:snapToGrid w:val="0"/>
              <w:spacing w:line="360" w:lineRule="exact"/>
              <w:jc w:val="center"/>
              <w:rPr>
                <w:rFonts w:hint="eastAsia" w:cs="宋体" w:asciiTheme="minorEastAsia" w:hAnsiTheme="minorEastAsia" w:eastAsiaTheme="minorEastAsia"/>
                <w:kern w:val="0"/>
                <w:szCs w:val="21"/>
              </w:rPr>
            </w:pPr>
            <w:r>
              <w:rPr>
                <w:rFonts w:hint="eastAsia" w:cs="Times New Roman" w:asciiTheme="minorEastAsia" w:hAnsiTheme="minorEastAsia" w:eastAsiaTheme="minorEastAsia"/>
                <w:kern w:val="0"/>
                <w:szCs w:val="21"/>
              </w:rPr>
              <w:t>4</w:t>
            </w:r>
          </w:p>
        </w:tc>
        <w:tc>
          <w:tcPr>
            <w:tcW w:w="1143" w:type="dxa"/>
            <w:vAlign w:val="center"/>
          </w:tcPr>
          <w:p w14:paraId="4F636007">
            <w:pPr>
              <w:widowControl/>
              <w:spacing w:line="360" w:lineRule="exact"/>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项目完成（服务期满）后的服务承诺</w:t>
            </w:r>
          </w:p>
        </w:tc>
        <w:tc>
          <w:tcPr>
            <w:tcW w:w="709" w:type="dxa"/>
            <w:vAlign w:val="center"/>
          </w:tcPr>
          <w:p w14:paraId="2789270C">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2F914643">
            <w:pPr>
              <w:autoSpaceDE w:val="0"/>
              <w:autoSpaceDN w:val="0"/>
              <w:adjustRightIn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2CD62F61">
            <w:pPr>
              <w:autoSpaceDE w:val="0"/>
              <w:autoSpaceDN w:val="0"/>
              <w:adjustRightIn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投标人提供服务期满后的服务承诺，承诺以下全部内容的得5分，否则不得分。</w:t>
            </w:r>
          </w:p>
          <w:p w14:paraId="07C5AE68">
            <w:pPr>
              <w:autoSpaceDE w:val="0"/>
              <w:autoSpaceDN w:val="0"/>
              <w:adjustRightIn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 xml:space="preserve">（1）服务期满后主动离岗； </w:t>
            </w:r>
          </w:p>
          <w:p w14:paraId="38D4AC4C">
            <w:pPr>
              <w:autoSpaceDE w:val="0"/>
              <w:autoSpaceDN w:val="0"/>
              <w:adjustRightIn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 xml:space="preserve">（2）与后续服务公司进行交接； </w:t>
            </w:r>
          </w:p>
          <w:p w14:paraId="0ED4966A">
            <w:pPr>
              <w:autoSpaceDE w:val="0"/>
              <w:autoSpaceDN w:val="0"/>
              <w:adjustRightIn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（3）服务期满，后续服务公司未到位前仍按原合同服务承诺提供服务。</w:t>
            </w:r>
          </w:p>
          <w:p w14:paraId="2AE0C830">
            <w:pPr>
              <w:autoSpaceDE w:val="0"/>
              <w:autoSpaceDN w:val="0"/>
              <w:adjustRightIn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（二）评分依据：</w:t>
            </w:r>
          </w:p>
          <w:p w14:paraId="2486FE30">
            <w:pPr>
              <w:autoSpaceDE w:val="0"/>
              <w:autoSpaceDN w:val="0"/>
              <w:adjustRightInd w:val="0"/>
              <w:spacing w:line="360" w:lineRule="exac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75E98D9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FDFD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72F49D97">
            <w:pPr>
              <w:widowControl/>
              <w:snapToGrid w:val="0"/>
              <w:spacing w:line="360" w:lineRule="exact"/>
              <w:jc w:val="center"/>
              <w:rPr>
                <w:rFonts w:hint="eastAsia" w:cs="宋体" w:asciiTheme="minorEastAsia" w:hAnsiTheme="minorEastAsia" w:eastAsiaTheme="minorEastAsia"/>
                <w:kern w:val="0"/>
                <w:szCs w:val="21"/>
              </w:rPr>
            </w:pPr>
            <w:r>
              <w:rPr>
                <w:rFonts w:hint="eastAsia" w:cs="Times New Roman" w:asciiTheme="minorEastAsia" w:hAnsiTheme="minorEastAsia" w:eastAsiaTheme="minorEastAsia"/>
                <w:kern w:val="0"/>
                <w:szCs w:val="21"/>
              </w:rPr>
              <w:t>5</w:t>
            </w:r>
          </w:p>
        </w:tc>
        <w:tc>
          <w:tcPr>
            <w:tcW w:w="1143" w:type="dxa"/>
            <w:vAlign w:val="center"/>
          </w:tcPr>
          <w:p w14:paraId="7374648B">
            <w:pPr>
              <w:widowControl/>
              <w:spacing w:line="360" w:lineRule="exact"/>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违约承诺</w:t>
            </w:r>
          </w:p>
        </w:tc>
        <w:tc>
          <w:tcPr>
            <w:tcW w:w="709" w:type="dxa"/>
            <w:vAlign w:val="center"/>
          </w:tcPr>
          <w:p w14:paraId="5D1E99C7">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60C56C2E">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36AAE156">
            <w:pPr>
              <w:autoSpaceDE w:val="0"/>
              <w:autoSpaceDN w:val="0"/>
              <w:adjustRightIn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cs="Times New Roman" w:asciiTheme="minorEastAsia" w:hAnsiTheme="minorEastAsia" w:eastAsiaTheme="minorEastAsia"/>
                <w:szCs w:val="21"/>
              </w:rPr>
              <w:t>的得</w:t>
            </w:r>
            <w:r>
              <w:rPr>
                <w:rFonts w:hint="eastAsia" w:cs="Times New Roman" w:asciiTheme="minorEastAsia" w:hAnsiTheme="minorEastAsia" w:eastAsiaTheme="minorEastAsia"/>
                <w:szCs w:val="21"/>
              </w:rPr>
              <w:t>5</w:t>
            </w:r>
            <w:r>
              <w:rPr>
                <w:rFonts w:cs="Times New Roman" w:asciiTheme="minorEastAsia" w:hAnsiTheme="minorEastAsia" w:eastAsiaTheme="minorEastAsia"/>
                <w:szCs w:val="21"/>
              </w:rPr>
              <w:t>分，否则不得分。</w:t>
            </w:r>
          </w:p>
          <w:p w14:paraId="5E1BE596">
            <w:pPr>
              <w:autoSpaceDE w:val="0"/>
              <w:autoSpaceDN w:val="0"/>
              <w:adjustRightInd w:val="0"/>
              <w:spacing w:line="360" w:lineRule="exac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cs="Times New Roman" w:asciiTheme="minorEastAsia" w:hAnsiTheme="minorEastAsia" w:eastAsiaTheme="minorEastAsia"/>
                <w:szCs w:val="21"/>
              </w:rPr>
              <w:t xml:space="preserve">； </w:t>
            </w:r>
          </w:p>
          <w:p w14:paraId="59213FE5">
            <w:pPr>
              <w:autoSpaceDE w:val="0"/>
              <w:autoSpaceDN w:val="0"/>
              <w:adjustRightInd w:val="0"/>
              <w:spacing w:line="360" w:lineRule="exac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cs="Times New Roman" w:asciiTheme="minorEastAsia" w:hAnsiTheme="minorEastAsia" w:eastAsiaTheme="minorEastAsia"/>
                <w:szCs w:val="21"/>
              </w:rPr>
              <w:t xml:space="preserve">； </w:t>
            </w:r>
          </w:p>
          <w:p w14:paraId="1EADA1F7">
            <w:pPr>
              <w:autoSpaceDE w:val="0"/>
              <w:autoSpaceDN w:val="0"/>
              <w:adjustRightInd w:val="0"/>
              <w:spacing w:line="360" w:lineRule="exac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cs="Times New Roman" w:asciiTheme="minorEastAsia" w:hAnsiTheme="minorEastAsia" w:eastAsiaTheme="minorEastAsia"/>
                <w:szCs w:val="21"/>
              </w:rPr>
              <w:t>。</w:t>
            </w:r>
          </w:p>
          <w:p w14:paraId="59E35B9A">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（二）评分依据：</w:t>
            </w:r>
          </w:p>
          <w:p w14:paraId="0032F702">
            <w:pPr>
              <w:autoSpaceDE w:val="0"/>
              <w:autoSpaceDN w:val="0"/>
              <w:adjustRightInd w:val="0"/>
              <w:spacing w:line="360" w:lineRule="exac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4C80310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E72A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14B1C69B">
            <w:pPr>
              <w:widowControl/>
              <w:snapToGrid w:val="0"/>
              <w:spacing w:line="360" w:lineRule="exact"/>
              <w:jc w:val="center"/>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6</w:t>
            </w:r>
          </w:p>
        </w:tc>
        <w:tc>
          <w:tcPr>
            <w:tcW w:w="1143" w:type="dxa"/>
            <w:vAlign w:val="center"/>
          </w:tcPr>
          <w:p w14:paraId="6226EB0C">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65C3928E">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7</w:t>
            </w:r>
          </w:p>
        </w:tc>
        <w:tc>
          <w:tcPr>
            <w:tcW w:w="5953" w:type="dxa"/>
            <w:vAlign w:val="center"/>
          </w:tcPr>
          <w:p w14:paraId="0F28E34F">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50B4239D">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cs="Times New Roman" w:asciiTheme="minorEastAsia" w:hAnsiTheme="minorEastAsia" w:eastAsiaTheme="minorEastAsia"/>
                <w:szCs w:val="21"/>
              </w:rPr>
              <w:t>需为投标人</w:t>
            </w:r>
            <w:r>
              <w:rPr>
                <w:rFonts w:hint="eastAsia" w:cs="Times New Roman" w:asciiTheme="minorEastAsia" w:hAnsiTheme="minorEastAsia" w:eastAsiaTheme="minorEastAsia"/>
                <w:color w:val="000000" w:themeColor="text1"/>
                <w:szCs w:val="21"/>
              </w:rPr>
              <w:t>正式聘任</w:t>
            </w:r>
            <w:r>
              <w:rPr>
                <w:rFonts w:hint="eastAsia" w:cs="Times New Roman" w:asciiTheme="minorEastAsia" w:hAnsiTheme="minorEastAsia" w:eastAsiaTheme="minorEastAsia"/>
                <w:szCs w:val="21"/>
              </w:rPr>
              <w:t>员工，否则本项不得分。在此基础上，按以下标准评分：</w:t>
            </w:r>
          </w:p>
          <w:p w14:paraId="56BDB586">
            <w:pPr>
              <w:spacing w:line="360" w:lineRule="exact"/>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（1）具有</w:t>
            </w:r>
            <w:r>
              <w:rPr>
                <w:rFonts w:hint="eastAsia" w:cs="Times New Roman" w:asciiTheme="minorEastAsia" w:hAnsiTheme="minorEastAsia" w:eastAsiaTheme="minorEastAsia"/>
                <w:szCs w:val="21"/>
                <w:highlight w:val="none"/>
                <w:lang w:val="en-US" w:eastAsia="zh-CN"/>
              </w:rPr>
              <w:t>维保设备厂家</w:t>
            </w:r>
            <w:r>
              <w:rPr>
                <w:rFonts w:hint="eastAsia" w:cs="Times New Roman" w:asciiTheme="minorEastAsia" w:hAnsiTheme="minorEastAsia" w:eastAsiaTheme="minorEastAsia"/>
                <w:szCs w:val="21"/>
                <w:highlight w:val="none"/>
              </w:rPr>
              <w:t>培训</w:t>
            </w:r>
            <w:r>
              <w:rPr>
                <w:rFonts w:hint="eastAsia" w:cs="Times New Roman" w:asciiTheme="minorEastAsia" w:hAnsiTheme="minorEastAsia" w:eastAsiaTheme="minorEastAsia"/>
                <w:szCs w:val="21"/>
                <w:highlight w:val="none"/>
                <w:lang w:val="en-US" w:eastAsia="zh-CN"/>
              </w:rPr>
              <w:t>合格</w:t>
            </w:r>
            <w:r>
              <w:rPr>
                <w:rFonts w:hint="eastAsia" w:cs="Times New Roman" w:asciiTheme="minorEastAsia" w:hAnsiTheme="minorEastAsia" w:eastAsiaTheme="minorEastAsia"/>
                <w:szCs w:val="21"/>
                <w:highlight w:val="none"/>
              </w:rPr>
              <w:t>证书的得3分；</w:t>
            </w:r>
          </w:p>
          <w:p w14:paraId="6762E209">
            <w:pPr>
              <w:spacing w:line="360" w:lineRule="exact"/>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w:t>
            </w: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）具有同类</w:t>
            </w:r>
            <w:r>
              <w:rPr>
                <w:rFonts w:hint="eastAsia" w:cs="Times New Roman" w:asciiTheme="minorEastAsia" w:hAnsiTheme="minorEastAsia" w:eastAsiaTheme="minorEastAsia"/>
                <w:szCs w:val="21"/>
                <w:highlight w:val="none"/>
                <w:lang w:val="en-US" w:eastAsia="zh-CN"/>
              </w:rPr>
              <w:t>维保服务</w:t>
            </w:r>
            <w:r>
              <w:rPr>
                <w:rFonts w:hint="eastAsia" w:cs="Times New Roman" w:asciiTheme="minorEastAsia" w:hAnsiTheme="minorEastAsia" w:eastAsiaTheme="minorEastAsia"/>
                <w:szCs w:val="21"/>
                <w:highlight w:val="none"/>
              </w:rPr>
              <w:t>项目担任项目负责人工作经验得4分。</w:t>
            </w:r>
          </w:p>
          <w:p w14:paraId="4E56523F">
            <w:pPr>
              <w:autoSpaceDE w:val="0"/>
              <w:autoSpaceDN w:val="0"/>
              <w:adjustRightInd w:val="0"/>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（二）评分依据：</w:t>
            </w:r>
          </w:p>
          <w:p w14:paraId="331F320E">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cs="Times New Roman"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cs="Times New Roman"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cs="Times New Roman" w:asciiTheme="minorEastAsia" w:hAnsiTheme="minorEastAsia" w:eastAsiaTheme="minorEastAsia"/>
                <w:szCs w:val="21"/>
              </w:rPr>
              <w:t>；</w:t>
            </w:r>
          </w:p>
          <w:p w14:paraId="7D94E7BE">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 提供项目负责人培训证书；</w:t>
            </w:r>
          </w:p>
          <w:p w14:paraId="41E20C2C">
            <w:pPr>
              <w:spacing w:line="360" w:lineRule="exac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3996F879">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1AEAB3D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57E8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CD91D8">
            <w:pPr>
              <w:widowControl/>
              <w:snapToGrid w:val="0"/>
              <w:spacing w:line="360" w:lineRule="exact"/>
              <w:jc w:val="center"/>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7</w:t>
            </w:r>
          </w:p>
        </w:tc>
        <w:tc>
          <w:tcPr>
            <w:tcW w:w="1143" w:type="dxa"/>
            <w:vAlign w:val="center"/>
          </w:tcPr>
          <w:p w14:paraId="236D795D">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7882B76B">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4</w:t>
            </w:r>
          </w:p>
        </w:tc>
        <w:tc>
          <w:tcPr>
            <w:tcW w:w="5953" w:type="dxa"/>
            <w:vAlign w:val="center"/>
          </w:tcPr>
          <w:p w14:paraId="489D0EE8">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5C443587">
            <w:pPr>
              <w:spacing w:line="360" w:lineRule="exact"/>
              <w:rPr>
                <w:rFonts w:hint="eastAsia" w:cs="Times New Roman"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拟安排的项目团队成员（项目负责人除外）</w:t>
            </w:r>
            <w:r>
              <w:rPr>
                <w:rFonts w:hint="eastAsia" w:cs="Times New Roman" w:asciiTheme="minorEastAsia" w:hAnsiTheme="minorEastAsia" w:eastAsiaTheme="minorEastAsia"/>
                <w:szCs w:val="21"/>
                <w:highlight w:val="none"/>
              </w:rPr>
              <w:t>需为投标人</w:t>
            </w:r>
            <w:r>
              <w:rPr>
                <w:rFonts w:hint="eastAsia" w:cs="Times New Roman" w:asciiTheme="minorEastAsia" w:hAnsiTheme="minorEastAsia" w:eastAsiaTheme="minorEastAsia"/>
                <w:color w:val="000000" w:themeColor="text1"/>
                <w:szCs w:val="21"/>
                <w:highlight w:val="none"/>
              </w:rPr>
              <w:t>正式聘任</w:t>
            </w:r>
            <w:r>
              <w:rPr>
                <w:rFonts w:hint="eastAsia" w:cs="Times New Roman" w:asciiTheme="minorEastAsia" w:hAnsiTheme="minorEastAsia" w:eastAsiaTheme="minorEastAsia"/>
                <w:szCs w:val="21"/>
                <w:highlight w:val="none"/>
              </w:rPr>
              <w:t>员工，否则本项不得分。在此基础上，按以下标准评分：</w:t>
            </w:r>
          </w:p>
          <w:p w14:paraId="194C500D">
            <w:pPr>
              <w:spacing w:line="360" w:lineRule="exact"/>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（1）具有原厂培训资格认证证书的</w:t>
            </w:r>
            <w:r>
              <w:rPr>
                <w:rFonts w:hint="eastAsia" w:cs="Times New Roman" w:asciiTheme="minorEastAsia" w:hAnsiTheme="minorEastAsia" w:eastAsiaTheme="minorEastAsia"/>
                <w:szCs w:val="21"/>
                <w:highlight w:val="none"/>
                <w:lang w:eastAsia="zh-CN"/>
              </w:rPr>
              <w:t>，</w:t>
            </w:r>
            <w:r>
              <w:rPr>
                <w:rFonts w:hint="eastAsia" w:cs="Times New Roman" w:asciiTheme="minorEastAsia" w:hAnsiTheme="minorEastAsia" w:eastAsiaTheme="minorEastAsia"/>
                <w:szCs w:val="21"/>
                <w:highlight w:val="none"/>
                <w:lang w:val="en-US" w:eastAsia="zh-CN"/>
              </w:rPr>
              <w:t>每提供一人</w:t>
            </w:r>
            <w:r>
              <w:rPr>
                <w:rFonts w:hint="eastAsia" w:cs="Times New Roman" w:asciiTheme="minorEastAsia" w:hAnsiTheme="minorEastAsia" w:eastAsiaTheme="minorEastAsia"/>
                <w:szCs w:val="21"/>
                <w:highlight w:val="none"/>
              </w:rPr>
              <w:t>得</w:t>
            </w: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分</w:t>
            </w:r>
            <w:r>
              <w:rPr>
                <w:rFonts w:hint="eastAsia" w:cs="Times New Roman" w:asciiTheme="minorEastAsia" w:hAnsiTheme="minorEastAsia" w:eastAsiaTheme="minorEastAsia"/>
                <w:szCs w:val="21"/>
                <w:highlight w:val="none"/>
                <w:lang w:eastAsia="zh-CN"/>
              </w:rPr>
              <w:t>，</w:t>
            </w:r>
            <w:r>
              <w:rPr>
                <w:rFonts w:hint="eastAsia" w:cs="Times New Roman" w:asciiTheme="minorEastAsia" w:hAnsiTheme="minorEastAsia" w:eastAsiaTheme="minorEastAsia"/>
                <w:szCs w:val="21"/>
                <w:highlight w:val="none"/>
                <w:lang w:val="en-US" w:eastAsia="zh-CN"/>
              </w:rPr>
              <w:t>最高得2分</w:t>
            </w:r>
            <w:r>
              <w:rPr>
                <w:rFonts w:hint="eastAsia" w:cs="Times New Roman" w:asciiTheme="minorEastAsia" w:hAnsiTheme="minorEastAsia" w:eastAsiaTheme="minorEastAsia"/>
                <w:szCs w:val="21"/>
                <w:highlight w:val="none"/>
              </w:rPr>
              <w:t>；</w:t>
            </w:r>
          </w:p>
          <w:p w14:paraId="774D30C7">
            <w:pPr>
              <w:spacing w:line="360" w:lineRule="exact"/>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w:t>
            </w: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）具有同类</w:t>
            </w:r>
            <w:r>
              <w:rPr>
                <w:rFonts w:hint="eastAsia" w:cs="Times New Roman" w:asciiTheme="minorEastAsia" w:hAnsiTheme="minorEastAsia" w:eastAsiaTheme="minorEastAsia"/>
                <w:szCs w:val="21"/>
                <w:highlight w:val="none"/>
                <w:lang w:val="en-US" w:eastAsia="zh-CN"/>
              </w:rPr>
              <w:t>维保服务</w:t>
            </w:r>
            <w:r>
              <w:rPr>
                <w:rFonts w:hint="eastAsia" w:cs="Times New Roman" w:asciiTheme="minorEastAsia" w:hAnsiTheme="minorEastAsia" w:eastAsiaTheme="minorEastAsia"/>
                <w:szCs w:val="21"/>
                <w:highlight w:val="none"/>
              </w:rPr>
              <w:t>项目工作经验</w:t>
            </w:r>
            <w:r>
              <w:rPr>
                <w:rFonts w:hint="eastAsia" w:cs="Times New Roman" w:asciiTheme="minorEastAsia" w:hAnsiTheme="minorEastAsia" w:eastAsiaTheme="minorEastAsia"/>
                <w:szCs w:val="21"/>
                <w:highlight w:val="none"/>
                <w:lang w:val="en-US" w:eastAsia="zh-CN"/>
              </w:rPr>
              <w:t>的</w:t>
            </w:r>
            <w:r>
              <w:rPr>
                <w:rFonts w:hint="eastAsia" w:cs="Times New Roman" w:asciiTheme="minorEastAsia" w:hAnsiTheme="minorEastAsia" w:eastAsiaTheme="minorEastAsia"/>
                <w:szCs w:val="21"/>
                <w:highlight w:val="none"/>
                <w:lang w:eastAsia="zh-CN"/>
              </w:rPr>
              <w:t>，</w:t>
            </w:r>
            <w:r>
              <w:rPr>
                <w:rFonts w:hint="eastAsia" w:cs="Times New Roman" w:asciiTheme="minorEastAsia" w:hAnsiTheme="minorEastAsia" w:eastAsiaTheme="minorEastAsia"/>
                <w:szCs w:val="21"/>
                <w:highlight w:val="none"/>
                <w:lang w:val="en-US" w:eastAsia="zh-CN"/>
              </w:rPr>
              <w:t>每提供一人</w:t>
            </w:r>
            <w:r>
              <w:rPr>
                <w:rFonts w:hint="eastAsia" w:cs="Times New Roman" w:asciiTheme="minorEastAsia" w:hAnsiTheme="minorEastAsia" w:eastAsiaTheme="minorEastAsia"/>
                <w:szCs w:val="21"/>
                <w:highlight w:val="none"/>
              </w:rPr>
              <w:t>得</w:t>
            </w: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分</w:t>
            </w:r>
            <w:r>
              <w:rPr>
                <w:rFonts w:hint="eastAsia" w:cs="Times New Roman" w:asciiTheme="minorEastAsia" w:hAnsiTheme="minorEastAsia" w:eastAsiaTheme="minorEastAsia"/>
                <w:szCs w:val="21"/>
                <w:highlight w:val="none"/>
                <w:lang w:eastAsia="zh-CN"/>
              </w:rPr>
              <w:t>，</w:t>
            </w:r>
            <w:r>
              <w:rPr>
                <w:rFonts w:hint="eastAsia" w:cs="Times New Roman" w:asciiTheme="minorEastAsia" w:hAnsiTheme="minorEastAsia" w:eastAsiaTheme="minorEastAsia"/>
                <w:szCs w:val="21"/>
                <w:highlight w:val="none"/>
                <w:lang w:val="en-US" w:eastAsia="zh-CN"/>
              </w:rPr>
              <w:t>最高得2分</w:t>
            </w:r>
            <w:r>
              <w:rPr>
                <w:rFonts w:hint="eastAsia" w:cs="Times New Roman" w:asciiTheme="minorEastAsia" w:hAnsiTheme="minorEastAsia" w:eastAsiaTheme="minorEastAsia"/>
                <w:szCs w:val="21"/>
                <w:highlight w:val="none"/>
              </w:rPr>
              <w:t>。</w:t>
            </w:r>
          </w:p>
          <w:p w14:paraId="7163BBDF">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（二）评分依据：</w:t>
            </w:r>
          </w:p>
          <w:p w14:paraId="402D77F4">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cs="Times New Roman"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cs="Times New Roman"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cs="Times New Roman" w:asciiTheme="minorEastAsia" w:hAnsiTheme="minorEastAsia" w:eastAsiaTheme="minorEastAsia"/>
                <w:szCs w:val="21"/>
              </w:rPr>
              <w:t>；</w:t>
            </w:r>
          </w:p>
          <w:p w14:paraId="70A9A680">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 提供上述</w:t>
            </w:r>
            <w:r>
              <w:rPr>
                <w:rFonts w:hint="eastAsia" w:cs="Times New Roman" w:asciiTheme="minorEastAsia" w:hAnsiTheme="minorEastAsia" w:eastAsiaTheme="minorEastAsia"/>
                <w:szCs w:val="21"/>
                <w:lang w:val="en-US" w:eastAsia="zh-CN"/>
              </w:rPr>
              <w:t>培训证书</w:t>
            </w:r>
            <w:r>
              <w:rPr>
                <w:rFonts w:hint="eastAsia" w:cs="Times New Roman" w:asciiTheme="minorEastAsia" w:hAnsiTheme="minorEastAsia" w:eastAsiaTheme="minorEastAsia"/>
                <w:szCs w:val="21"/>
              </w:rPr>
              <w:t>；</w:t>
            </w:r>
          </w:p>
          <w:p w14:paraId="70CB57B6">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65E6586D">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C5CEB57">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2BC1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79AF0918">
            <w:pPr>
              <w:widowControl/>
              <w:snapToGrid w:val="0"/>
              <w:spacing w:line="360" w:lineRule="exact"/>
              <w:jc w:val="center"/>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eastAsiaTheme="minorEastAsia"/>
                <w:kern w:val="0"/>
                <w:szCs w:val="21"/>
                <w:lang w:val="en-US" w:eastAsia="zh-CN"/>
              </w:rPr>
              <w:t>8</w:t>
            </w:r>
          </w:p>
        </w:tc>
        <w:tc>
          <w:tcPr>
            <w:tcW w:w="1143" w:type="dxa"/>
            <w:vAlign w:val="center"/>
          </w:tcPr>
          <w:p w14:paraId="52C67D4D">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服务要求偏离情况</w:t>
            </w:r>
          </w:p>
        </w:tc>
        <w:tc>
          <w:tcPr>
            <w:tcW w:w="709" w:type="dxa"/>
            <w:vAlign w:val="center"/>
          </w:tcPr>
          <w:p w14:paraId="1D4C0585">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19</w:t>
            </w:r>
          </w:p>
        </w:tc>
        <w:tc>
          <w:tcPr>
            <w:tcW w:w="5953" w:type="dxa"/>
            <w:vAlign w:val="center"/>
          </w:tcPr>
          <w:p w14:paraId="1C5AFA3A">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38ACDAF9">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投标人应如实填写《偏离表》，各项非实质性技术参数指标及要求全部满足的得</w:t>
            </w:r>
            <w:r>
              <w:rPr>
                <w:rFonts w:hint="eastAsia" w:cs="Times New Roman" w:asciiTheme="minorEastAsia" w:hAnsiTheme="minorEastAsia" w:eastAsiaTheme="minorEastAsia"/>
                <w:szCs w:val="21"/>
                <w:lang w:val="en-US" w:eastAsia="zh-CN"/>
              </w:rPr>
              <w:t>19</w:t>
            </w:r>
            <w:r>
              <w:rPr>
                <w:rFonts w:hint="eastAsia" w:cs="Times New Roman" w:asciiTheme="minorEastAsia" w:hAnsiTheme="minorEastAsia" w:eastAsiaTheme="minorEastAsia"/>
                <w:szCs w:val="21"/>
              </w:rPr>
              <w:t>分；其中“▲”参数</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31条</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为重要指标，每负偏离一项扣</w:t>
            </w:r>
            <w:r>
              <w:rPr>
                <w:rFonts w:hint="eastAsia" w:cs="Times New Roman" w:asciiTheme="minorEastAsia" w:hAnsiTheme="minorEastAsia" w:eastAsiaTheme="minorEastAsia"/>
                <w:szCs w:val="21"/>
                <w:lang w:val="en-US" w:eastAsia="zh-CN"/>
              </w:rPr>
              <w:t>0.62</w:t>
            </w:r>
            <w:r>
              <w:rPr>
                <w:rFonts w:hint="eastAsia" w:cs="Times New Roman" w:asciiTheme="minorEastAsia" w:hAnsiTheme="minorEastAsia" w:eastAsiaTheme="minorEastAsia"/>
                <w:szCs w:val="21"/>
              </w:rPr>
              <w:t>分</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最低0分</w:t>
            </w:r>
            <w:r>
              <w:rPr>
                <w:rFonts w:hint="eastAsia" w:cs="Times New Roman" w:asciiTheme="minorEastAsia" w:hAnsiTheme="minorEastAsia" w:eastAsiaTheme="minorEastAsia"/>
                <w:szCs w:val="21"/>
              </w:rPr>
              <w:t>。</w:t>
            </w:r>
          </w:p>
          <w:p w14:paraId="7CC08926">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（二）评分依据：</w:t>
            </w:r>
          </w:p>
          <w:p w14:paraId="20BE6CF1">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以投标文件《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tc>
        <w:tc>
          <w:tcPr>
            <w:tcW w:w="1187" w:type="dxa"/>
            <w:vAlign w:val="center"/>
          </w:tcPr>
          <w:p w14:paraId="2C78AD8B">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FF0C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34EBE286">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0F0A235F">
            <w:pPr>
              <w:autoSpaceDE w:val="0"/>
              <w:autoSpaceDN w:val="0"/>
              <w:adjustRightInd w:val="0"/>
              <w:spacing w:line="360" w:lineRule="exact"/>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2</w:t>
            </w:r>
            <w:r>
              <w:rPr>
                <w:rFonts w:hint="eastAsia" w:cs="仿宋" w:asciiTheme="minorEastAsia" w:hAnsiTheme="minorEastAsia" w:eastAsiaTheme="minorEastAsia"/>
                <w:b/>
                <w:szCs w:val="21"/>
                <w:lang w:val="en-US" w:eastAsia="zh-CN"/>
              </w:rPr>
              <w:t>0</w:t>
            </w:r>
          </w:p>
        </w:tc>
      </w:tr>
      <w:tr w14:paraId="4CC4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A7C90B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3D62426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1D4DCAF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6D75D70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4DADC3D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451C7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486A04D4">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31401946">
            <w:pPr>
              <w:spacing w:line="360" w:lineRule="exact"/>
              <w:jc w:val="center"/>
              <w:rPr>
                <w:rFonts w:hint="eastAsia" w:cs="Times New Roman"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20FDB8DA">
            <w:pPr>
              <w:spacing w:line="360" w:lineRule="exact"/>
              <w:jc w:val="center"/>
              <w:rPr>
                <w:rFonts w:hint="eastAsia" w:cs="Times New Roman" w:asciiTheme="minorEastAsia" w:hAnsiTheme="minorEastAsia" w:eastAsiaTheme="minorEastAsia"/>
                <w:kern w:val="0"/>
                <w:szCs w:val="21"/>
              </w:rPr>
            </w:pPr>
            <w:r>
              <w:rPr>
                <w:rFonts w:hint="eastAsia" w:cs="宋体" w:asciiTheme="minorEastAsia" w:hAnsiTheme="minorEastAsia" w:eastAsiaTheme="minorEastAsia"/>
                <w:szCs w:val="21"/>
              </w:rPr>
              <w:t>3</w:t>
            </w:r>
          </w:p>
        </w:tc>
        <w:tc>
          <w:tcPr>
            <w:tcW w:w="5953" w:type="dxa"/>
            <w:vAlign w:val="center"/>
          </w:tcPr>
          <w:p w14:paraId="45C4B0FB">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7F38D343">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投标人具有</w:t>
            </w:r>
            <w:r>
              <w:rPr>
                <w:rFonts w:hint="eastAsia" w:cs="Times New Roman" w:asciiTheme="minorEastAsia" w:hAnsiTheme="minorEastAsia" w:eastAsiaTheme="minorEastAsia"/>
                <w:bCs/>
                <w:szCs w:val="21"/>
              </w:rPr>
              <w:t>ISO9001</w:t>
            </w:r>
            <w:r>
              <w:rPr>
                <w:rFonts w:hint="eastAsia" w:cs="Times New Roman" w:asciiTheme="minorEastAsia" w:hAnsiTheme="minorEastAsia" w:eastAsiaTheme="minorEastAsia"/>
                <w:kern w:val="0"/>
                <w:szCs w:val="21"/>
              </w:rPr>
              <w:t>质量管理体系认证证书、</w:t>
            </w:r>
            <w:r>
              <w:rPr>
                <w:rFonts w:cs="Times New Roman" w:asciiTheme="minorEastAsia" w:hAnsiTheme="minorEastAsia" w:eastAsiaTheme="minorEastAsia"/>
                <w:kern w:val="0"/>
                <w:szCs w:val="21"/>
              </w:rPr>
              <w:t>ISO14001</w:t>
            </w:r>
            <w:r>
              <w:rPr>
                <w:rFonts w:hint="eastAsia" w:cs="Times New Roman" w:asciiTheme="minorEastAsia" w:hAnsiTheme="minorEastAsia" w:eastAsiaTheme="minorEastAsia"/>
                <w:kern w:val="0"/>
                <w:szCs w:val="21"/>
              </w:rPr>
              <w:t>环境管理体系认证证书、ISO45001职业健康安全管理体系认证证书，</w:t>
            </w:r>
            <w:r>
              <w:rPr>
                <w:rFonts w:hint="eastAsia" w:cs="Times New Roman" w:asciiTheme="minorEastAsia" w:hAnsiTheme="minorEastAsia" w:eastAsiaTheme="minorEastAsia"/>
                <w:kern w:val="0"/>
                <w:szCs w:val="21"/>
                <w:lang w:eastAsia="zh-CN"/>
              </w:rPr>
              <w:t>每</w:t>
            </w:r>
            <w:r>
              <w:rPr>
                <w:rFonts w:hint="eastAsia" w:cs="Times New Roman" w:asciiTheme="minorEastAsia" w:hAnsiTheme="minorEastAsia" w:eastAsiaTheme="minorEastAsia"/>
                <w:kern w:val="0"/>
                <w:szCs w:val="21"/>
              </w:rPr>
              <w:t>提供1个有效认证证书得1分，最高得3分。</w:t>
            </w:r>
          </w:p>
          <w:p w14:paraId="43DB59CE">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（二）评分依据：</w:t>
            </w:r>
          </w:p>
          <w:p w14:paraId="3C04D215">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77598330">
            <w:pPr>
              <w:autoSpaceDE w:val="0"/>
              <w:autoSpaceDN w:val="0"/>
              <w:adjustRightInd w:val="0"/>
              <w:spacing w:line="360" w:lineRule="exact"/>
              <w:jc w:val="left"/>
              <w:rPr>
                <w:rFonts w:hint="eastAsia" w:cs="仿宋" w:asciiTheme="minorEastAsia" w:hAnsiTheme="minorEastAsia" w:eastAsiaTheme="minorEastAsia"/>
                <w:szCs w:val="21"/>
                <w:lang w:val="zh-CN"/>
              </w:rPr>
            </w:pPr>
            <w:r>
              <w:rPr>
                <w:rFonts w:hint="eastAsia" w:cs="Times New Roman"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68C5BFCD">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3. 如证书由行业协会颁发，需提供该行业协会在“中国社会组织政务服务平台”（网址：</w:t>
            </w:r>
            <w:r>
              <w:rPr>
                <w:rFonts w:cs="Times New Roman" w:asciiTheme="minorEastAsia" w:hAnsiTheme="minorEastAsia" w:eastAsiaTheme="minorEastAsia"/>
                <w:szCs w:val="21"/>
              </w:rPr>
              <w:t>https://chinanpo.mca.gov.cn/</w:t>
            </w:r>
            <w:r>
              <w:rPr>
                <w:rFonts w:hint="eastAsia" w:cs="Times New Roman" w:asciiTheme="minorEastAsia" w:hAnsiTheme="minorEastAsia" w:eastAsiaTheme="minorEastAsia"/>
                <w:szCs w:val="21"/>
              </w:rPr>
              <w:t>）查询的已合法登记且状态正常截图，否则不予认可，视为无效证书；</w:t>
            </w:r>
          </w:p>
          <w:p w14:paraId="1A39B533">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4.</w:t>
            </w:r>
            <w:r>
              <w:rPr>
                <w:rFonts w:hint="eastAsia" w:cs="Times New Roman"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0444A169">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2D61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58D82EE">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31E50C40">
            <w:pPr>
              <w:adjustRightInd w:val="0"/>
              <w:snapToGrid w:val="0"/>
              <w:spacing w:line="360" w:lineRule="exact"/>
              <w:jc w:val="center"/>
              <w:rPr>
                <w:rFonts w:hint="eastAsia" w:cs="Times New Roman"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703909FB">
            <w:pPr>
              <w:adjustRightInd w:val="0"/>
              <w:snapToGrid w:val="0"/>
              <w:spacing w:line="360" w:lineRule="exact"/>
              <w:jc w:val="center"/>
              <w:rPr>
                <w:rFonts w:hint="eastAsia" w:cs="Times New Roman" w:asciiTheme="minorEastAsia" w:hAnsiTheme="minorEastAsia" w:eastAsiaTheme="minorEastAsia"/>
                <w:snapToGrid w:val="0"/>
                <w:kern w:val="0"/>
                <w:szCs w:val="21"/>
              </w:rPr>
            </w:pPr>
            <w:r>
              <w:rPr>
                <w:rFonts w:hint="eastAsia" w:cs="Times New Roman" w:asciiTheme="minorEastAsia" w:hAnsiTheme="minorEastAsia" w:eastAsiaTheme="minorEastAsia"/>
                <w:snapToGrid w:val="0"/>
                <w:kern w:val="0"/>
                <w:szCs w:val="21"/>
              </w:rPr>
              <w:t>12</w:t>
            </w:r>
          </w:p>
        </w:tc>
        <w:tc>
          <w:tcPr>
            <w:tcW w:w="5953" w:type="dxa"/>
            <w:vAlign w:val="center"/>
          </w:tcPr>
          <w:p w14:paraId="2B46BFAA">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0A517273">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年1月1日至本项目投标截止日（以合同签订日期</w:t>
            </w:r>
            <w:r>
              <w:rPr>
                <w:rFonts w:hint="eastAsia" w:cs="Times New Roman"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w:t>
            </w:r>
            <w:r>
              <w:rPr>
                <w:rFonts w:hint="eastAsia" w:cs="宋体" w:asciiTheme="minorEastAsia" w:hAnsiTheme="minorEastAsia" w:eastAsiaTheme="minorEastAsia"/>
                <w:bCs/>
                <w:szCs w:val="21"/>
                <w:lang w:val="en-US" w:eastAsia="zh-CN"/>
              </w:rPr>
              <w:t>维保服务</w:t>
            </w:r>
            <w:r>
              <w:rPr>
                <w:rFonts w:hint="eastAsia" w:cs="宋体" w:asciiTheme="minorEastAsia" w:hAnsiTheme="minorEastAsia" w:eastAsiaTheme="minorEastAsia"/>
                <w:bCs/>
                <w:szCs w:val="21"/>
              </w:rPr>
              <w:t>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或评价中最高等级（以评分作为评价结果的不予计算）</w:t>
            </w:r>
            <w:r>
              <w:rPr>
                <w:rFonts w:hint="eastAsia" w:cs="宋体" w:asciiTheme="minorEastAsia" w:hAnsiTheme="minorEastAsia" w:eastAsiaTheme="minorEastAsia"/>
                <w:szCs w:val="21"/>
              </w:rPr>
              <w:t>，每提供1个项目得4分,最高得12分。同一项目续签合同的不可重复得分。</w:t>
            </w:r>
          </w:p>
          <w:p w14:paraId="380AD97E">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（二）评分依据：</w:t>
            </w:r>
          </w:p>
          <w:p w14:paraId="04072D96">
            <w:pPr>
              <w:adjustRightInd w:val="0"/>
              <w:snapToGrid w:val="0"/>
              <w:spacing w:line="360" w:lineRule="exact"/>
              <w:rPr>
                <w:rFonts w:hint="eastAsia" w:cs="Times New Roman"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cs="Times New Roman" w:asciiTheme="minorEastAsia" w:hAnsiTheme="minorEastAsia" w:eastAsiaTheme="minorEastAsia"/>
                <w:bCs/>
                <w:szCs w:val="21"/>
              </w:rPr>
              <w:t>且提供的材料各项信息不得有任何遮挡</w:t>
            </w:r>
            <w:r>
              <w:rPr>
                <w:rFonts w:hint="eastAsia" w:cs="Times New Roman" w:asciiTheme="minorEastAsia" w:hAnsiTheme="minorEastAsia" w:eastAsiaTheme="minorEastAsia"/>
                <w:szCs w:val="21"/>
              </w:rPr>
              <w:t>；</w:t>
            </w:r>
          </w:p>
          <w:p w14:paraId="1BFF5CB2">
            <w:pPr>
              <w:adjustRightInd w:val="0"/>
              <w:snapToGri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 通过合同关键信息无法判断是否得分的，还需提供能证明得分的其它证明资料，如项目报告或合同甲方出具的证明文件；</w:t>
            </w:r>
          </w:p>
          <w:p w14:paraId="0272D51D">
            <w:pPr>
              <w:adjustRightInd w:val="0"/>
              <w:snapToGri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3BDFE751">
            <w:pPr>
              <w:adjustRightInd w:val="0"/>
              <w:snapToGrid w:val="0"/>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5C6C444F">
            <w:pPr>
              <w:adjustRightInd w:val="0"/>
              <w:snapToGrid w:val="0"/>
              <w:spacing w:line="360" w:lineRule="exact"/>
              <w:rPr>
                <w:rFonts w:hint="eastAsia" w:cs="Times New Roman"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41AD9A3F">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8029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2D99D257">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3</w:t>
            </w:r>
          </w:p>
        </w:tc>
        <w:tc>
          <w:tcPr>
            <w:tcW w:w="1143" w:type="dxa"/>
            <w:vAlign w:val="center"/>
          </w:tcPr>
          <w:p w14:paraId="128A09E9">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0FEC00E4">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498121BF">
            <w:pPr>
              <w:spacing w:line="360" w:lineRule="exact"/>
              <w:ind w:left="34" w:leftChars="16"/>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51D2E29">
            <w:pPr>
              <w:tabs>
                <w:tab w:val="left" w:pos="175"/>
              </w:tabs>
              <w:spacing w:line="360" w:lineRule="exact"/>
              <w:ind w:left="33"/>
              <w:jc w:val="left"/>
              <w:rPr>
                <w:rFonts w:hint="eastAsia" w:cs="仿宋" w:asciiTheme="minorEastAsia" w:hAnsiTheme="minorEastAsia" w:eastAsiaTheme="minorEastAsia"/>
                <w:szCs w:val="21"/>
              </w:rPr>
            </w:pPr>
            <w:r>
              <w:rPr>
                <w:rFonts w:hint="eastAsia" w:cs="Times New Roman"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4FFD8247">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计算机X射线断层扫描仪（CT680)维保</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深圳市儿童医院</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4050</w:t>
            </w:r>
            <w:r>
              <w:rPr>
                <w:rFonts w:hint="eastAsia" w:asciiTheme="minorEastAsia" w:hAnsiTheme="minorEastAsia" w:eastAsiaTheme="minorEastAsia"/>
              </w:rPr>
              <w:t>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rPr>
          <w:rFonts w:hint="eastAsia"/>
        </w:rPr>
      </w:pPr>
      <w:bookmarkStart w:id="24" w:name="_Toc135293169"/>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2"/>
        <w:rPr>
          <w:rFonts w:hint="eastAsia"/>
        </w:rPr>
      </w:pPr>
      <w:bookmarkStart w:id="40" w:name="_Toc135293177"/>
    </w:p>
    <w:p w14:paraId="2B5E3F2E">
      <w:pPr>
        <w:pStyle w:val="2"/>
      </w:pPr>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11772"/>
      <w:bookmarkStart w:id="42" w:name="_Toc25194"/>
      <w:bookmarkStart w:id="43" w:name="_Toc31468"/>
      <w:bookmarkStart w:id="44" w:name="_Toc44691395"/>
      <w:bookmarkStart w:id="45" w:name="_Toc44691163"/>
      <w:bookmarkStart w:id="46" w:name="_Toc44690704"/>
      <w:bookmarkStart w:id="47" w:name="_Toc44690431"/>
      <w:bookmarkStart w:id="48" w:name="_Toc135293178"/>
      <w:bookmarkStart w:id="49" w:name="_Toc14934"/>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4"/>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6"/>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2"/>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7" w:name="_Toc44691164"/>
      <w:bookmarkStart w:id="58" w:name="_Toc44690432"/>
      <w:bookmarkStart w:id="59" w:name="_Toc44690705"/>
      <w:bookmarkStart w:id="60" w:name="_Toc44691396"/>
      <w:bookmarkStart w:id="61" w:name="_Toc13529318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1"/>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1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1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10"/>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10"/>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1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1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1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1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1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1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1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1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1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1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1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1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1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1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1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1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1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1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1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1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1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10"/>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1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1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10"/>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10"/>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44691397"/>
      <w:bookmarkStart w:id="68" w:name="_Toc44690433"/>
      <w:bookmarkStart w:id="69" w:name="_Toc44690706"/>
      <w:bookmarkStart w:id="70" w:name="_Toc135293186"/>
      <w:bookmarkStart w:id="71" w:name="_Toc44691165"/>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3823"/>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822"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3823"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822"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计算机X射线断层扫描仪（CT680)维保</w:t>
            </w:r>
          </w:p>
        </w:tc>
        <w:tc>
          <w:tcPr>
            <w:tcW w:w="3823"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2" w:name="_Toc44690707"/>
      <w:bookmarkStart w:id="73" w:name="_Toc44690434"/>
      <w:bookmarkStart w:id="74" w:name="_Toc44691166"/>
      <w:bookmarkStart w:id="75" w:name="_Toc135293187"/>
      <w:bookmarkStart w:id="76" w:name="_Toc44691398"/>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7" w:name="_Toc135293188"/>
      <w:bookmarkStart w:id="78" w:name="_Toc44691167"/>
      <w:bookmarkStart w:id="79" w:name="_Toc44690435"/>
      <w:bookmarkStart w:id="80" w:name="_Toc44691399"/>
      <w:bookmarkStart w:id="81" w:name="_Toc44690708"/>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14:paraId="74D83CF7">
      <w:pPr>
        <w:spacing w:line="360" w:lineRule="auto"/>
        <w:ind w:firstLine="420" w:firstLineChars="200"/>
        <w:rPr>
          <w:rFonts w:hint="eastAsia" w:ascii="宋体" w:hAnsi="宋体" w:cs="宋体"/>
          <w:szCs w:val="21"/>
        </w:rPr>
      </w:pPr>
      <w:r>
        <w:rPr>
          <w:rFonts w:hint="eastAsia" w:ascii="宋体" w:hAnsi="宋体" w:cs="宋体"/>
          <w:szCs w:val="21"/>
        </w:rPr>
        <w:t>4、项目完成（服务期满）后的服务承诺</w:t>
      </w:r>
    </w:p>
    <w:p w14:paraId="42066D9D">
      <w:pPr>
        <w:spacing w:line="360" w:lineRule="auto"/>
        <w:ind w:firstLine="420" w:firstLineChars="200"/>
        <w:rPr>
          <w:rFonts w:ascii="宋体" w:hAnsi="宋体" w:cs="宋体"/>
          <w:szCs w:val="21"/>
        </w:rPr>
      </w:pPr>
      <w:r>
        <w:rPr>
          <w:rFonts w:hint="eastAsia" w:ascii="宋体" w:hAnsi="宋体"/>
          <w:szCs w:val="21"/>
        </w:rPr>
        <w:t>5、违约承诺</w:t>
      </w:r>
    </w:p>
    <w:p w14:paraId="5D4F00B9">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158FB307">
      <w:pPr>
        <w:spacing w:line="360" w:lineRule="auto"/>
        <w:ind w:left="420"/>
        <w:rPr>
          <w:rFonts w:hint="eastAsia" w:ascii="宋体" w:hAnsi="宋体"/>
          <w:bCs/>
        </w:rPr>
      </w:pPr>
      <w:r>
        <w:rPr>
          <w:rFonts w:hint="eastAsia" w:ascii="宋体" w:hAnsi="宋体"/>
          <w:bCs/>
          <w:lang w:val="en-US" w:eastAsia="zh-CN"/>
        </w:rPr>
        <w:t>7</w:t>
      </w:r>
      <w:r>
        <w:rPr>
          <w:rFonts w:hint="eastAsia" w:ascii="宋体" w:hAnsi="宋体"/>
          <w:bCs/>
        </w:rPr>
        <w:t>、投标人体系认证情况</w:t>
      </w:r>
    </w:p>
    <w:p w14:paraId="27D46FCE">
      <w:pPr>
        <w:spacing w:line="360" w:lineRule="auto"/>
        <w:ind w:left="420"/>
        <w:rPr>
          <w:rFonts w:hint="eastAsia" w:ascii="宋体" w:hAnsi="宋体"/>
          <w:bCs/>
          <w:lang w:val="en-US" w:eastAsia="zh-CN"/>
        </w:rPr>
      </w:pPr>
      <w:r>
        <w:rPr>
          <w:rFonts w:hint="eastAsia" w:ascii="宋体" w:hAnsi="宋体"/>
          <w:bCs/>
          <w:lang w:val="en-US" w:eastAsia="zh-CN"/>
        </w:rPr>
        <w:t>8、同类项目业绩情况</w:t>
      </w:r>
    </w:p>
    <w:p w14:paraId="5CF22BB3">
      <w:pPr>
        <w:spacing w:line="360" w:lineRule="auto"/>
        <w:ind w:left="420"/>
        <w:rPr>
          <w:rFonts w:hint="eastAsia" w:ascii="宋体" w:hAnsi="宋体"/>
          <w:bCs/>
          <w:lang w:val="en-US" w:eastAsia="zh-CN"/>
        </w:rPr>
      </w:pPr>
      <w:r>
        <w:rPr>
          <w:rFonts w:hint="eastAsia" w:ascii="宋体" w:hAnsi="宋体"/>
          <w:bCs/>
          <w:lang w:val="en-US" w:eastAsia="zh-CN"/>
        </w:rPr>
        <w:t>9、获奖（荣誉）情况</w:t>
      </w:r>
    </w:p>
    <w:p w14:paraId="62D8E219">
      <w:pPr>
        <w:spacing w:line="360" w:lineRule="auto"/>
        <w:ind w:left="420"/>
        <w:rPr>
          <w:rFonts w:ascii="宋体" w:hAnsi="宋体"/>
          <w:bCs/>
        </w:rPr>
      </w:pPr>
      <w:r>
        <w:rPr>
          <w:rFonts w:hint="eastAsia" w:ascii="宋体" w:hAnsi="宋体"/>
          <w:bCs/>
          <w:lang w:val="en-US" w:eastAsia="zh-CN"/>
        </w:rPr>
        <w:t>10、</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rPr>
          <w:rFonts w:hint="eastAsia"/>
        </w:rPr>
      </w:pPr>
    </w:p>
    <w:p w14:paraId="4828A698">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3" w:name="_Toc44690709"/>
      <w:bookmarkStart w:id="84" w:name="_Toc44691168"/>
      <w:bookmarkStart w:id="85" w:name="_Toc44691400"/>
      <w:bookmarkStart w:id="86" w:name="_Toc44690436"/>
      <w:bookmarkStart w:id="87" w:name="_Toc135293190"/>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8" w:name="_格式4__"/>
      <w:bookmarkEnd w:id="88"/>
      <w:bookmarkStart w:id="89" w:name="_格式5__"/>
      <w:bookmarkEnd w:id="89"/>
      <w:bookmarkStart w:id="90" w:name="_格式2__投标保证金凭证"/>
      <w:bookmarkEnd w:id="90"/>
      <w:bookmarkStart w:id="91" w:name="q17"/>
      <w:bookmarkEnd w:id="91"/>
      <w:bookmarkStart w:id="92" w:name="q15"/>
      <w:bookmarkEnd w:id="92"/>
      <w:bookmarkStart w:id="93" w:name="_格式3__"/>
      <w:bookmarkEnd w:id="93"/>
      <w:bookmarkStart w:id="94" w:name="q16"/>
      <w:bookmarkEnd w:id="94"/>
      <w:r>
        <w:rPr>
          <w:rFonts w:asciiTheme="minorEastAsia" w:hAnsiTheme="minorEastAsia" w:eastAsiaTheme="minorEastAsia"/>
        </w:rPr>
        <w:tab/>
      </w:r>
      <w:bookmarkStart w:id="95" w:name="_Toc44690710"/>
      <w:bookmarkStart w:id="96" w:name="_Toc44691169"/>
      <w:bookmarkStart w:id="97" w:name="_Toc44690437"/>
      <w:bookmarkStart w:id="98" w:name="_Toc44691401"/>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0" w:name="_Toc135293192"/>
      <w:r>
        <w:rPr>
          <w:rFonts w:hint="eastAsia"/>
        </w:rPr>
        <w:t>第八章  合同条款</w:t>
      </w:r>
      <w:bookmarkEnd w:id="100"/>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1" w:name="_Toc73610161"/>
      <w:bookmarkStart w:id="102" w:name="_Toc135293193"/>
      <w:r>
        <w:rPr>
          <w:rFonts w:hint="eastAsia"/>
        </w:rPr>
        <w:t>第九章  附件</w:t>
      </w:r>
      <w:bookmarkEnd w:id="101"/>
      <w:bookmarkEnd w:id="102"/>
    </w:p>
    <w:p w14:paraId="3C84BC95">
      <w:pPr>
        <w:pStyle w:val="4"/>
        <w:spacing w:before="0" w:after="0"/>
      </w:pPr>
      <w:bookmarkStart w:id="103" w:name="_Toc73610162"/>
      <w:bookmarkStart w:id="104" w:name="_Toc135293194"/>
      <w:bookmarkStart w:id="105" w:name="_Toc73613644"/>
      <w:r>
        <w:rPr>
          <w:rFonts w:hint="eastAsia"/>
        </w:rPr>
        <w:t>一、财政部 工业和信息化部关于印发《政府采购促进中小企业发展管理办法》的通知</w:t>
      </w:r>
      <w:bookmarkEnd w:id="103"/>
      <w:bookmarkEnd w:id="104"/>
      <w:bookmarkEnd w:id="105"/>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6" w:name="_Toc135293195"/>
      <w:bookmarkStart w:id="107" w:name="_Toc73610163"/>
      <w:bookmarkStart w:id="108" w:name="_Toc73613645"/>
      <w:r>
        <w:rPr>
          <w:rFonts w:hint="eastAsia"/>
        </w:rPr>
        <w:t>二、关于印发中小企业划型标准规定的通知</w:t>
      </w:r>
      <w:bookmarkEnd w:id="106"/>
      <w:bookmarkEnd w:id="107"/>
      <w:bookmarkEnd w:id="108"/>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9" w:name="_Toc73610164"/>
      <w:bookmarkStart w:id="110" w:name="_Toc135293196"/>
      <w:bookmarkStart w:id="111" w:name="_Toc73613646"/>
      <w:r>
        <w:rPr>
          <w:rFonts w:hint="eastAsia"/>
        </w:rPr>
        <w:t>三、</w:t>
      </w:r>
      <w:r>
        <w:t>国家统计局关于印发《统计上大中小微型企业划分办法 （2017）》的通知</w:t>
      </w:r>
      <w:bookmarkEnd w:id="109"/>
      <w:bookmarkEnd w:id="110"/>
      <w:bookmarkEnd w:id="111"/>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2" w:name="_Toc73613647"/>
      <w:bookmarkStart w:id="113" w:name="_Toc135293197"/>
      <w:bookmarkStart w:id="114" w:name="_Toc73610165"/>
      <w:r>
        <w:rPr>
          <w:rFonts w:hint="eastAsia"/>
        </w:rPr>
        <w:t>四、</w:t>
      </w:r>
      <w:r>
        <w:t>财政部 民政部 中国残疾人联合会关于促进残疾人就业 政府采购政策的通知</w:t>
      </w:r>
      <w:bookmarkEnd w:id="112"/>
      <w:bookmarkEnd w:id="113"/>
      <w:bookmarkEnd w:id="114"/>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w:t>
    </w:r>
    <w:r>
      <w:rPr>
        <w:rFonts w:hint="eastAsia"/>
        <w:lang w:eastAsia="zh-CN"/>
      </w:rPr>
      <w:t>计算机X射线断层扫描仪（CT680)维保</w:t>
    </w:r>
    <w:r>
      <w:rPr>
        <w:rFonts w:hint="eastAsia"/>
      </w:rPr>
      <w:t xml:space="preserve">                             项目编号：</w:t>
    </w:r>
    <w:r>
      <w:rPr>
        <w:rFonts w:hint="eastAsia" w:asciiTheme="minorEastAsia" w:hAnsiTheme="minorEastAsia" w:eastAsiaTheme="minorEastAsia"/>
        <w:lang w:eastAsia="zh-CN"/>
      </w:rPr>
      <w:t>SZZZ2026-QC0057</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378"/>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6FE2"/>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3870D5"/>
    <w:rsid w:val="024D4C30"/>
    <w:rsid w:val="026E4F91"/>
    <w:rsid w:val="02C77214"/>
    <w:rsid w:val="02CB1CF7"/>
    <w:rsid w:val="03490DCF"/>
    <w:rsid w:val="035F4222"/>
    <w:rsid w:val="03675DAC"/>
    <w:rsid w:val="039C57C0"/>
    <w:rsid w:val="03B11233"/>
    <w:rsid w:val="03B35F94"/>
    <w:rsid w:val="03B756A2"/>
    <w:rsid w:val="041D095D"/>
    <w:rsid w:val="04671F17"/>
    <w:rsid w:val="054247C4"/>
    <w:rsid w:val="05C87DB9"/>
    <w:rsid w:val="07256C9C"/>
    <w:rsid w:val="077E586F"/>
    <w:rsid w:val="07DD5502"/>
    <w:rsid w:val="07EC69C8"/>
    <w:rsid w:val="08425EAC"/>
    <w:rsid w:val="08B576D2"/>
    <w:rsid w:val="0937162B"/>
    <w:rsid w:val="0961739E"/>
    <w:rsid w:val="098E6083"/>
    <w:rsid w:val="09D354E6"/>
    <w:rsid w:val="0A7D421F"/>
    <w:rsid w:val="0AC03ED3"/>
    <w:rsid w:val="0ADA4400"/>
    <w:rsid w:val="0B205B2B"/>
    <w:rsid w:val="0B3D0378"/>
    <w:rsid w:val="0B6A0A99"/>
    <w:rsid w:val="0B770C6E"/>
    <w:rsid w:val="0B782559"/>
    <w:rsid w:val="0B87348D"/>
    <w:rsid w:val="0BD065D0"/>
    <w:rsid w:val="0BFD483A"/>
    <w:rsid w:val="0C1E44EF"/>
    <w:rsid w:val="0C5B67E0"/>
    <w:rsid w:val="0CA57A5D"/>
    <w:rsid w:val="0CBD0903"/>
    <w:rsid w:val="0CE57E5A"/>
    <w:rsid w:val="0D0D77DA"/>
    <w:rsid w:val="0D256CBB"/>
    <w:rsid w:val="0D441DE7"/>
    <w:rsid w:val="0D49488C"/>
    <w:rsid w:val="0D4A7529"/>
    <w:rsid w:val="0D566BC9"/>
    <w:rsid w:val="0D7C1890"/>
    <w:rsid w:val="0D8B597D"/>
    <w:rsid w:val="0D920C55"/>
    <w:rsid w:val="0E180322"/>
    <w:rsid w:val="0E341099"/>
    <w:rsid w:val="0E5928AD"/>
    <w:rsid w:val="0E8C4995"/>
    <w:rsid w:val="0EE77EB9"/>
    <w:rsid w:val="0EF27BFB"/>
    <w:rsid w:val="0F0D2BA7"/>
    <w:rsid w:val="0F1E55F5"/>
    <w:rsid w:val="0F2C6688"/>
    <w:rsid w:val="0F6A604F"/>
    <w:rsid w:val="0F9A13CF"/>
    <w:rsid w:val="0FBC50EF"/>
    <w:rsid w:val="10050C09"/>
    <w:rsid w:val="105A7CF8"/>
    <w:rsid w:val="10B03A60"/>
    <w:rsid w:val="11080DB5"/>
    <w:rsid w:val="111D63CD"/>
    <w:rsid w:val="11232BA3"/>
    <w:rsid w:val="114573C0"/>
    <w:rsid w:val="115F3FD7"/>
    <w:rsid w:val="11834124"/>
    <w:rsid w:val="11A259DD"/>
    <w:rsid w:val="11BA4BC1"/>
    <w:rsid w:val="11D8450A"/>
    <w:rsid w:val="11D90C91"/>
    <w:rsid w:val="11F9269A"/>
    <w:rsid w:val="120474A0"/>
    <w:rsid w:val="12C32C8D"/>
    <w:rsid w:val="12E35254"/>
    <w:rsid w:val="12ED5EA4"/>
    <w:rsid w:val="13102ABE"/>
    <w:rsid w:val="13A46CB7"/>
    <w:rsid w:val="14CF5677"/>
    <w:rsid w:val="158324C4"/>
    <w:rsid w:val="16105F47"/>
    <w:rsid w:val="167D280D"/>
    <w:rsid w:val="16924BAE"/>
    <w:rsid w:val="17047766"/>
    <w:rsid w:val="170A4C85"/>
    <w:rsid w:val="174A5413"/>
    <w:rsid w:val="17706018"/>
    <w:rsid w:val="17935895"/>
    <w:rsid w:val="17EB6CC4"/>
    <w:rsid w:val="17F52C18"/>
    <w:rsid w:val="1807166C"/>
    <w:rsid w:val="181B27DD"/>
    <w:rsid w:val="184530EF"/>
    <w:rsid w:val="187842FE"/>
    <w:rsid w:val="19227A4B"/>
    <w:rsid w:val="19410B0E"/>
    <w:rsid w:val="198336DF"/>
    <w:rsid w:val="1991739F"/>
    <w:rsid w:val="19AB4F43"/>
    <w:rsid w:val="19AF3CC9"/>
    <w:rsid w:val="1A0D0F4E"/>
    <w:rsid w:val="1A182B91"/>
    <w:rsid w:val="1A3B761A"/>
    <w:rsid w:val="1A4E7B88"/>
    <w:rsid w:val="1ABE67E3"/>
    <w:rsid w:val="1AFF0E5E"/>
    <w:rsid w:val="1B3E182A"/>
    <w:rsid w:val="1B4B5195"/>
    <w:rsid w:val="1BCC0734"/>
    <w:rsid w:val="1C174C6F"/>
    <w:rsid w:val="1C7C020D"/>
    <w:rsid w:val="1C8F78BA"/>
    <w:rsid w:val="1C9B0D84"/>
    <w:rsid w:val="1CDD3F3B"/>
    <w:rsid w:val="1CF4606C"/>
    <w:rsid w:val="1D4D6869"/>
    <w:rsid w:val="1D5A3F4C"/>
    <w:rsid w:val="1DD01078"/>
    <w:rsid w:val="1DF42FCA"/>
    <w:rsid w:val="1E5866DD"/>
    <w:rsid w:val="1E894AE9"/>
    <w:rsid w:val="1F654F8F"/>
    <w:rsid w:val="1F922B90"/>
    <w:rsid w:val="20252FDD"/>
    <w:rsid w:val="20707345"/>
    <w:rsid w:val="20FD7003"/>
    <w:rsid w:val="21760101"/>
    <w:rsid w:val="219F72F5"/>
    <w:rsid w:val="22342FBD"/>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DB1312"/>
    <w:rsid w:val="24E337F8"/>
    <w:rsid w:val="252C71BA"/>
    <w:rsid w:val="258D3B57"/>
    <w:rsid w:val="25A47069"/>
    <w:rsid w:val="25CE1A57"/>
    <w:rsid w:val="262336EE"/>
    <w:rsid w:val="269E4C0C"/>
    <w:rsid w:val="27024D1A"/>
    <w:rsid w:val="27435A51"/>
    <w:rsid w:val="277327DA"/>
    <w:rsid w:val="278C78CF"/>
    <w:rsid w:val="278F0C96"/>
    <w:rsid w:val="27AA4F6F"/>
    <w:rsid w:val="283437D1"/>
    <w:rsid w:val="28776D28"/>
    <w:rsid w:val="28810ED5"/>
    <w:rsid w:val="28823097"/>
    <w:rsid w:val="28AF4EEF"/>
    <w:rsid w:val="28F7242D"/>
    <w:rsid w:val="28FB65E3"/>
    <w:rsid w:val="29076E89"/>
    <w:rsid w:val="29385A89"/>
    <w:rsid w:val="296806C9"/>
    <w:rsid w:val="29A30A29"/>
    <w:rsid w:val="29F00112"/>
    <w:rsid w:val="2A161A99"/>
    <w:rsid w:val="2A7615AE"/>
    <w:rsid w:val="2ABC5B85"/>
    <w:rsid w:val="2AD85037"/>
    <w:rsid w:val="2B002AD1"/>
    <w:rsid w:val="2B1B2E90"/>
    <w:rsid w:val="2B7F003F"/>
    <w:rsid w:val="2BC03B14"/>
    <w:rsid w:val="2BD0253B"/>
    <w:rsid w:val="2C187060"/>
    <w:rsid w:val="2C444480"/>
    <w:rsid w:val="2C564DC3"/>
    <w:rsid w:val="2C5B55EB"/>
    <w:rsid w:val="2CA63A0C"/>
    <w:rsid w:val="2CBA13DB"/>
    <w:rsid w:val="2CD80BE3"/>
    <w:rsid w:val="2CE90E48"/>
    <w:rsid w:val="2D047A30"/>
    <w:rsid w:val="2D0D4B37"/>
    <w:rsid w:val="2D6C141D"/>
    <w:rsid w:val="2DEA2B8B"/>
    <w:rsid w:val="2E980D64"/>
    <w:rsid w:val="2EB64B4B"/>
    <w:rsid w:val="2EDB590A"/>
    <w:rsid w:val="2EEC3DE1"/>
    <w:rsid w:val="2F0A29E3"/>
    <w:rsid w:val="2F0B597D"/>
    <w:rsid w:val="2F9438EC"/>
    <w:rsid w:val="301E3330"/>
    <w:rsid w:val="30601421"/>
    <w:rsid w:val="30817D6A"/>
    <w:rsid w:val="30A81DCB"/>
    <w:rsid w:val="3157114E"/>
    <w:rsid w:val="315D7CF4"/>
    <w:rsid w:val="31892A88"/>
    <w:rsid w:val="31F2037F"/>
    <w:rsid w:val="32476D3D"/>
    <w:rsid w:val="32736FBC"/>
    <w:rsid w:val="329B11F6"/>
    <w:rsid w:val="32B85545"/>
    <w:rsid w:val="3307578E"/>
    <w:rsid w:val="336E087E"/>
    <w:rsid w:val="33867E53"/>
    <w:rsid w:val="33A85DA6"/>
    <w:rsid w:val="33C3087D"/>
    <w:rsid w:val="344C0413"/>
    <w:rsid w:val="344F5E45"/>
    <w:rsid w:val="34842E9F"/>
    <w:rsid w:val="34FA7B3A"/>
    <w:rsid w:val="350F28AA"/>
    <w:rsid w:val="35142649"/>
    <w:rsid w:val="358B59B8"/>
    <w:rsid w:val="35961B12"/>
    <w:rsid w:val="35AC21F8"/>
    <w:rsid w:val="364523AD"/>
    <w:rsid w:val="36700D38"/>
    <w:rsid w:val="368636C2"/>
    <w:rsid w:val="36C4673D"/>
    <w:rsid w:val="36EC7EB3"/>
    <w:rsid w:val="377C6DA9"/>
    <w:rsid w:val="37B10B63"/>
    <w:rsid w:val="37D17C49"/>
    <w:rsid w:val="37DC0287"/>
    <w:rsid w:val="387624AA"/>
    <w:rsid w:val="388C7258"/>
    <w:rsid w:val="38950836"/>
    <w:rsid w:val="38CD59D5"/>
    <w:rsid w:val="3900628A"/>
    <w:rsid w:val="390721D7"/>
    <w:rsid w:val="39322211"/>
    <w:rsid w:val="393B510C"/>
    <w:rsid w:val="393E7417"/>
    <w:rsid w:val="393F4767"/>
    <w:rsid w:val="394549BB"/>
    <w:rsid w:val="39A97E97"/>
    <w:rsid w:val="3A260C29"/>
    <w:rsid w:val="3A461688"/>
    <w:rsid w:val="3A5A5133"/>
    <w:rsid w:val="3A651F6E"/>
    <w:rsid w:val="3AA53060"/>
    <w:rsid w:val="3AD26068"/>
    <w:rsid w:val="3B57268D"/>
    <w:rsid w:val="3B6176CE"/>
    <w:rsid w:val="3B785ADF"/>
    <w:rsid w:val="3B94571E"/>
    <w:rsid w:val="3BF9504C"/>
    <w:rsid w:val="3C145EE2"/>
    <w:rsid w:val="3C872BFA"/>
    <w:rsid w:val="3C9D3F8B"/>
    <w:rsid w:val="3CA60B04"/>
    <w:rsid w:val="3CCF5E45"/>
    <w:rsid w:val="3CDC1EBA"/>
    <w:rsid w:val="3CF11603"/>
    <w:rsid w:val="3D5129F3"/>
    <w:rsid w:val="3D515A8A"/>
    <w:rsid w:val="3D623CEE"/>
    <w:rsid w:val="3D7507FB"/>
    <w:rsid w:val="3DFD6502"/>
    <w:rsid w:val="3EB5127A"/>
    <w:rsid w:val="3EF341BE"/>
    <w:rsid w:val="3F2A1578"/>
    <w:rsid w:val="3F503E5E"/>
    <w:rsid w:val="3F5E53B5"/>
    <w:rsid w:val="3F7942AE"/>
    <w:rsid w:val="3F812CA8"/>
    <w:rsid w:val="3FB547D5"/>
    <w:rsid w:val="3FBE2D92"/>
    <w:rsid w:val="3FC16214"/>
    <w:rsid w:val="3FC7326B"/>
    <w:rsid w:val="41576FF8"/>
    <w:rsid w:val="418F600A"/>
    <w:rsid w:val="41D9164E"/>
    <w:rsid w:val="41DD521D"/>
    <w:rsid w:val="41FB544E"/>
    <w:rsid w:val="421870CD"/>
    <w:rsid w:val="423B7022"/>
    <w:rsid w:val="429A23DC"/>
    <w:rsid w:val="42A87124"/>
    <w:rsid w:val="42CE4643"/>
    <w:rsid w:val="42D633EC"/>
    <w:rsid w:val="430239C6"/>
    <w:rsid w:val="43532EC5"/>
    <w:rsid w:val="4389060E"/>
    <w:rsid w:val="43C8028A"/>
    <w:rsid w:val="43CB5BBA"/>
    <w:rsid w:val="43D51667"/>
    <w:rsid w:val="443B2C25"/>
    <w:rsid w:val="444A6219"/>
    <w:rsid w:val="444C5F27"/>
    <w:rsid w:val="444D107D"/>
    <w:rsid w:val="44534E21"/>
    <w:rsid w:val="448421F1"/>
    <w:rsid w:val="44B931B7"/>
    <w:rsid w:val="44DC50C3"/>
    <w:rsid w:val="44EA2531"/>
    <w:rsid w:val="45157945"/>
    <w:rsid w:val="458F0387"/>
    <w:rsid w:val="45920C15"/>
    <w:rsid w:val="459D2A33"/>
    <w:rsid w:val="45B8545F"/>
    <w:rsid w:val="45D37D9B"/>
    <w:rsid w:val="464949DA"/>
    <w:rsid w:val="474642BA"/>
    <w:rsid w:val="47C817CD"/>
    <w:rsid w:val="48194FD5"/>
    <w:rsid w:val="484514CB"/>
    <w:rsid w:val="48AD2FFF"/>
    <w:rsid w:val="48C86EE1"/>
    <w:rsid w:val="498272AD"/>
    <w:rsid w:val="49A34BDC"/>
    <w:rsid w:val="49BF4FB3"/>
    <w:rsid w:val="49FA6EF8"/>
    <w:rsid w:val="4A0701BA"/>
    <w:rsid w:val="4A784961"/>
    <w:rsid w:val="4A92408F"/>
    <w:rsid w:val="4ACF3A3C"/>
    <w:rsid w:val="4B0335DA"/>
    <w:rsid w:val="4B121AEC"/>
    <w:rsid w:val="4B1700DF"/>
    <w:rsid w:val="4C083D73"/>
    <w:rsid w:val="4C085898"/>
    <w:rsid w:val="4C26053C"/>
    <w:rsid w:val="4C373527"/>
    <w:rsid w:val="4C787A00"/>
    <w:rsid w:val="4CC805CD"/>
    <w:rsid w:val="4CD90E2A"/>
    <w:rsid w:val="4DBA3F5F"/>
    <w:rsid w:val="4DF44BDC"/>
    <w:rsid w:val="4E055E94"/>
    <w:rsid w:val="4E1910C7"/>
    <w:rsid w:val="4EA721ED"/>
    <w:rsid w:val="4EB175C0"/>
    <w:rsid w:val="4ECC43FA"/>
    <w:rsid w:val="4F0F6A19"/>
    <w:rsid w:val="4FAE1D52"/>
    <w:rsid w:val="503F5F4B"/>
    <w:rsid w:val="511B068A"/>
    <w:rsid w:val="514635A0"/>
    <w:rsid w:val="51D10A66"/>
    <w:rsid w:val="51D51CE1"/>
    <w:rsid w:val="528A390F"/>
    <w:rsid w:val="528C6991"/>
    <w:rsid w:val="52C3297B"/>
    <w:rsid w:val="52E350B6"/>
    <w:rsid w:val="52FE08FA"/>
    <w:rsid w:val="53397B84"/>
    <w:rsid w:val="53CA4C80"/>
    <w:rsid w:val="54054633"/>
    <w:rsid w:val="540605E4"/>
    <w:rsid w:val="54613122"/>
    <w:rsid w:val="546F7BC9"/>
    <w:rsid w:val="547F0032"/>
    <w:rsid w:val="54A02A20"/>
    <w:rsid w:val="54B27BEE"/>
    <w:rsid w:val="55B24F8F"/>
    <w:rsid w:val="55C87B3E"/>
    <w:rsid w:val="56714961"/>
    <w:rsid w:val="56CE6835"/>
    <w:rsid w:val="57142FA7"/>
    <w:rsid w:val="572B3C88"/>
    <w:rsid w:val="5780753C"/>
    <w:rsid w:val="57F33150"/>
    <w:rsid w:val="58677DAE"/>
    <w:rsid w:val="586A6E17"/>
    <w:rsid w:val="58C20CEE"/>
    <w:rsid w:val="58D67D8C"/>
    <w:rsid w:val="58E10577"/>
    <w:rsid w:val="59165EF7"/>
    <w:rsid w:val="59702A12"/>
    <w:rsid w:val="597162CA"/>
    <w:rsid w:val="59CF1242"/>
    <w:rsid w:val="5A8A44FA"/>
    <w:rsid w:val="5AC318FC"/>
    <w:rsid w:val="5AE46F75"/>
    <w:rsid w:val="5AED2A9C"/>
    <w:rsid w:val="5AEF46FA"/>
    <w:rsid w:val="5B0F66FA"/>
    <w:rsid w:val="5B785330"/>
    <w:rsid w:val="5BA97F8E"/>
    <w:rsid w:val="5BC746C9"/>
    <w:rsid w:val="5C3D06E5"/>
    <w:rsid w:val="5CC61F72"/>
    <w:rsid w:val="5CF206F7"/>
    <w:rsid w:val="5D125E69"/>
    <w:rsid w:val="5D440F45"/>
    <w:rsid w:val="5D6121B1"/>
    <w:rsid w:val="5DA764EE"/>
    <w:rsid w:val="5E056FE1"/>
    <w:rsid w:val="5E7466D9"/>
    <w:rsid w:val="5EA0340D"/>
    <w:rsid w:val="5ED66C3C"/>
    <w:rsid w:val="5EE017FC"/>
    <w:rsid w:val="5EF04A06"/>
    <w:rsid w:val="5F385194"/>
    <w:rsid w:val="5F7A468D"/>
    <w:rsid w:val="5F9E76ED"/>
    <w:rsid w:val="5FDD643B"/>
    <w:rsid w:val="607249AE"/>
    <w:rsid w:val="609A7A59"/>
    <w:rsid w:val="60BA3E42"/>
    <w:rsid w:val="610619ED"/>
    <w:rsid w:val="610F6AD4"/>
    <w:rsid w:val="61125007"/>
    <w:rsid w:val="61181E1C"/>
    <w:rsid w:val="613D2A76"/>
    <w:rsid w:val="615479C2"/>
    <w:rsid w:val="6155072E"/>
    <w:rsid w:val="617A7A66"/>
    <w:rsid w:val="6194383B"/>
    <w:rsid w:val="61A415C7"/>
    <w:rsid w:val="61C71D9F"/>
    <w:rsid w:val="61CB5375"/>
    <w:rsid w:val="61F21F72"/>
    <w:rsid w:val="623348CA"/>
    <w:rsid w:val="625421DB"/>
    <w:rsid w:val="62E022D1"/>
    <w:rsid w:val="62F038B9"/>
    <w:rsid w:val="631E435E"/>
    <w:rsid w:val="63D11B11"/>
    <w:rsid w:val="64AC0915"/>
    <w:rsid w:val="64B37F11"/>
    <w:rsid w:val="64C319A4"/>
    <w:rsid w:val="65492532"/>
    <w:rsid w:val="65687212"/>
    <w:rsid w:val="65823700"/>
    <w:rsid w:val="658254E1"/>
    <w:rsid w:val="65A74E21"/>
    <w:rsid w:val="65C05392"/>
    <w:rsid w:val="65CA685B"/>
    <w:rsid w:val="65CF34A7"/>
    <w:rsid w:val="65E106B0"/>
    <w:rsid w:val="65F660EF"/>
    <w:rsid w:val="661E1452"/>
    <w:rsid w:val="66293A88"/>
    <w:rsid w:val="6650370B"/>
    <w:rsid w:val="6673798C"/>
    <w:rsid w:val="66B912B0"/>
    <w:rsid w:val="66C37115"/>
    <w:rsid w:val="66F83B86"/>
    <w:rsid w:val="673905B6"/>
    <w:rsid w:val="67BB4BB4"/>
    <w:rsid w:val="681C3942"/>
    <w:rsid w:val="68460AAC"/>
    <w:rsid w:val="68633FD7"/>
    <w:rsid w:val="68AC1CFE"/>
    <w:rsid w:val="68EC626C"/>
    <w:rsid w:val="691119A7"/>
    <w:rsid w:val="69227F4C"/>
    <w:rsid w:val="69F0323B"/>
    <w:rsid w:val="6A1C5DDE"/>
    <w:rsid w:val="6A42482C"/>
    <w:rsid w:val="6A66756A"/>
    <w:rsid w:val="6A8D3F8A"/>
    <w:rsid w:val="6BA51E03"/>
    <w:rsid w:val="6BBD7356"/>
    <w:rsid w:val="6BCD1DE6"/>
    <w:rsid w:val="6BE752F5"/>
    <w:rsid w:val="6BF0181F"/>
    <w:rsid w:val="6C2F408D"/>
    <w:rsid w:val="6C4443B0"/>
    <w:rsid w:val="6C505023"/>
    <w:rsid w:val="6CCE7457"/>
    <w:rsid w:val="6CF41368"/>
    <w:rsid w:val="6D14299F"/>
    <w:rsid w:val="6D183749"/>
    <w:rsid w:val="6D36544D"/>
    <w:rsid w:val="6D567D42"/>
    <w:rsid w:val="6D581766"/>
    <w:rsid w:val="6D672A1E"/>
    <w:rsid w:val="6DC237D1"/>
    <w:rsid w:val="6E2F4B86"/>
    <w:rsid w:val="6E681EA9"/>
    <w:rsid w:val="6E804461"/>
    <w:rsid w:val="6E8421A4"/>
    <w:rsid w:val="6E9D76C9"/>
    <w:rsid w:val="6EB56801"/>
    <w:rsid w:val="6EC37423"/>
    <w:rsid w:val="6F40725E"/>
    <w:rsid w:val="6F4C2770"/>
    <w:rsid w:val="6F745D74"/>
    <w:rsid w:val="6F8F2BAE"/>
    <w:rsid w:val="6FB84347"/>
    <w:rsid w:val="6FC23A75"/>
    <w:rsid w:val="704D7B76"/>
    <w:rsid w:val="70AE175A"/>
    <w:rsid w:val="711172CF"/>
    <w:rsid w:val="71A90FEC"/>
    <w:rsid w:val="71B10318"/>
    <w:rsid w:val="71FD54DD"/>
    <w:rsid w:val="72095D2E"/>
    <w:rsid w:val="722C0B88"/>
    <w:rsid w:val="729A3A97"/>
    <w:rsid w:val="72CA287C"/>
    <w:rsid w:val="730D7EC7"/>
    <w:rsid w:val="73515B1A"/>
    <w:rsid w:val="73774085"/>
    <w:rsid w:val="738E7E4C"/>
    <w:rsid w:val="739A7F5B"/>
    <w:rsid w:val="73C66DBA"/>
    <w:rsid w:val="7410294D"/>
    <w:rsid w:val="74275AAB"/>
    <w:rsid w:val="742C2BF6"/>
    <w:rsid w:val="748A5B1E"/>
    <w:rsid w:val="749E3893"/>
    <w:rsid w:val="74C6745B"/>
    <w:rsid w:val="750464B4"/>
    <w:rsid w:val="75107655"/>
    <w:rsid w:val="752B4572"/>
    <w:rsid w:val="76373F9F"/>
    <w:rsid w:val="76535CB4"/>
    <w:rsid w:val="765B0B31"/>
    <w:rsid w:val="76D71644"/>
    <w:rsid w:val="76EE69B8"/>
    <w:rsid w:val="77217DD5"/>
    <w:rsid w:val="776C2FB6"/>
    <w:rsid w:val="789611C4"/>
    <w:rsid w:val="78E65653"/>
    <w:rsid w:val="78E711F4"/>
    <w:rsid w:val="790C34C1"/>
    <w:rsid w:val="798117D6"/>
    <w:rsid w:val="79982284"/>
    <w:rsid w:val="7998662D"/>
    <w:rsid w:val="79F820B0"/>
    <w:rsid w:val="7A2F2846"/>
    <w:rsid w:val="7A8C5878"/>
    <w:rsid w:val="7ADA52D9"/>
    <w:rsid w:val="7AFB559C"/>
    <w:rsid w:val="7B471854"/>
    <w:rsid w:val="7B780028"/>
    <w:rsid w:val="7C552333"/>
    <w:rsid w:val="7C72188D"/>
    <w:rsid w:val="7CA86C55"/>
    <w:rsid w:val="7CDA5B60"/>
    <w:rsid w:val="7CF019C1"/>
    <w:rsid w:val="7D075033"/>
    <w:rsid w:val="7D461CAD"/>
    <w:rsid w:val="7D8C5614"/>
    <w:rsid w:val="7DB023C3"/>
    <w:rsid w:val="7E28286A"/>
    <w:rsid w:val="7E4515FE"/>
    <w:rsid w:val="7EAD59B2"/>
    <w:rsid w:val="7EBF11BA"/>
    <w:rsid w:val="7EF926A5"/>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8"/>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autoRedefine/>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9"/>
    <w:unhideWhenUsed/>
    <w:qFormat/>
    <w:uiPriority w:val="0"/>
    <w:pPr>
      <w:spacing w:after="120"/>
    </w:pPr>
    <w:rPr>
      <w:sz w:val="16"/>
      <w:szCs w:val="16"/>
    </w:rPr>
  </w:style>
  <w:style w:type="paragraph" w:styleId="20">
    <w:name w:val="Body Text"/>
    <w:basedOn w:val="1"/>
    <w:next w:val="21"/>
    <w:link w:val="72"/>
    <w:qFormat/>
    <w:uiPriority w:val="0"/>
    <w:pPr>
      <w:spacing w:after="120"/>
    </w:pPr>
  </w:style>
  <w:style w:type="paragraph" w:styleId="21">
    <w:name w:val="Body Text 2"/>
    <w:basedOn w:val="1"/>
    <w:link w:val="307"/>
    <w:autoRedefine/>
    <w:qFormat/>
    <w:uiPriority w:val="0"/>
    <w:rPr>
      <w:sz w:val="28"/>
      <w:szCs w:val="20"/>
    </w:rPr>
  </w:style>
  <w:style w:type="paragraph" w:styleId="22">
    <w:name w:val="Body Text Indent"/>
    <w:basedOn w:val="1"/>
    <w:link w:val="75"/>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6"/>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7"/>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autoRedefine/>
    <w:qFormat/>
    <w:uiPriority w:val="0"/>
    <w:pPr>
      <w:spacing w:after="120" w:line="480" w:lineRule="auto"/>
      <w:ind w:left="420" w:leftChars="200"/>
    </w:pPr>
  </w:style>
  <w:style w:type="paragraph" w:styleId="31">
    <w:name w:val="Balloon Text"/>
    <w:basedOn w:val="1"/>
    <w:link w:val="78"/>
    <w:autoRedefine/>
    <w:qFormat/>
    <w:uiPriority w:val="0"/>
    <w:rPr>
      <w:sz w:val="18"/>
      <w:szCs w:val="18"/>
    </w:rPr>
  </w:style>
  <w:style w:type="paragraph" w:styleId="32">
    <w:name w:val="footer"/>
    <w:basedOn w:val="1"/>
    <w:link w:val="79"/>
    <w:autoRedefine/>
    <w:qFormat/>
    <w:uiPriority w:val="99"/>
    <w:pPr>
      <w:tabs>
        <w:tab w:val="center" w:pos="4153"/>
        <w:tab w:val="right" w:pos="8306"/>
      </w:tabs>
      <w:snapToGrid w:val="0"/>
      <w:jc w:val="left"/>
    </w:pPr>
    <w:rPr>
      <w:sz w:val="18"/>
      <w:szCs w:val="18"/>
    </w:rPr>
  </w:style>
  <w:style w:type="paragraph" w:styleId="33">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8"/>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2"/>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4"/>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2"/>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1"/>
    <w:qFormat/>
    <w:uiPriority w:val="0"/>
    <w:rPr>
      <w:b/>
      <w:bCs/>
    </w:rPr>
  </w:style>
  <w:style w:type="paragraph" w:styleId="48">
    <w:name w:val="Body Text First Indent"/>
    <w:basedOn w:val="20"/>
    <w:link w:val="73"/>
    <w:autoRedefine/>
    <w:qFormat/>
    <w:uiPriority w:val="0"/>
    <w:pPr>
      <w:ind w:firstLine="420" w:firstLineChars="100"/>
    </w:pPr>
  </w:style>
  <w:style w:type="paragraph" w:styleId="49">
    <w:name w:val="Body Text First Indent 2"/>
    <w:basedOn w:val="22"/>
    <w:link w:val="293"/>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paragraph" w:customStyle="1" w:styleId="59">
    <w:name w:val="样式 行距: 1.5 倍行距 首行缩进:  2 字符"/>
    <w:basedOn w:val="1"/>
    <w:qFormat/>
    <w:uiPriority w:val="0"/>
    <w:pPr>
      <w:adjustRightInd w:val="0"/>
      <w:snapToGrid w:val="0"/>
      <w:spacing w:line="460" w:lineRule="exact"/>
    </w:pPr>
  </w:style>
  <w:style w:type="character" w:customStyle="1" w:styleId="60">
    <w:name w:val="标题 3 Char"/>
    <w:basedOn w:val="52"/>
    <w:link w:val="3"/>
    <w:qFormat/>
    <w:uiPriority w:val="0"/>
    <w:rPr>
      <w:b/>
      <w:bCs/>
      <w:kern w:val="2"/>
      <w:sz w:val="24"/>
      <w:szCs w:val="32"/>
    </w:rPr>
  </w:style>
  <w:style w:type="character" w:customStyle="1" w:styleId="61">
    <w:name w:val="标题 1 Char"/>
    <w:basedOn w:val="52"/>
    <w:link w:val="2"/>
    <w:qFormat/>
    <w:uiPriority w:val="0"/>
    <w:rPr>
      <w:rFonts w:eastAsiaTheme="minorEastAsia"/>
      <w:b/>
      <w:kern w:val="44"/>
      <w:sz w:val="44"/>
      <w:szCs w:val="28"/>
    </w:rPr>
  </w:style>
  <w:style w:type="character" w:customStyle="1" w:styleId="62">
    <w:name w:val="标题 2 Char"/>
    <w:basedOn w:val="52"/>
    <w:link w:val="4"/>
    <w:autoRedefine/>
    <w:qFormat/>
    <w:uiPriority w:val="0"/>
    <w:rPr>
      <w:rFonts w:ascii="Arial" w:hAnsi="Arial" w:eastAsiaTheme="minorEastAsia"/>
      <w:b/>
      <w:bCs/>
      <w:kern w:val="2"/>
      <w:sz w:val="28"/>
      <w:szCs w:val="32"/>
    </w:rPr>
  </w:style>
  <w:style w:type="character" w:customStyle="1" w:styleId="63">
    <w:name w:val="标题 4 Char1"/>
    <w:basedOn w:val="52"/>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2"/>
    <w:link w:val="6"/>
    <w:autoRedefine/>
    <w:qFormat/>
    <w:uiPriority w:val="0"/>
    <w:rPr>
      <w:b/>
      <w:kern w:val="2"/>
      <w:sz w:val="28"/>
      <w:szCs w:val="24"/>
    </w:rPr>
  </w:style>
  <w:style w:type="character" w:customStyle="1" w:styleId="66">
    <w:name w:val="标题 6 Char1"/>
    <w:basedOn w:val="52"/>
    <w:link w:val="8"/>
    <w:autoRedefine/>
    <w:qFormat/>
    <w:uiPriority w:val="9"/>
    <w:rPr>
      <w:rFonts w:ascii="Arial" w:hAnsi="Arial" w:eastAsia="黑体"/>
      <w:b/>
      <w:kern w:val="2"/>
      <w:sz w:val="24"/>
      <w:szCs w:val="24"/>
    </w:rPr>
  </w:style>
  <w:style w:type="character" w:customStyle="1" w:styleId="67">
    <w:name w:val="标题 7 Char1"/>
    <w:basedOn w:val="52"/>
    <w:link w:val="9"/>
    <w:autoRedefine/>
    <w:qFormat/>
    <w:uiPriority w:val="9"/>
    <w:rPr>
      <w:b/>
      <w:kern w:val="2"/>
      <w:sz w:val="24"/>
      <w:szCs w:val="24"/>
    </w:rPr>
  </w:style>
  <w:style w:type="character" w:customStyle="1" w:styleId="68">
    <w:name w:val="标题 8 Char1"/>
    <w:basedOn w:val="52"/>
    <w:link w:val="10"/>
    <w:autoRedefine/>
    <w:qFormat/>
    <w:uiPriority w:val="9"/>
    <w:rPr>
      <w:rFonts w:ascii="Arial" w:hAnsi="Arial" w:eastAsia="黑体"/>
      <w:kern w:val="2"/>
      <w:sz w:val="24"/>
      <w:szCs w:val="24"/>
    </w:rPr>
  </w:style>
  <w:style w:type="character" w:customStyle="1" w:styleId="69">
    <w:name w:val="标题 9 Char1"/>
    <w:basedOn w:val="52"/>
    <w:link w:val="11"/>
    <w:autoRedefine/>
    <w:qFormat/>
    <w:uiPriority w:val="0"/>
    <w:rPr>
      <w:rFonts w:ascii="Arial" w:hAnsi="Arial" w:eastAsia="黑体"/>
      <w:kern w:val="2"/>
      <w:sz w:val="21"/>
      <w:szCs w:val="24"/>
    </w:rPr>
  </w:style>
  <w:style w:type="character" w:customStyle="1" w:styleId="70">
    <w:name w:val="批注文字 Char"/>
    <w:link w:val="18"/>
    <w:autoRedefine/>
    <w:qFormat/>
    <w:uiPriority w:val="0"/>
    <w:rPr>
      <w:kern w:val="2"/>
      <w:sz w:val="21"/>
      <w:szCs w:val="24"/>
    </w:rPr>
  </w:style>
  <w:style w:type="character" w:customStyle="1" w:styleId="71">
    <w:name w:val="批注主题 Char"/>
    <w:basedOn w:val="70"/>
    <w:link w:val="47"/>
    <w:autoRedefine/>
    <w:qFormat/>
    <w:uiPriority w:val="0"/>
    <w:rPr>
      <w:b/>
      <w:bCs/>
      <w:kern w:val="2"/>
      <w:sz w:val="21"/>
      <w:szCs w:val="24"/>
    </w:rPr>
  </w:style>
  <w:style w:type="character" w:customStyle="1" w:styleId="72">
    <w:name w:val="正文文本 Char"/>
    <w:basedOn w:val="52"/>
    <w:link w:val="20"/>
    <w:autoRedefine/>
    <w:qFormat/>
    <w:uiPriority w:val="0"/>
    <w:rPr>
      <w:kern w:val="2"/>
      <w:sz w:val="21"/>
      <w:szCs w:val="24"/>
    </w:rPr>
  </w:style>
  <w:style w:type="character" w:customStyle="1" w:styleId="73">
    <w:name w:val="正文首行缩进 Char"/>
    <w:link w:val="48"/>
    <w:autoRedefine/>
    <w:qFormat/>
    <w:uiPriority w:val="0"/>
    <w:rPr>
      <w:rFonts w:eastAsia="宋体"/>
      <w:kern w:val="2"/>
      <w:sz w:val="21"/>
      <w:szCs w:val="24"/>
      <w:lang w:val="en-US" w:eastAsia="zh-CN" w:bidi="ar-SA"/>
    </w:rPr>
  </w:style>
  <w:style w:type="character" w:customStyle="1" w:styleId="74">
    <w:name w:val="文档结构图 Char"/>
    <w:basedOn w:val="52"/>
    <w:link w:val="17"/>
    <w:autoRedefine/>
    <w:qFormat/>
    <w:uiPriority w:val="0"/>
    <w:rPr>
      <w:kern w:val="2"/>
      <w:sz w:val="21"/>
      <w:szCs w:val="24"/>
      <w:shd w:val="clear" w:color="auto" w:fill="000080"/>
    </w:rPr>
  </w:style>
  <w:style w:type="character" w:customStyle="1" w:styleId="75">
    <w:name w:val="正文文本缩进 Char1"/>
    <w:basedOn w:val="52"/>
    <w:link w:val="22"/>
    <w:autoRedefine/>
    <w:qFormat/>
    <w:uiPriority w:val="0"/>
    <w:rPr>
      <w:kern w:val="2"/>
      <w:sz w:val="21"/>
      <w:szCs w:val="24"/>
    </w:rPr>
  </w:style>
  <w:style w:type="character" w:customStyle="1" w:styleId="76">
    <w:name w:val="纯文本 Char"/>
    <w:link w:val="27"/>
    <w:autoRedefine/>
    <w:qFormat/>
    <w:uiPriority w:val="0"/>
    <w:rPr>
      <w:rFonts w:ascii="宋体" w:hAnsi="Courier New" w:eastAsia="宋体"/>
      <w:kern w:val="2"/>
      <w:sz w:val="21"/>
      <w:lang w:val="en-US" w:eastAsia="zh-CN" w:bidi="ar-SA"/>
    </w:rPr>
  </w:style>
  <w:style w:type="character" w:customStyle="1" w:styleId="77">
    <w:name w:val="正文文本缩进 2 Char1"/>
    <w:link w:val="30"/>
    <w:autoRedefine/>
    <w:qFormat/>
    <w:uiPriority w:val="0"/>
    <w:rPr>
      <w:kern w:val="2"/>
      <w:sz w:val="21"/>
      <w:szCs w:val="24"/>
    </w:rPr>
  </w:style>
  <w:style w:type="character" w:customStyle="1" w:styleId="78">
    <w:name w:val="批注框文本 Char"/>
    <w:basedOn w:val="52"/>
    <w:link w:val="31"/>
    <w:autoRedefine/>
    <w:qFormat/>
    <w:uiPriority w:val="99"/>
    <w:rPr>
      <w:kern w:val="2"/>
      <w:sz w:val="18"/>
      <w:szCs w:val="18"/>
    </w:rPr>
  </w:style>
  <w:style w:type="character" w:customStyle="1" w:styleId="79">
    <w:name w:val="页脚 Char"/>
    <w:basedOn w:val="52"/>
    <w:link w:val="32"/>
    <w:autoRedefine/>
    <w:qFormat/>
    <w:uiPriority w:val="99"/>
    <w:rPr>
      <w:kern w:val="2"/>
      <w:sz w:val="18"/>
      <w:szCs w:val="18"/>
    </w:rPr>
  </w:style>
  <w:style w:type="character" w:customStyle="1" w:styleId="80">
    <w:name w:val="页眉 Char"/>
    <w:link w:val="33"/>
    <w:autoRedefine/>
    <w:qFormat/>
    <w:uiPriority w:val="99"/>
    <w:rPr>
      <w:kern w:val="2"/>
      <w:sz w:val="18"/>
      <w:szCs w:val="18"/>
    </w:rPr>
  </w:style>
  <w:style w:type="character" w:customStyle="1" w:styleId="81">
    <w:name w:val="HTML 预设格式 Char1"/>
    <w:link w:val="44"/>
    <w:autoRedefine/>
    <w:qFormat/>
    <w:uiPriority w:val="0"/>
    <w:rPr>
      <w:rFonts w:ascii="宋体" w:hAnsi="宋体" w:cs="宋体"/>
      <w:sz w:val="24"/>
      <w:szCs w:val="24"/>
    </w:rPr>
  </w:style>
  <w:style w:type="character" w:customStyle="1" w:styleId="82">
    <w:name w:val="标题 Char"/>
    <w:link w:val="46"/>
    <w:autoRedefine/>
    <w:qFormat/>
    <w:uiPriority w:val="0"/>
    <w:rPr>
      <w:rFonts w:ascii="Arial" w:hAnsi="Arial" w:eastAsia="隶书" w:cs="Arial"/>
      <w:b/>
      <w:bCs/>
      <w:kern w:val="2"/>
      <w:sz w:val="32"/>
      <w:szCs w:val="32"/>
    </w:rPr>
  </w:style>
  <w:style w:type="paragraph" w:customStyle="1" w:styleId="8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autoRedefine/>
    <w:qFormat/>
    <w:uiPriority w:val="0"/>
    <w:pPr>
      <w:spacing w:line="360" w:lineRule="auto"/>
      <w:ind w:firstLine="516" w:firstLineChars="215"/>
    </w:pPr>
    <w:rPr>
      <w:sz w:val="24"/>
      <w:szCs w:val="20"/>
    </w:rPr>
  </w:style>
  <w:style w:type="character" w:customStyle="1" w:styleId="85">
    <w:name w:val="样式1 Char Char Char"/>
    <w:link w:val="84"/>
    <w:autoRedefine/>
    <w:qFormat/>
    <w:uiPriority w:val="0"/>
    <w:rPr>
      <w:rFonts w:eastAsia="宋体"/>
      <w:kern w:val="2"/>
      <w:sz w:val="24"/>
      <w:lang w:val="en-US" w:eastAsia="zh-CN" w:bidi="ar-SA"/>
    </w:rPr>
  </w:style>
  <w:style w:type="paragraph" w:customStyle="1" w:styleId="86">
    <w:name w:val="样式1"/>
    <w:basedOn w:val="46"/>
    <w:link w:val="87"/>
    <w:autoRedefine/>
    <w:qFormat/>
    <w:uiPriority w:val="0"/>
    <w:pPr>
      <w:spacing w:before="120" w:after="120"/>
    </w:pPr>
    <w:rPr>
      <w:rFonts w:eastAsia="黑体" w:cs="Arial"/>
      <w:b w:val="0"/>
      <w:sz w:val="30"/>
      <w:szCs w:val="21"/>
    </w:rPr>
  </w:style>
  <w:style w:type="character" w:customStyle="1" w:styleId="87">
    <w:name w:val="样式1 Char"/>
    <w:link w:val="86"/>
    <w:autoRedefine/>
    <w:qFormat/>
    <w:uiPriority w:val="0"/>
    <w:rPr>
      <w:rFonts w:ascii="Arial" w:hAnsi="Arial" w:eastAsia="黑体" w:cs="Arial"/>
      <w:bCs/>
      <w:kern w:val="2"/>
      <w:sz w:val="30"/>
      <w:szCs w:val="21"/>
      <w:lang w:val="en-US" w:eastAsia="zh-CN" w:bidi="ar-SA"/>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autoRedefine/>
    <w:qFormat/>
    <w:uiPriority w:val="0"/>
    <w:rPr>
      <w:rFonts w:ascii="仿宋_GB2312" w:eastAsia="仿宋_GB2312"/>
      <w:b/>
      <w:sz w:val="32"/>
      <w:szCs w:val="32"/>
    </w:rPr>
  </w:style>
  <w:style w:type="character" w:customStyle="1" w:styleId="92">
    <w:name w:val="tpc_title1"/>
    <w:autoRedefine/>
    <w:qFormat/>
    <w:uiPriority w:val="0"/>
    <w:rPr>
      <w:b/>
      <w:bCs/>
      <w:sz w:val="18"/>
      <w:szCs w:val="18"/>
    </w:rPr>
  </w:style>
  <w:style w:type="character" w:customStyle="1" w:styleId="93">
    <w:name w:val="tpc_content1"/>
    <w:autoRedefine/>
    <w:qFormat/>
    <w:uiPriority w:val="0"/>
    <w:rPr>
      <w:sz w:val="20"/>
      <w:szCs w:val="20"/>
    </w:rPr>
  </w:style>
  <w:style w:type="paragraph" w:customStyle="1" w:styleId="9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autoRedefine/>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2"/>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2"/>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2"/>
    <w:autoRedefine/>
    <w:qFormat/>
    <w:uiPriority w:val="0"/>
    <w:rPr>
      <w:rFonts w:hint="eastAsia" w:ascii="仿宋_GB2312" w:eastAsia="仿宋_GB2312" w:cs="仿宋_GB2312"/>
      <w:color w:val="000000"/>
      <w:sz w:val="20"/>
      <w:szCs w:val="20"/>
      <w:u w:val="none"/>
    </w:rPr>
  </w:style>
  <w:style w:type="character" w:customStyle="1" w:styleId="168">
    <w:name w:val="font31"/>
    <w:basedOn w:val="52"/>
    <w:autoRedefine/>
    <w:qFormat/>
    <w:uiPriority w:val="0"/>
    <w:rPr>
      <w:rFonts w:hint="default" w:ascii="Symbol" w:hAnsi="Symbol" w:cs="Symbol"/>
      <w:color w:val="000000"/>
      <w:sz w:val="20"/>
      <w:szCs w:val="20"/>
      <w:u w:val="none"/>
    </w:rPr>
  </w:style>
  <w:style w:type="character" w:customStyle="1" w:styleId="169">
    <w:name w:val="font71"/>
    <w:basedOn w:val="52"/>
    <w:autoRedefine/>
    <w:qFormat/>
    <w:uiPriority w:val="0"/>
    <w:rPr>
      <w:rFonts w:ascii="Arial" w:hAnsi="Arial" w:cs="Arial"/>
      <w:color w:val="000000"/>
      <w:sz w:val="20"/>
      <w:szCs w:val="20"/>
      <w:u w:val="none"/>
    </w:rPr>
  </w:style>
  <w:style w:type="character" w:customStyle="1" w:styleId="170">
    <w:name w:val="font21"/>
    <w:basedOn w:val="52"/>
    <w:autoRedefine/>
    <w:qFormat/>
    <w:uiPriority w:val="0"/>
    <w:rPr>
      <w:rFonts w:hint="default" w:ascii="Symbol" w:hAnsi="Symbol" w:cs="Symbol"/>
      <w:color w:val="000000"/>
      <w:sz w:val="20"/>
      <w:szCs w:val="20"/>
      <w:u w:val="none"/>
    </w:rPr>
  </w:style>
  <w:style w:type="character" w:customStyle="1" w:styleId="171">
    <w:name w:val="font91"/>
    <w:basedOn w:val="52"/>
    <w:autoRedefine/>
    <w:qFormat/>
    <w:uiPriority w:val="0"/>
    <w:rPr>
      <w:rFonts w:ascii="Arial" w:hAnsi="Arial" w:cs="Arial"/>
      <w:color w:val="000000"/>
      <w:sz w:val="20"/>
      <w:szCs w:val="20"/>
      <w:u w:val="none"/>
    </w:rPr>
  </w:style>
  <w:style w:type="character" w:customStyle="1" w:styleId="172">
    <w:name w:val="font51"/>
    <w:basedOn w:val="52"/>
    <w:autoRedefine/>
    <w:qFormat/>
    <w:uiPriority w:val="0"/>
    <w:rPr>
      <w:rFonts w:ascii="仿宋" w:hAnsi="仿宋" w:eastAsia="仿宋" w:cs="仿宋"/>
      <w:color w:val="000000"/>
      <w:sz w:val="21"/>
      <w:szCs w:val="21"/>
      <w:u w:val="none"/>
    </w:rPr>
  </w:style>
  <w:style w:type="character" w:customStyle="1" w:styleId="173">
    <w:name w:val="font101"/>
    <w:basedOn w:val="52"/>
    <w:autoRedefine/>
    <w:qFormat/>
    <w:uiPriority w:val="0"/>
    <w:rPr>
      <w:rFonts w:hint="eastAsia" w:ascii="仿宋_GB2312" w:eastAsia="仿宋_GB2312" w:cs="仿宋_GB2312"/>
      <w:color w:val="000000"/>
      <w:sz w:val="20"/>
      <w:szCs w:val="20"/>
      <w:u w:val="none"/>
    </w:rPr>
  </w:style>
  <w:style w:type="character" w:customStyle="1" w:styleId="174">
    <w:name w:val="font61"/>
    <w:basedOn w:val="52"/>
    <w:autoRedefine/>
    <w:qFormat/>
    <w:uiPriority w:val="0"/>
    <w:rPr>
      <w:rFonts w:hint="eastAsia" w:ascii="宋体" w:hAnsi="宋体" w:eastAsia="宋体" w:cs="宋体"/>
      <w:color w:val="000000"/>
      <w:sz w:val="20"/>
      <w:szCs w:val="20"/>
      <w:u w:val="none"/>
    </w:rPr>
  </w:style>
  <w:style w:type="character" w:customStyle="1" w:styleId="175">
    <w:name w:val="font81"/>
    <w:basedOn w:val="52"/>
    <w:autoRedefine/>
    <w:qFormat/>
    <w:uiPriority w:val="0"/>
    <w:rPr>
      <w:rFonts w:hint="eastAsia" w:ascii="仿宋" w:hAnsi="仿宋" w:eastAsia="仿宋" w:cs="仿宋"/>
      <w:color w:val="000000"/>
      <w:sz w:val="21"/>
      <w:szCs w:val="21"/>
      <w:u w:val="none"/>
    </w:rPr>
  </w:style>
  <w:style w:type="character" w:customStyle="1" w:styleId="176">
    <w:name w:val="font111"/>
    <w:basedOn w:val="52"/>
    <w:autoRedefine/>
    <w:qFormat/>
    <w:uiPriority w:val="0"/>
    <w:rPr>
      <w:rFonts w:hint="eastAsia" w:ascii="仿宋_GB2312" w:eastAsia="仿宋_GB2312" w:cs="仿宋_GB2312"/>
      <w:color w:val="000000"/>
      <w:sz w:val="21"/>
      <w:szCs w:val="21"/>
      <w:u w:val="none"/>
    </w:rPr>
  </w:style>
  <w:style w:type="character" w:customStyle="1" w:styleId="177">
    <w:name w:val="font121"/>
    <w:basedOn w:val="52"/>
    <w:autoRedefine/>
    <w:qFormat/>
    <w:uiPriority w:val="0"/>
    <w:rPr>
      <w:rFonts w:ascii="Arial" w:hAnsi="Arial" w:cs="Arial"/>
      <w:color w:val="000000"/>
      <w:sz w:val="20"/>
      <w:szCs w:val="20"/>
      <w:u w:val="none"/>
    </w:rPr>
  </w:style>
  <w:style w:type="character" w:customStyle="1" w:styleId="178">
    <w:name w:val="font112"/>
    <w:basedOn w:val="52"/>
    <w:autoRedefine/>
    <w:qFormat/>
    <w:uiPriority w:val="0"/>
    <w:rPr>
      <w:rFonts w:hint="eastAsia" w:ascii="仿宋_GB2312" w:eastAsia="仿宋_GB2312" w:cs="仿宋_GB2312"/>
      <w:color w:val="000000"/>
      <w:sz w:val="21"/>
      <w:szCs w:val="21"/>
      <w:u w:val="none"/>
    </w:rPr>
  </w:style>
  <w:style w:type="paragraph" w:customStyle="1" w:styleId="179">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2"/>
    <w:qFormat/>
    <w:uiPriority w:val="0"/>
    <w:rPr>
      <w:b/>
      <w:bCs/>
      <w:kern w:val="2"/>
      <w:sz w:val="28"/>
      <w:szCs w:val="28"/>
    </w:rPr>
  </w:style>
  <w:style w:type="character" w:customStyle="1" w:styleId="260">
    <w:name w:val="标题 6 Char"/>
    <w:basedOn w:val="52"/>
    <w:qFormat/>
    <w:uiPriority w:val="9"/>
    <w:rPr>
      <w:rFonts w:asciiTheme="majorHAnsi" w:hAnsiTheme="majorHAnsi" w:eastAsiaTheme="majorEastAsia" w:cstheme="majorBidi"/>
      <w:b/>
      <w:bCs/>
      <w:kern w:val="2"/>
      <w:sz w:val="24"/>
      <w:szCs w:val="24"/>
    </w:rPr>
  </w:style>
  <w:style w:type="character" w:customStyle="1" w:styleId="261">
    <w:name w:val="标题 7 Char"/>
    <w:basedOn w:val="52"/>
    <w:qFormat/>
    <w:uiPriority w:val="9"/>
    <w:rPr>
      <w:b/>
      <w:bCs/>
      <w:kern w:val="2"/>
      <w:sz w:val="24"/>
      <w:szCs w:val="24"/>
    </w:rPr>
  </w:style>
  <w:style w:type="character" w:customStyle="1" w:styleId="262">
    <w:name w:val="标题 8 Char"/>
    <w:basedOn w:val="52"/>
    <w:qFormat/>
    <w:uiPriority w:val="9"/>
    <w:rPr>
      <w:rFonts w:asciiTheme="majorHAnsi" w:hAnsiTheme="majorHAnsi" w:eastAsiaTheme="majorEastAsia" w:cstheme="majorBidi"/>
      <w:kern w:val="2"/>
      <w:sz w:val="24"/>
      <w:szCs w:val="24"/>
    </w:rPr>
  </w:style>
  <w:style w:type="character" w:customStyle="1" w:styleId="263">
    <w:name w:val="标题 9 Char"/>
    <w:basedOn w:val="52"/>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2"/>
    <w:autoRedefine/>
    <w:qFormat/>
    <w:uiPriority w:val="99"/>
    <w:rPr>
      <w:rFonts w:ascii="Times New Roman" w:hAnsi="Times New Roman" w:eastAsia="宋体" w:cs="Times New Roman"/>
      <w:sz w:val="18"/>
      <w:szCs w:val="18"/>
    </w:rPr>
  </w:style>
  <w:style w:type="character" w:customStyle="1" w:styleId="266">
    <w:name w:val="页脚 Char1"/>
    <w:basedOn w:val="52"/>
    <w:qFormat/>
    <w:uiPriority w:val="99"/>
    <w:rPr>
      <w:rFonts w:ascii="Times New Roman" w:hAnsi="Times New Roman" w:eastAsia="宋体" w:cs="Times New Roman"/>
      <w:sz w:val="18"/>
      <w:szCs w:val="18"/>
    </w:rPr>
  </w:style>
  <w:style w:type="paragraph" w:customStyle="1" w:styleId="267">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2"/>
    <w:autoRedefine/>
    <w:qFormat/>
    <w:uiPriority w:val="99"/>
    <w:rPr>
      <w:rFonts w:ascii="Times New Roman" w:hAnsi="Times New Roman" w:eastAsia="宋体" w:cs="Times New Roman"/>
      <w:szCs w:val="24"/>
    </w:rPr>
  </w:style>
  <w:style w:type="character" w:customStyle="1" w:styleId="269">
    <w:name w:val="文档结构图 Char1"/>
    <w:basedOn w:val="52"/>
    <w:qFormat/>
    <w:uiPriority w:val="0"/>
    <w:rPr>
      <w:rFonts w:ascii="宋体" w:hAnsi="Times New Roman" w:eastAsia="宋体" w:cs="Times New Roman"/>
      <w:sz w:val="18"/>
      <w:szCs w:val="18"/>
    </w:rPr>
  </w:style>
  <w:style w:type="character" w:customStyle="1" w:styleId="270">
    <w:name w:val="批注主题 Char1"/>
    <w:basedOn w:val="108"/>
    <w:autoRedefine/>
    <w:qFormat/>
    <w:uiPriority w:val="0"/>
    <w:rPr>
      <w:rFonts w:ascii="Times New Roman" w:hAnsi="Times New Roman" w:eastAsia="宋体" w:cs="Times New Roman"/>
      <w:b/>
      <w:bCs/>
      <w:szCs w:val="24"/>
    </w:rPr>
  </w:style>
  <w:style w:type="character" w:customStyle="1" w:styleId="271">
    <w:name w:val="批注框文本 Char1"/>
    <w:basedOn w:val="52"/>
    <w:qFormat/>
    <w:uiPriority w:val="0"/>
    <w:rPr>
      <w:rFonts w:ascii="Times New Roman" w:hAnsi="Times New Roman" w:eastAsia="宋体" w:cs="Times New Roman"/>
      <w:sz w:val="18"/>
      <w:szCs w:val="18"/>
    </w:rPr>
  </w:style>
  <w:style w:type="character" w:customStyle="1" w:styleId="272">
    <w:name w:val="标题 1 Char1"/>
    <w:basedOn w:val="52"/>
    <w:qFormat/>
    <w:uiPriority w:val="0"/>
    <w:rPr>
      <w:b/>
      <w:bCs/>
      <w:kern w:val="44"/>
      <w:sz w:val="44"/>
      <w:szCs w:val="44"/>
    </w:rPr>
  </w:style>
  <w:style w:type="character" w:customStyle="1" w:styleId="273">
    <w:name w:val="标题 2 Char1"/>
    <w:basedOn w:val="52"/>
    <w:qFormat/>
    <w:uiPriority w:val="0"/>
    <w:rPr>
      <w:rFonts w:asciiTheme="majorHAnsi" w:hAnsiTheme="majorHAnsi" w:eastAsiaTheme="majorEastAsia" w:cstheme="majorBidi"/>
      <w:b/>
      <w:bCs/>
      <w:kern w:val="2"/>
      <w:sz w:val="32"/>
      <w:szCs w:val="32"/>
    </w:rPr>
  </w:style>
  <w:style w:type="character" w:customStyle="1" w:styleId="274">
    <w:name w:val="标题 3 Char1"/>
    <w:basedOn w:val="52"/>
    <w:qFormat/>
    <w:uiPriority w:val="99"/>
    <w:rPr>
      <w:rFonts w:ascii="宋体" w:hAnsi="Arial"/>
      <w:b/>
      <w:kern w:val="2"/>
      <w:sz w:val="28"/>
    </w:rPr>
  </w:style>
  <w:style w:type="character" w:customStyle="1" w:styleId="275">
    <w:name w:val="Char Char3"/>
    <w:autoRedefine/>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autoRedefine/>
    <w:qFormat/>
    <w:uiPriority w:val="0"/>
    <w:rPr>
      <w:rFonts w:eastAsia="Times New Roman"/>
      <w:sz w:val="24"/>
      <w:szCs w:val="24"/>
    </w:rPr>
  </w:style>
  <w:style w:type="paragraph" w:customStyle="1" w:styleId="277">
    <w:name w:val="正文－段落"/>
    <w:link w:val="276"/>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autoRedefine/>
    <w:qFormat/>
    <w:uiPriority w:val="0"/>
    <w:rPr>
      <w:rFonts w:ascii="宋体" w:hAnsi="Courier New"/>
      <w:spacing w:val="-8"/>
      <w:kern w:val="2"/>
      <w:sz w:val="24"/>
    </w:rPr>
  </w:style>
  <w:style w:type="character" w:customStyle="1" w:styleId="279">
    <w:name w:val="日期 Char"/>
    <w:autoRedefine/>
    <w:qFormat/>
    <w:uiPriority w:val="0"/>
    <w:rPr>
      <w:rFonts w:ascii="宋体" w:hAnsi="宋体"/>
      <w:sz w:val="24"/>
    </w:rPr>
  </w:style>
  <w:style w:type="character" w:customStyle="1" w:styleId="280">
    <w:name w:val="Char Char9"/>
    <w:autoRedefine/>
    <w:qFormat/>
    <w:uiPriority w:val="0"/>
    <w:rPr>
      <w:rFonts w:hint="default" w:ascii="Calibri" w:hAnsi="Calibri" w:eastAsia="宋体"/>
      <w:sz w:val="18"/>
      <w:szCs w:val="18"/>
      <w:lang w:bidi="ar-SA"/>
    </w:rPr>
  </w:style>
  <w:style w:type="character" w:customStyle="1" w:styleId="281">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autoRedefine/>
    <w:qFormat/>
    <w:uiPriority w:val="0"/>
    <w:rPr>
      <w:rFonts w:ascii="黑体" w:hAnsi="Courier New" w:eastAsia="黑体" w:cs="Courier New"/>
    </w:rPr>
  </w:style>
  <w:style w:type="character" w:customStyle="1" w:styleId="283">
    <w:name w:val="1.5倍行距 Char Char"/>
    <w:link w:val="284"/>
    <w:autoRedefine/>
    <w:qFormat/>
    <w:uiPriority w:val="0"/>
    <w:rPr>
      <w:kern w:val="2"/>
      <w:sz w:val="21"/>
      <w:szCs w:val="24"/>
    </w:rPr>
  </w:style>
  <w:style w:type="paragraph" w:customStyle="1" w:styleId="284">
    <w:name w:val="1.5倍行距"/>
    <w:basedOn w:val="1"/>
    <w:link w:val="283"/>
    <w:autoRedefine/>
    <w:qFormat/>
    <w:uiPriority w:val="0"/>
    <w:pPr>
      <w:spacing w:line="360" w:lineRule="auto"/>
      <w:ind w:firstLine="420"/>
    </w:pPr>
  </w:style>
  <w:style w:type="character" w:customStyle="1" w:styleId="285">
    <w:name w:val="H2 Char1"/>
    <w:autoRedefine/>
    <w:qFormat/>
    <w:uiPriority w:val="0"/>
    <w:rPr>
      <w:rFonts w:ascii="Cambria" w:hAnsi="Cambria"/>
      <w:b/>
      <w:bCs/>
      <w:sz w:val="32"/>
      <w:szCs w:val="32"/>
    </w:rPr>
  </w:style>
  <w:style w:type="character" w:customStyle="1" w:styleId="286">
    <w:name w:val="Char Char4"/>
    <w:autoRedefine/>
    <w:qFormat/>
    <w:uiPriority w:val="0"/>
    <w:rPr>
      <w:rFonts w:hint="default" w:ascii="Calibri" w:hAnsi="Calibri" w:eastAsia="宋体"/>
      <w:kern w:val="2"/>
      <w:sz w:val="21"/>
      <w:szCs w:val="22"/>
      <w:lang w:val="en-US" w:eastAsia="zh-CN" w:bidi="ar-SA"/>
    </w:rPr>
  </w:style>
  <w:style w:type="character" w:customStyle="1" w:styleId="287">
    <w:name w:val="正文文本缩进 2 Char"/>
    <w:autoRedefine/>
    <w:qFormat/>
    <w:uiPriority w:val="0"/>
    <w:rPr>
      <w:kern w:val="2"/>
      <w:sz w:val="21"/>
    </w:rPr>
  </w:style>
  <w:style w:type="character" w:customStyle="1" w:styleId="288">
    <w:name w:val="签名 Char1"/>
    <w:link w:val="34"/>
    <w:autoRedefine/>
    <w:qFormat/>
    <w:uiPriority w:val="0"/>
    <w:rPr>
      <w:rFonts w:eastAsia="楷体_GB2312"/>
      <w:kern w:val="2"/>
      <w:sz w:val="21"/>
    </w:rPr>
  </w:style>
  <w:style w:type="character" w:customStyle="1" w:styleId="289">
    <w:name w:val="标题2 Char"/>
    <w:link w:val="290"/>
    <w:autoRedefine/>
    <w:qFormat/>
    <w:uiPriority w:val="0"/>
    <w:rPr>
      <w:rFonts w:ascii="仿宋" w:hAnsi="仿宋" w:eastAsia="仿宋"/>
      <w:b/>
      <w:bCs/>
      <w:color w:val="000000"/>
      <w:kern w:val="2"/>
      <w:sz w:val="24"/>
      <w:szCs w:val="24"/>
    </w:rPr>
  </w:style>
  <w:style w:type="paragraph" w:customStyle="1" w:styleId="290">
    <w:name w:val="标题2"/>
    <w:basedOn w:val="291"/>
    <w:link w:val="289"/>
    <w:autoRedefine/>
    <w:qFormat/>
    <w:uiPriority w:val="0"/>
    <w:pPr>
      <w:tabs>
        <w:tab w:val="left" w:pos="425"/>
        <w:tab w:val="left" w:pos="709"/>
        <w:tab w:val="left" w:pos="851"/>
        <w:tab w:val="left" w:pos="1419"/>
      </w:tabs>
    </w:pPr>
    <w:rPr>
      <w:szCs w:val="24"/>
    </w:rPr>
  </w:style>
  <w:style w:type="paragraph" w:customStyle="1" w:styleId="291">
    <w:name w:val="三级"/>
    <w:basedOn w:val="3"/>
    <w:link w:val="292"/>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autoRedefine/>
    <w:qFormat/>
    <w:uiPriority w:val="0"/>
    <w:rPr>
      <w:rFonts w:ascii="仿宋" w:hAnsi="仿宋" w:eastAsia="仿宋"/>
      <w:b/>
      <w:bCs/>
      <w:color w:val="000000"/>
      <w:kern w:val="2"/>
      <w:sz w:val="32"/>
      <w:szCs w:val="32"/>
    </w:rPr>
  </w:style>
  <w:style w:type="character" w:customStyle="1" w:styleId="293">
    <w:name w:val="正文首行缩进 2 Char"/>
    <w:link w:val="49"/>
    <w:autoRedefine/>
    <w:qFormat/>
    <w:uiPriority w:val="0"/>
    <w:rPr>
      <w:sz w:val="24"/>
      <w:szCs w:val="24"/>
    </w:rPr>
  </w:style>
  <w:style w:type="character" w:customStyle="1" w:styleId="294">
    <w:name w:val="正文首行缩进 Char Char Char1"/>
    <w:autoRedefine/>
    <w:qFormat/>
    <w:uiPriority w:val="0"/>
    <w:rPr>
      <w:rFonts w:ascii="Times New Roman" w:hAnsi="Times New Roman"/>
      <w:kern w:val="2"/>
      <w:sz w:val="24"/>
      <w:szCs w:val="24"/>
    </w:rPr>
  </w:style>
  <w:style w:type="character" w:customStyle="1" w:styleId="295">
    <w:name w:val="标题 Char1"/>
    <w:autoRedefine/>
    <w:qFormat/>
    <w:uiPriority w:val="0"/>
    <w:rPr>
      <w:rFonts w:ascii="Arial" w:hAnsi="Arial"/>
      <w:b/>
      <w:kern w:val="2"/>
      <w:sz w:val="36"/>
      <w:szCs w:val="24"/>
    </w:rPr>
  </w:style>
  <w:style w:type="character" w:customStyle="1" w:styleId="296">
    <w:name w:val="正文文本 字符"/>
    <w:autoRedefine/>
    <w:qFormat/>
    <w:uiPriority w:val="0"/>
    <w:rPr>
      <w:rFonts w:eastAsia="宋体"/>
      <w:kern w:val="2"/>
      <w:sz w:val="21"/>
      <w:szCs w:val="24"/>
      <w:lang w:bidi="ar-SA"/>
    </w:rPr>
  </w:style>
  <w:style w:type="character" w:customStyle="1" w:styleId="297">
    <w:name w:val="正文文本缩进 Char"/>
    <w:autoRedefine/>
    <w:qFormat/>
    <w:uiPriority w:val="0"/>
    <w:rPr>
      <w:kern w:val="2"/>
      <w:sz w:val="24"/>
    </w:rPr>
  </w:style>
  <w:style w:type="character" w:customStyle="1" w:styleId="298">
    <w:name w:val="题注 Char1"/>
    <w:link w:val="15"/>
    <w:autoRedefine/>
    <w:qFormat/>
    <w:uiPriority w:val="0"/>
    <w:rPr>
      <w:rFonts w:ascii="Cambria" w:hAnsi="Cambria" w:eastAsia="黑体"/>
      <w:kern w:val="2"/>
      <w:sz w:val="21"/>
      <w:szCs w:val="24"/>
    </w:rPr>
  </w:style>
  <w:style w:type="character" w:customStyle="1" w:styleId="299">
    <w:name w:val="bt Char1"/>
    <w:autoRedefine/>
    <w:qFormat/>
    <w:uiPriority w:val="0"/>
    <w:rPr>
      <w:rFonts w:ascii="Times New Roman" w:hAnsi="Times New Roman"/>
      <w:kern w:val="2"/>
      <w:sz w:val="24"/>
      <w:szCs w:val="24"/>
    </w:rPr>
  </w:style>
  <w:style w:type="character" w:customStyle="1" w:styleId="300">
    <w:name w:val="Char Char18"/>
    <w:autoRedefine/>
    <w:qFormat/>
    <w:uiPriority w:val="0"/>
    <w:rPr>
      <w:rFonts w:hint="default" w:ascii="Cambria" w:hAnsi="Cambria" w:eastAsia="宋体"/>
      <w:b/>
      <w:bCs/>
      <w:sz w:val="32"/>
      <w:szCs w:val="32"/>
      <w:lang w:bidi="ar-SA"/>
    </w:rPr>
  </w:style>
  <w:style w:type="character" w:customStyle="1" w:styleId="301">
    <w:name w:val="四级 Char"/>
    <w:link w:val="302"/>
    <w:autoRedefine/>
    <w:qFormat/>
    <w:uiPriority w:val="0"/>
    <w:rPr>
      <w:rFonts w:ascii="仿宋" w:hAnsi="仿宋" w:eastAsia="仿宋"/>
      <w:bCs/>
      <w:kern w:val="2"/>
      <w:sz w:val="32"/>
      <w:szCs w:val="32"/>
    </w:rPr>
  </w:style>
  <w:style w:type="paragraph" w:customStyle="1" w:styleId="302">
    <w:name w:val="四级"/>
    <w:basedOn w:val="5"/>
    <w:link w:val="301"/>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2"/>
    <w:autoRedefine/>
    <w:qFormat/>
    <w:uiPriority w:val="0"/>
  </w:style>
  <w:style w:type="character" w:customStyle="1" w:styleId="304">
    <w:name w:val="p141"/>
    <w:autoRedefine/>
    <w:qFormat/>
    <w:uiPriority w:val="0"/>
    <w:rPr>
      <w:sz w:val="21"/>
      <w:szCs w:val="21"/>
    </w:rPr>
  </w:style>
  <w:style w:type="character" w:customStyle="1" w:styleId="305">
    <w:name w:val="正文文本缩进 3 Char"/>
    <w:autoRedefine/>
    <w:qFormat/>
    <w:uiPriority w:val="0"/>
    <w:rPr>
      <w:kern w:val="2"/>
      <w:sz w:val="21"/>
    </w:rPr>
  </w:style>
  <w:style w:type="character" w:customStyle="1" w:styleId="306">
    <w:name w:val="Char Char13"/>
    <w:autoRedefine/>
    <w:qFormat/>
    <w:uiPriority w:val="0"/>
    <w:rPr>
      <w:rFonts w:ascii="Cambria" w:hAnsi="Cambria" w:eastAsia="宋体"/>
      <w:sz w:val="24"/>
      <w:szCs w:val="24"/>
      <w:lang w:bidi="ar-SA"/>
    </w:rPr>
  </w:style>
  <w:style w:type="character" w:customStyle="1" w:styleId="307">
    <w:name w:val="正文文本 2 Char1"/>
    <w:link w:val="21"/>
    <w:autoRedefine/>
    <w:qFormat/>
    <w:uiPriority w:val="0"/>
    <w:rPr>
      <w:kern w:val="2"/>
      <w:sz w:val="28"/>
    </w:rPr>
  </w:style>
  <w:style w:type="character" w:customStyle="1" w:styleId="308">
    <w:name w:val="Char Char5"/>
    <w:autoRedefine/>
    <w:qFormat/>
    <w:uiPriority w:val="0"/>
    <w:rPr>
      <w:rFonts w:ascii="宋体" w:hAnsi="宋体" w:eastAsia="宋体"/>
      <w:b/>
      <w:bCs/>
      <w:szCs w:val="24"/>
      <w:lang w:bidi="ar-SA"/>
    </w:rPr>
  </w:style>
  <w:style w:type="character" w:customStyle="1" w:styleId="309">
    <w:name w:val="正文文本 2 Char"/>
    <w:autoRedefine/>
    <w:qFormat/>
    <w:uiPriority w:val="0"/>
    <w:rPr>
      <w:kern w:val="2"/>
      <w:sz w:val="28"/>
    </w:rPr>
  </w:style>
  <w:style w:type="character" w:customStyle="1" w:styleId="310">
    <w:name w:val="Char Char6"/>
    <w:autoRedefine/>
    <w:qFormat/>
    <w:uiPriority w:val="0"/>
    <w:rPr>
      <w:rFonts w:ascii="宋体" w:hAnsi="宋体" w:eastAsia="宋体"/>
      <w:szCs w:val="24"/>
      <w:lang w:bidi="ar-SA"/>
    </w:rPr>
  </w:style>
  <w:style w:type="character" w:customStyle="1" w:styleId="311">
    <w:name w:val="Char Char15"/>
    <w:autoRedefine/>
    <w:qFormat/>
    <w:uiPriority w:val="0"/>
    <w:rPr>
      <w:rFonts w:hint="default" w:ascii="Cambria" w:hAnsi="Cambria" w:eastAsia="宋体"/>
      <w:b/>
      <w:bCs/>
      <w:sz w:val="24"/>
      <w:szCs w:val="24"/>
      <w:lang w:bidi="ar-SA"/>
    </w:rPr>
  </w:style>
  <w:style w:type="character" w:customStyle="1" w:styleId="312">
    <w:name w:val="H4 Char"/>
    <w:autoRedefine/>
    <w:qFormat/>
    <w:uiPriority w:val="0"/>
    <w:rPr>
      <w:rFonts w:ascii="Cambria" w:hAnsi="Cambria" w:eastAsia="仿宋_GB2312"/>
      <w:b/>
      <w:bCs/>
      <w:sz w:val="32"/>
      <w:szCs w:val="28"/>
    </w:rPr>
  </w:style>
  <w:style w:type="character" w:customStyle="1" w:styleId="313">
    <w:name w:val="Char Char20"/>
    <w:autoRedefine/>
    <w:qFormat/>
    <w:uiPriority w:val="0"/>
    <w:rPr>
      <w:rFonts w:eastAsia="宋体"/>
      <w:b/>
      <w:kern w:val="2"/>
      <w:sz w:val="28"/>
      <w:lang w:bidi="ar-SA"/>
    </w:rPr>
  </w:style>
  <w:style w:type="character" w:customStyle="1" w:styleId="314">
    <w:name w:val="正文文本缩进 3 Char1"/>
    <w:link w:val="41"/>
    <w:autoRedefine/>
    <w:qFormat/>
    <w:uiPriority w:val="0"/>
    <w:rPr>
      <w:kern w:val="2"/>
      <w:sz w:val="21"/>
    </w:rPr>
  </w:style>
  <w:style w:type="character" w:customStyle="1" w:styleId="315">
    <w:name w:val="Char Char16"/>
    <w:autoRedefine/>
    <w:qFormat/>
    <w:uiPriority w:val="0"/>
    <w:rPr>
      <w:rFonts w:hint="eastAsia" w:ascii="仿宋_GB2313" w:hAnsi="仿宋_GB2313" w:eastAsia="仿宋_GB2312"/>
      <w:b/>
      <w:bCs/>
      <w:sz w:val="32"/>
      <w:szCs w:val="28"/>
      <w:lang w:bidi="ar-SA"/>
    </w:rPr>
  </w:style>
  <w:style w:type="character" w:customStyle="1" w:styleId="316">
    <w:name w:val="Char Char7"/>
    <w:autoRedefine/>
    <w:qFormat/>
    <w:uiPriority w:val="0"/>
    <w:rPr>
      <w:rFonts w:ascii="宋体" w:hAnsi="宋体" w:eastAsia="宋体"/>
      <w:sz w:val="24"/>
      <w:szCs w:val="24"/>
      <w:lang w:bidi="ar-SA"/>
    </w:rPr>
  </w:style>
  <w:style w:type="character" w:customStyle="1" w:styleId="317">
    <w:name w:val="日期 Char1"/>
    <w:link w:val="29"/>
    <w:autoRedefine/>
    <w:qFormat/>
    <w:uiPriority w:val="0"/>
    <w:rPr>
      <w:rFonts w:ascii="宋体" w:hAnsi="宋体"/>
      <w:kern w:val="2"/>
      <w:sz w:val="24"/>
      <w:szCs w:val="24"/>
    </w:rPr>
  </w:style>
  <w:style w:type="character" w:customStyle="1" w:styleId="318">
    <w:name w:val="Char Char12"/>
    <w:autoRedefine/>
    <w:qFormat/>
    <w:uiPriority w:val="0"/>
    <w:rPr>
      <w:rFonts w:hint="default" w:ascii="Cambria" w:hAnsi="Cambria" w:eastAsia="宋体"/>
      <w:szCs w:val="21"/>
      <w:lang w:bidi="ar-SA"/>
    </w:rPr>
  </w:style>
  <w:style w:type="character" w:customStyle="1" w:styleId="319">
    <w:name w:val="标题 4 Char"/>
    <w:autoRedefine/>
    <w:qFormat/>
    <w:uiPriority w:val="0"/>
    <w:rPr>
      <w:rFonts w:ascii="Arial" w:hAnsi="Arial" w:eastAsia="黑体"/>
      <w:b/>
      <w:kern w:val="2"/>
      <w:sz w:val="24"/>
    </w:rPr>
  </w:style>
  <w:style w:type="character" w:customStyle="1" w:styleId="320">
    <w:name w:val="Char Char2"/>
    <w:autoRedefine/>
    <w:qFormat/>
    <w:uiPriority w:val="0"/>
    <w:rPr>
      <w:rFonts w:ascii="宋体" w:hAnsi="宋体" w:eastAsia="宋体"/>
      <w:kern w:val="2"/>
      <w:sz w:val="24"/>
      <w:szCs w:val="24"/>
      <w:lang w:val="en-US" w:eastAsia="zh-CN" w:bidi="ar-SA"/>
    </w:rPr>
  </w:style>
  <w:style w:type="character" w:customStyle="1" w:styleId="321">
    <w:name w:val="*正文 Char"/>
    <w:link w:val="322"/>
    <w:autoRedefine/>
    <w:qFormat/>
    <w:uiPriority w:val="0"/>
    <w:rPr>
      <w:rFonts w:ascii="宋体" w:hAnsi="宋体"/>
      <w:sz w:val="24"/>
      <w:szCs w:val="24"/>
    </w:rPr>
  </w:style>
  <w:style w:type="paragraph" w:customStyle="1" w:styleId="322">
    <w:name w:val="*正文"/>
    <w:basedOn w:val="1"/>
    <w:link w:val="321"/>
    <w:autoRedefine/>
    <w:qFormat/>
    <w:uiPriority w:val="0"/>
    <w:pPr>
      <w:spacing w:line="360" w:lineRule="auto"/>
      <w:ind w:firstLine="200" w:firstLineChars="200"/>
    </w:pPr>
    <w:rPr>
      <w:rFonts w:ascii="宋体" w:hAnsi="宋体"/>
      <w:kern w:val="0"/>
      <w:sz w:val="24"/>
    </w:rPr>
  </w:style>
  <w:style w:type="character" w:customStyle="1" w:styleId="323">
    <w:name w:val="页脚 字符1"/>
    <w:autoRedefine/>
    <w:qFormat/>
    <w:uiPriority w:val="0"/>
    <w:rPr>
      <w:rFonts w:eastAsia="宋体"/>
      <w:kern w:val="2"/>
      <w:sz w:val="18"/>
      <w:lang w:bidi="ar-SA"/>
    </w:rPr>
  </w:style>
  <w:style w:type="character" w:customStyle="1" w:styleId="324">
    <w:name w:val="GP正文[858D7CFB-ED40-4347-BF05-701D383B685F]"/>
    <w:link w:val="325"/>
    <w:autoRedefine/>
    <w:qFormat/>
    <w:uiPriority w:val="0"/>
    <w:rPr>
      <w:rFonts w:ascii="宋体" w:hAnsi="宋体"/>
      <w:kern w:val="2"/>
      <w:sz w:val="24"/>
      <w:szCs w:val="24"/>
    </w:rPr>
  </w:style>
  <w:style w:type="paragraph" w:customStyle="1" w:styleId="325">
    <w:name w:val="GP正文"/>
    <w:basedOn w:val="1"/>
    <w:link w:val="324"/>
    <w:autoRedefine/>
    <w:qFormat/>
    <w:uiPriority w:val="0"/>
    <w:pPr>
      <w:spacing w:line="360" w:lineRule="auto"/>
      <w:ind w:firstLine="200" w:firstLineChars="200"/>
      <w:jc w:val="left"/>
    </w:pPr>
    <w:rPr>
      <w:rFonts w:ascii="宋体" w:hAnsi="宋体"/>
      <w:sz w:val="24"/>
    </w:rPr>
  </w:style>
  <w:style w:type="character" w:customStyle="1" w:styleId="326">
    <w:name w:val="Char Char14"/>
    <w:autoRedefine/>
    <w:qFormat/>
    <w:uiPriority w:val="0"/>
    <w:rPr>
      <w:rFonts w:ascii="Calibri" w:hAnsi="Calibri" w:eastAsia="宋体"/>
      <w:b/>
      <w:bCs/>
      <w:sz w:val="24"/>
      <w:szCs w:val="24"/>
      <w:lang w:bidi="ar-SA"/>
    </w:rPr>
  </w:style>
  <w:style w:type="character" w:customStyle="1" w:styleId="327">
    <w:name w:val="Char Char19"/>
    <w:autoRedefine/>
    <w:qFormat/>
    <w:uiPriority w:val="0"/>
    <w:rPr>
      <w:rFonts w:ascii="Arial" w:hAnsi="Arial" w:eastAsia="黑体"/>
      <w:b/>
      <w:kern w:val="2"/>
      <w:sz w:val="24"/>
      <w:lang w:bidi="ar-SA"/>
    </w:rPr>
  </w:style>
  <w:style w:type="character" w:customStyle="1" w:styleId="328">
    <w:name w:val="正文文本 Char1"/>
    <w:autoRedefine/>
    <w:qFormat/>
    <w:uiPriority w:val="0"/>
    <w:rPr>
      <w:kern w:val="2"/>
      <w:sz w:val="21"/>
      <w:szCs w:val="24"/>
    </w:rPr>
  </w:style>
  <w:style w:type="character" w:customStyle="1" w:styleId="329">
    <w:name w:val="二级 Char"/>
    <w:link w:val="330"/>
    <w:autoRedefine/>
    <w:qFormat/>
    <w:uiPriority w:val="0"/>
    <w:rPr>
      <w:rFonts w:ascii="仿宋" w:hAnsi="仿宋" w:eastAsia="仿宋"/>
      <w:b/>
      <w:bCs/>
      <w:spacing w:val="24"/>
      <w:kern w:val="2"/>
      <w:sz w:val="32"/>
      <w:szCs w:val="32"/>
    </w:rPr>
  </w:style>
  <w:style w:type="paragraph" w:customStyle="1" w:styleId="330">
    <w:name w:val="二级"/>
    <w:basedOn w:val="4"/>
    <w:link w:val="329"/>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autoRedefine/>
    <w:qFormat/>
    <w:uiPriority w:val="0"/>
    <w:rPr>
      <w:rFonts w:eastAsia="楷体_GB2312"/>
      <w:kern w:val="2"/>
      <w:sz w:val="21"/>
    </w:rPr>
  </w:style>
  <w:style w:type="character" w:customStyle="1" w:styleId="332">
    <w:name w:val="Char Char"/>
    <w:autoRedefine/>
    <w:qFormat/>
    <w:uiPriority w:val="0"/>
    <w:rPr>
      <w:rFonts w:hint="eastAsia" w:ascii="宋体" w:hAnsi="Courier New" w:eastAsia="宋体"/>
      <w:spacing w:val="-8"/>
      <w:kern w:val="2"/>
      <w:sz w:val="24"/>
      <w:lang w:val="en-US" w:eastAsia="zh-CN" w:bidi="ar-SA"/>
    </w:rPr>
  </w:style>
  <w:style w:type="character" w:customStyle="1" w:styleId="333">
    <w:name w:val="Char Char11"/>
    <w:autoRedefine/>
    <w:qFormat/>
    <w:uiPriority w:val="0"/>
    <w:rPr>
      <w:rFonts w:hint="default" w:ascii="Calibri" w:hAnsi="Calibri" w:eastAsia="宋体"/>
      <w:sz w:val="18"/>
      <w:szCs w:val="18"/>
      <w:lang w:bidi="ar-SA"/>
    </w:rPr>
  </w:style>
  <w:style w:type="character" w:customStyle="1" w:styleId="334">
    <w:name w:val="页眉 字符1"/>
    <w:autoRedefine/>
    <w:qFormat/>
    <w:uiPriority w:val="0"/>
    <w:rPr>
      <w:rFonts w:eastAsia="宋体"/>
      <w:kern w:val="2"/>
      <w:sz w:val="18"/>
      <w:szCs w:val="18"/>
      <w:lang w:bidi="ar-SA"/>
    </w:rPr>
  </w:style>
  <w:style w:type="character" w:customStyle="1" w:styleId="335">
    <w:name w:val="正文首行缩进 Char1"/>
    <w:autoRedefine/>
    <w:qFormat/>
    <w:uiPriority w:val="0"/>
    <w:rPr>
      <w:kern w:val="2"/>
      <w:sz w:val="21"/>
    </w:rPr>
  </w:style>
  <w:style w:type="character" w:customStyle="1" w:styleId="336">
    <w:name w:val="页眉 Char1"/>
    <w:autoRedefine/>
    <w:qFormat/>
    <w:uiPriority w:val="0"/>
    <w:rPr>
      <w:rFonts w:eastAsia="宋体"/>
      <w:kern w:val="2"/>
      <w:sz w:val="18"/>
      <w:szCs w:val="18"/>
      <w:lang w:val="en-US" w:eastAsia="zh-CN" w:bidi="ar-SA"/>
    </w:rPr>
  </w:style>
  <w:style w:type="character" w:customStyle="1" w:styleId="337">
    <w:name w:val="题注 Char"/>
    <w:autoRedefine/>
    <w:qFormat/>
    <w:uiPriority w:val="0"/>
    <w:rPr>
      <w:rFonts w:ascii="Cambria" w:hAnsi="Cambria" w:eastAsia="黑体"/>
      <w:kern w:val="2"/>
      <w:lang w:bidi="ar-SA"/>
    </w:rPr>
  </w:style>
  <w:style w:type="character" w:customStyle="1" w:styleId="338">
    <w:name w:val="样式 标题 3 + 小四 Char"/>
    <w:autoRedefine/>
    <w:qFormat/>
    <w:uiPriority w:val="0"/>
    <w:rPr>
      <w:rFonts w:ascii="宋体" w:hAnsi="宋体" w:cs="Arial"/>
      <w:b/>
      <w:bCs/>
      <w:smallCaps/>
      <w:sz w:val="24"/>
      <w:lang w:val="en-US" w:eastAsia="zh-CN"/>
    </w:rPr>
  </w:style>
  <w:style w:type="character" w:customStyle="1" w:styleId="339">
    <w:name w:val="unnamed21"/>
    <w:autoRedefine/>
    <w:qFormat/>
    <w:uiPriority w:val="0"/>
    <w:rPr>
      <w:color w:val="CC6633"/>
      <w:u w:val="none"/>
    </w:rPr>
  </w:style>
  <w:style w:type="character" w:customStyle="1" w:styleId="340">
    <w:name w:val="16"/>
    <w:autoRedefine/>
    <w:qFormat/>
    <w:uiPriority w:val="0"/>
    <w:rPr>
      <w:rFonts w:hint="eastAsia" w:ascii="宋体" w:hAnsi="宋体" w:eastAsia="宋体" w:cs="Arial"/>
      <w:b/>
      <w:bCs/>
      <w:smallCaps/>
      <w:kern w:val="2"/>
      <w:sz w:val="24"/>
      <w:szCs w:val="24"/>
    </w:rPr>
  </w:style>
  <w:style w:type="character" w:customStyle="1" w:styleId="341">
    <w:name w:val="正文文本缩进 字符"/>
    <w:autoRedefine/>
    <w:qFormat/>
    <w:uiPriority w:val="0"/>
    <w:rPr>
      <w:rFonts w:eastAsia="宋体"/>
      <w:kern w:val="2"/>
      <w:sz w:val="24"/>
      <w:lang w:bidi="ar-SA"/>
    </w:rPr>
  </w:style>
  <w:style w:type="character" w:customStyle="1" w:styleId="342">
    <w:name w:val="Char Char8"/>
    <w:autoRedefine/>
    <w:qFormat/>
    <w:uiPriority w:val="0"/>
    <w:rPr>
      <w:rFonts w:hint="default" w:ascii="Calibri" w:hAnsi="Calibri" w:eastAsia="宋体"/>
      <w:kern w:val="2"/>
      <w:sz w:val="21"/>
      <w:szCs w:val="22"/>
      <w:lang w:val="en-US" w:eastAsia="zh-CN" w:bidi="ar-SA"/>
    </w:rPr>
  </w:style>
  <w:style w:type="character" w:customStyle="1" w:styleId="343">
    <w:name w:val="H3 Char1"/>
    <w:autoRedefine/>
    <w:qFormat/>
    <w:uiPriority w:val="0"/>
    <w:rPr>
      <w:rFonts w:ascii="仿宋_GB2312" w:eastAsia="仿宋_GB2312"/>
      <w:b/>
      <w:bCs/>
      <w:color w:val="000000"/>
      <w:kern w:val="2"/>
      <w:sz w:val="32"/>
      <w:szCs w:val="32"/>
    </w:rPr>
  </w:style>
  <w:style w:type="character" w:customStyle="1" w:styleId="344">
    <w:name w:val="Char Char1"/>
    <w:autoRedefine/>
    <w:qFormat/>
    <w:uiPriority w:val="0"/>
    <w:rPr>
      <w:rFonts w:hint="eastAsia" w:ascii="宋体" w:hAnsi="宋体" w:eastAsia="宋体"/>
      <w:kern w:val="2"/>
      <w:sz w:val="21"/>
      <w:szCs w:val="24"/>
      <w:lang w:val="en-US" w:eastAsia="zh-CN" w:bidi="ar-SA"/>
    </w:rPr>
  </w:style>
  <w:style w:type="character" w:customStyle="1" w:styleId="345">
    <w:name w:val="Char Char10"/>
    <w:autoRedefine/>
    <w:qFormat/>
    <w:uiPriority w:val="0"/>
    <w:rPr>
      <w:rFonts w:eastAsia="宋体"/>
      <w:kern w:val="2"/>
      <w:sz w:val="18"/>
      <w:szCs w:val="18"/>
      <w:lang w:val="en-US" w:eastAsia="zh-CN" w:bidi="ar-SA"/>
    </w:rPr>
  </w:style>
  <w:style w:type="character" w:customStyle="1" w:styleId="346">
    <w:name w:val="文档正文 Char"/>
    <w:link w:val="347"/>
    <w:autoRedefine/>
    <w:qFormat/>
    <w:uiPriority w:val="0"/>
    <w:rPr>
      <w:rFonts w:ascii="Arial" w:hAnsi="Arial" w:cs="Arial"/>
      <w:bCs/>
      <w:kern w:val="2"/>
      <w:sz w:val="24"/>
      <w:szCs w:val="24"/>
    </w:rPr>
  </w:style>
  <w:style w:type="paragraph" w:customStyle="1" w:styleId="347">
    <w:name w:val="文档正文"/>
    <w:basedOn w:val="1"/>
    <w:link w:val="346"/>
    <w:autoRedefine/>
    <w:qFormat/>
    <w:uiPriority w:val="0"/>
    <w:rPr>
      <w:rFonts w:ascii="Arial" w:hAnsi="Arial" w:cs="Arial"/>
      <w:bCs/>
      <w:sz w:val="24"/>
    </w:rPr>
  </w:style>
  <w:style w:type="character" w:customStyle="1" w:styleId="348">
    <w:name w:val="正文文本 2 Char2"/>
    <w:basedOn w:val="52"/>
    <w:autoRedefine/>
    <w:semiHidden/>
    <w:qFormat/>
    <w:uiPriority w:val="0"/>
    <w:rPr>
      <w:kern w:val="2"/>
      <w:sz w:val="21"/>
      <w:szCs w:val="24"/>
    </w:rPr>
  </w:style>
  <w:style w:type="character" w:customStyle="1" w:styleId="349">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autoRedefine/>
    <w:qFormat/>
    <w:uiPriority w:val="0"/>
    <w:rPr>
      <w:kern w:val="2"/>
      <w:sz w:val="21"/>
      <w:szCs w:val="24"/>
    </w:rPr>
  </w:style>
  <w:style w:type="character" w:customStyle="1" w:styleId="351">
    <w:name w:val="签名 Char2"/>
    <w:basedOn w:val="52"/>
    <w:autoRedefine/>
    <w:semiHidden/>
    <w:qFormat/>
    <w:uiPriority w:val="0"/>
    <w:rPr>
      <w:kern w:val="2"/>
      <w:sz w:val="21"/>
      <w:szCs w:val="24"/>
    </w:rPr>
  </w:style>
  <w:style w:type="character" w:customStyle="1" w:styleId="352">
    <w:name w:val="正文文本缩进 3 Char2"/>
    <w:basedOn w:val="52"/>
    <w:autoRedefine/>
    <w:semiHidden/>
    <w:qFormat/>
    <w:uiPriority w:val="0"/>
    <w:rPr>
      <w:kern w:val="2"/>
      <w:sz w:val="16"/>
      <w:szCs w:val="16"/>
    </w:rPr>
  </w:style>
  <w:style w:type="character" w:customStyle="1" w:styleId="353">
    <w:name w:val="日期 Char2"/>
    <w:basedOn w:val="52"/>
    <w:autoRedefine/>
    <w:semiHidden/>
    <w:qFormat/>
    <w:uiPriority w:val="0"/>
    <w:rPr>
      <w:kern w:val="2"/>
      <w:sz w:val="21"/>
      <w:szCs w:val="24"/>
    </w:rPr>
  </w:style>
  <w:style w:type="paragraph" w:customStyle="1" w:styleId="354">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autoRedefine/>
    <w:qFormat/>
    <w:uiPriority w:val="0"/>
    <w:pPr>
      <w:widowControl/>
      <w:jc w:val="center"/>
    </w:pPr>
    <w:rPr>
      <w:rFonts w:ascii="Arial" w:hAnsi="Arial"/>
      <w:b/>
      <w:kern w:val="0"/>
      <w:sz w:val="18"/>
      <w:szCs w:val="20"/>
    </w:rPr>
  </w:style>
  <w:style w:type="paragraph" w:customStyle="1" w:styleId="360">
    <w:name w:val="4"/>
    <w:basedOn w:val="1"/>
    <w:next w:val="1"/>
    <w:autoRedefine/>
    <w:qFormat/>
    <w:uiPriority w:val="0"/>
  </w:style>
  <w:style w:type="paragraph" w:customStyle="1" w:styleId="36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autoRedefine/>
    <w:qFormat/>
    <w:uiPriority w:val="0"/>
    <w:pPr>
      <w:spacing w:line="360" w:lineRule="auto"/>
      <w:ind w:firstLine="200" w:firstLineChars="200"/>
    </w:pPr>
    <w:rPr>
      <w:szCs w:val="20"/>
    </w:rPr>
  </w:style>
  <w:style w:type="paragraph" w:customStyle="1" w:styleId="363">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6"/>
    <w:autoRedefine/>
    <w:qFormat/>
    <w:uiPriority w:val="0"/>
    <w:pPr>
      <w:tabs>
        <w:tab w:val="right" w:leader="dot" w:pos="9458"/>
      </w:tabs>
    </w:pPr>
    <w:rPr>
      <w:rFonts w:ascii="Arial" w:cs="Arial"/>
      <w:i/>
    </w:rPr>
  </w:style>
  <w:style w:type="paragraph" w:customStyle="1" w:styleId="36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autoRedefine/>
    <w:qFormat/>
    <w:uiPriority w:val="0"/>
    <w:pPr>
      <w:keepLines/>
      <w:widowControl/>
      <w:spacing w:beforeLines="50" w:afterLines="50" w:line="300" w:lineRule="auto"/>
    </w:pPr>
    <w:rPr>
      <w:rFonts w:ascii="Arial" w:hAnsi="Arial"/>
      <w:bCs/>
    </w:rPr>
  </w:style>
  <w:style w:type="paragraph" w:customStyle="1" w:styleId="368">
    <w:name w:val="样式5"/>
    <w:basedOn w:val="369"/>
    <w:next w:val="369"/>
    <w:autoRedefine/>
    <w:qFormat/>
    <w:uiPriority w:val="0"/>
    <w:pPr>
      <w:tabs>
        <w:tab w:val="right" w:leader="dot" w:pos="9458"/>
      </w:tabs>
    </w:pPr>
  </w:style>
  <w:style w:type="paragraph" w:customStyle="1" w:styleId="369">
    <w:name w:val="样式4"/>
    <w:basedOn w:val="35"/>
    <w:autoRedefine/>
    <w:qFormat/>
    <w:uiPriority w:val="0"/>
    <w:pPr>
      <w:tabs>
        <w:tab w:val="right" w:leader="dot" w:pos="9458"/>
      </w:tabs>
    </w:pPr>
    <w:rPr>
      <w:b w:val="0"/>
    </w:rPr>
  </w:style>
  <w:style w:type="paragraph" w:customStyle="1" w:styleId="370">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autoRedefine/>
    <w:qFormat/>
    <w:uiPriority w:val="0"/>
    <w:pPr>
      <w:widowControl/>
      <w:jc w:val="center"/>
    </w:pPr>
    <w:rPr>
      <w:rFonts w:ascii="Arial" w:hAnsi="Arial"/>
      <w:snapToGrid w:val="0"/>
      <w:kern w:val="0"/>
      <w:sz w:val="18"/>
      <w:szCs w:val="20"/>
    </w:rPr>
  </w:style>
  <w:style w:type="paragraph" w:customStyle="1" w:styleId="375">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4"/>
    <w:next w:val="379"/>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autoRedefine/>
    <w:qFormat/>
    <w:uiPriority w:val="0"/>
    <w:pPr>
      <w:ind w:firstLine="567"/>
    </w:pPr>
    <w:rPr>
      <w:spacing w:val="20"/>
      <w:sz w:val="24"/>
      <w:szCs w:val="20"/>
    </w:rPr>
  </w:style>
  <w:style w:type="paragraph" w:customStyle="1" w:styleId="386">
    <w:name w:val="_正文"/>
    <w:basedOn w:val="1"/>
    <w:autoRedefine/>
    <w:qFormat/>
    <w:uiPriority w:val="99"/>
    <w:pPr>
      <w:spacing w:line="360" w:lineRule="auto"/>
      <w:ind w:firstLine="200" w:firstLineChars="200"/>
    </w:pPr>
    <w:rPr>
      <w:rFonts w:ascii="宋体" w:hAnsi="宋体"/>
      <w:sz w:val="24"/>
    </w:rPr>
  </w:style>
  <w:style w:type="paragraph" w:customStyle="1" w:styleId="387">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9">
    <w:name w:val="_Style 15"/>
    <w:basedOn w:val="1"/>
    <w:autoRedefine/>
    <w:qFormat/>
    <w:uiPriority w:val="0"/>
  </w:style>
  <w:style w:type="paragraph" w:customStyle="1" w:styleId="39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3"/>
    <w:autoRedefine/>
    <w:qFormat/>
    <w:uiPriority w:val="0"/>
    <w:pPr>
      <w:ind w:left="572" w:right="32" w:firstLine="478"/>
    </w:pPr>
    <w:rPr>
      <w:szCs w:val="21"/>
    </w:rPr>
  </w:style>
  <w:style w:type="paragraph" w:customStyle="1" w:styleId="398">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9">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autoRedefine/>
    <w:qFormat/>
    <w:uiPriority w:val="0"/>
    <w:pPr>
      <w:spacing w:line="360" w:lineRule="auto"/>
      <w:ind w:hanging="420"/>
      <w:jc w:val="center"/>
    </w:pPr>
    <w:rPr>
      <w:sz w:val="24"/>
      <w:szCs w:val="20"/>
    </w:rPr>
  </w:style>
  <w:style w:type="paragraph" w:customStyle="1" w:styleId="401">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autoRedefine/>
    <w:qFormat/>
    <w:uiPriority w:val="0"/>
  </w:style>
  <w:style w:type="paragraph" w:customStyle="1" w:styleId="403">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autoRedefine/>
    <w:qFormat/>
    <w:uiPriority w:val="0"/>
  </w:style>
  <w:style w:type="paragraph" w:customStyle="1" w:styleId="40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6"/>
    <w:autoRedefine/>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autoRedefine/>
    <w:qFormat/>
    <w:uiPriority w:val="0"/>
    <w:rPr>
      <w:rFonts w:ascii="Tahoma" w:hAnsi="Tahoma"/>
      <w:sz w:val="24"/>
      <w:szCs w:val="20"/>
    </w:rPr>
  </w:style>
  <w:style w:type="paragraph" w:customStyle="1" w:styleId="410">
    <w:name w:val="正文内容"/>
    <w:basedOn w:val="1"/>
    <w:autoRedefine/>
    <w:qFormat/>
    <w:uiPriority w:val="0"/>
    <w:rPr>
      <w:rFonts w:ascii="Arial" w:hAnsi="Arial"/>
      <w:spacing w:val="-12"/>
      <w:szCs w:val="20"/>
    </w:rPr>
  </w:style>
  <w:style w:type="paragraph" w:customStyle="1" w:styleId="4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autoRedefine/>
    <w:qFormat/>
    <w:uiPriority w:val="0"/>
    <w:rPr>
      <w:rFonts w:ascii="Times New Roman" w:hAnsi="Times New Roman" w:eastAsia="宋体" w:cs="Times New Roman"/>
      <w:lang w:val="en-US" w:eastAsia="zh-CN" w:bidi="ar-SA"/>
    </w:rPr>
  </w:style>
  <w:style w:type="paragraph" w:customStyle="1" w:styleId="41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autoRedefine/>
    <w:qFormat/>
    <w:uiPriority w:val="0"/>
  </w:style>
  <w:style w:type="paragraph" w:customStyle="1" w:styleId="420">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autoRedefine/>
    <w:qFormat/>
    <w:uiPriority w:val="0"/>
    <w:pPr>
      <w:spacing w:before="120" w:after="120"/>
    </w:pPr>
    <w:rPr>
      <w:rFonts w:ascii="宋体"/>
      <w:b/>
      <w:sz w:val="28"/>
    </w:rPr>
  </w:style>
  <w:style w:type="paragraph" w:customStyle="1" w:styleId="42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autoRedefine/>
    <w:qFormat/>
    <w:uiPriority w:val="0"/>
    <w:pPr>
      <w:ind w:left="980" w:hanging="420"/>
    </w:pPr>
    <w:rPr>
      <w:sz w:val="24"/>
    </w:rPr>
  </w:style>
  <w:style w:type="paragraph" w:customStyle="1" w:styleId="427">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autoRedefine/>
    <w:qFormat/>
    <w:uiPriority w:val="0"/>
    <w:pPr>
      <w:ind w:firstLine="480" w:firstLineChars="200"/>
    </w:pPr>
    <w:rPr>
      <w:rFonts w:cs="宋体"/>
      <w:szCs w:val="20"/>
    </w:rPr>
  </w:style>
  <w:style w:type="paragraph" w:customStyle="1" w:styleId="430">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autoRedefine/>
    <w:qFormat/>
    <w:uiPriority w:val="34"/>
    <w:rPr>
      <w:kern w:val="2"/>
      <w:sz w:val="21"/>
      <w:szCs w:val="24"/>
    </w:rPr>
  </w:style>
  <w:style w:type="paragraph" w:styleId="456">
    <w:name w:val="List Paragraph"/>
    <w:basedOn w:val="1"/>
    <w:link w:val="455"/>
    <w:autoRedefine/>
    <w:qFormat/>
    <w:uiPriority w:val="34"/>
    <w:pPr>
      <w:ind w:firstLine="420" w:firstLineChars="200"/>
    </w:pPr>
  </w:style>
  <w:style w:type="paragraph" w:customStyle="1" w:styleId="457">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autoRedefine/>
    <w:qFormat/>
    <w:uiPriority w:val="0"/>
    <w:pPr>
      <w:spacing w:afterLines="20"/>
      <w:ind w:firstLine="1446" w:firstLineChars="200"/>
    </w:pPr>
    <w:rPr>
      <w:rFonts w:ascii="Calibri" w:hAnsi="Calibri"/>
      <w:sz w:val="24"/>
    </w:rPr>
  </w:style>
  <w:style w:type="character" w:customStyle="1" w:styleId="459">
    <w:name w:val="正文文本 3 Char"/>
    <w:basedOn w:val="52"/>
    <w:link w:val="19"/>
    <w:autoRedefine/>
    <w:qFormat/>
    <w:uiPriority w:val="0"/>
    <w:rPr>
      <w:kern w:val="2"/>
      <w:sz w:val="16"/>
      <w:szCs w:val="16"/>
    </w:rPr>
  </w:style>
  <w:style w:type="character" w:customStyle="1" w:styleId="460">
    <w:name w:val="content"/>
    <w:basedOn w:val="52"/>
    <w:qFormat/>
    <w:uiPriority w:val="0"/>
  </w:style>
  <w:style w:type="character" w:customStyle="1" w:styleId="461">
    <w:name w:val="ca-3"/>
    <w:basedOn w:val="52"/>
    <w:autoRedefine/>
    <w:qFormat/>
    <w:uiPriority w:val="0"/>
  </w:style>
  <w:style w:type="character" w:customStyle="1" w:styleId="462">
    <w:name w:val="textcontents1"/>
    <w:autoRedefine/>
    <w:qFormat/>
    <w:uiPriority w:val="0"/>
    <w:rPr>
      <w:rFonts w:hint="default" w:ascii="ˎ̥" w:hAnsi="ˎ̥"/>
      <w:sz w:val="21"/>
      <w:szCs w:val="21"/>
    </w:rPr>
  </w:style>
  <w:style w:type="character" w:customStyle="1" w:styleId="463">
    <w:name w:val="脚注文本 Char1"/>
    <w:autoRedefine/>
    <w:qFormat/>
    <w:uiPriority w:val="0"/>
    <w:rPr>
      <w:kern w:val="2"/>
      <w:sz w:val="18"/>
      <w:szCs w:val="18"/>
    </w:rPr>
  </w:style>
  <w:style w:type="character" w:customStyle="1" w:styleId="464">
    <w:name w:val="脚注文本 Char"/>
    <w:link w:val="39"/>
    <w:autoRedefine/>
    <w:qFormat/>
    <w:uiPriority w:val="0"/>
    <w:rPr>
      <w:kern w:val="2"/>
      <w:sz w:val="18"/>
      <w:szCs w:val="18"/>
    </w:rPr>
  </w:style>
  <w:style w:type="character" w:customStyle="1" w:styleId="465">
    <w:name w:val="正文首行缩进（绿盟科技） Char"/>
    <w:link w:val="466"/>
    <w:autoRedefine/>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2"/>
    <w:autoRedefine/>
    <w:qFormat/>
    <w:uiPriority w:val="0"/>
  </w:style>
  <w:style w:type="character" w:customStyle="1" w:styleId="468">
    <w:name w:val="Char Char21"/>
    <w:autoRedefine/>
    <w:qFormat/>
    <w:uiPriority w:val="0"/>
    <w:rPr>
      <w:b/>
      <w:bCs/>
      <w:kern w:val="2"/>
      <w:sz w:val="32"/>
      <w:szCs w:val="32"/>
    </w:rPr>
  </w:style>
  <w:style w:type="character" w:customStyle="1" w:styleId="469">
    <w:name w:val="content1"/>
    <w:autoRedefine/>
    <w:qFormat/>
    <w:uiPriority w:val="0"/>
    <w:rPr>
      <w:rFonts w:hint="default" w:ascii="??" w:hAnsi="??"/>
      <w:sz w:val="16"/>
      <w:szCs w:val="16"/>
      <w:u w:val="none"/>
    </w:rPr>
  </w:style>
  <w:style w:type="character" w:customStyle="1" w:styleId="470">
    <w:name w:val="text21"/>
    <w:basedOn w:val="52"/>
    <w:autoRedefine/>
    <w:qFormat/>
    <w:uiPriority w:val="0"/>
  </w:style>
  <w:style w:type="character" w:customStyle="1" w:styleId="471">
    <w:name w:val="apple-style-span"/>
    <w:basedOn w:val="52"/>
    <w:qFormat/>
    <w:uiPriority w:val="0"/>
  </w:style>
  <w:style w:type="paragraph" w:customStyle="1" w:styleId="472">
    <w:name w:val="缺省文本"/>
    <w:basedOn w:val="1"/>
    <w:autoRedefine/>
    <w:qFormat/>
    <w:uiPriority w:val="0"/>
    <w:pPr>
      <w:autoSpaceDE w:val="0"/>
      <w:autoSpaceDN w:val="0"/>
      <w:adjustRightInd w:val="0"/>
      <w:jc w:val="left"/>
    </w:pPr>
    <w:rPr>
      <w:kern w:val="0"/>
      <w:sz w:val="24"/>
    </w:rPr>
  </w:style>
  <w:style w:type="paragraph" w:customStyle="1" w:styleId="473">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autoRedefine/>
    <w:qFormat/>
    <w:uiPriority w:val="0"/>
    <w:rPr>
      <w:rFonts w:ascii="宋体" w:hAnsi="Courier New"/>
      <w:szCs w:val="20"/>
    </w:rPr>
  </w:style>
  <w:style w:type="character" w:customStyle="1" w:styleId="482">
    <w:name w:val="脚注文本 Char2"/>
    <w:basedOn w:val="52"/>
    <w:link w:val="39"/>
    <w:autoRedefine/>
    <w:semiHidden/>
    <w:qFormat/>
    <w:uiPriority w:val="0"/>
    <w:rPr>
      <w:kern w:val="2"/>
      <w:sz w:val="18"/>
      <w:szCs w:val="18"/>
    </w:rPr>
  </w:style>
  <w:style w:type="paragraph" w:customStyle="1" w:styleId="483">
    <w:name w:val="_Style 56"/>
    <w:basedOn w:val="1"/>
    <w:next w:val="27"/>
    <w:autoRedefine/>
    <w:qFormat/>
    <w:uiPriority w:val="0"/>
    <w:rPr>
      <w:rFonts w:ascii="宋体" w:hAnsi="Courier New"/>
      <w:szCs w:val="20"/>
    </w:rPr>
  </w:style>
  <w:style w:type="paragraph" w:customStyle="1" w:styleId="484">
    <w:name w:val="Char Char Char Char2"/>
    <w:basedOn w:val="1"/>
    <w:autoRedefine/>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autoRedefine/>
    <w:qFormat/>
    <w:uiPriority w:val="0"/>
    <w:pPr>
      <w:widowControl/>
      <w:spacing w:after="160" w:line="240" w:lineRule="exact"/>
      <w:jc w:val="left"/>
    </w:pPr>
  </w:style>
  <w:style w:type="paragraph" w:customStyle="1" w:styleId="491">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7"/>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7"/>
    <w:qFormat/>
    <w:uiPriority w:val="0"/>
    <w:rPr>
      <w:rFonts w:ascii="宋体" w:hAnsi="Courier New"/>
      <w:szCs w:val="20"/>
    </w:rPr>
  </w:style>
  <w:style w:type="paragraph" w:customStyle="1" w:styleId="502">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6">
    <w:name w:val="Ｒ07-正!!文 Char Char"/>
    <w:link w:val="507"/>
    <w:autoRedefine/>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autoRedefine/>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1">
    <w:name w:val="Table Normal"/>
    <w:semiHidden/>
    <w:unhideWhenUsed/>
    <w:qFormat/>
    <w:uiPriority w:val="0"/>
    <w:tblPr>
      <w:tblCellMar>
        <w:top w:w="0" w:type="dxa"/>
        <w:left w:w="0" w:type="dxa"/>
        <w:bottom w:w="0" w:type="dxa"/>
        <w:right w:w="0" w:type="dxa"/>
      </w:tblCellMar>
    </w:tblPr>
  </w:style>
  <w:style w:type="table" w:customStyle="1" w:styleId="512">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3">
    <w:name w:val="￥正文"/>
    <w:basedOn w:val="1"/>
    <w:qFormat/>
    <w:uiPriority w:val="0"/>
    <w:pPr>
      <w:tabs>
        <w:tab w:val="left" w:pos="426"/>
      </w:tabs>
      <w:ind w:firstLine="200" w:firstLineChars="200"/>
    </w:pPr>
    <w:rPr>
      <w:rFonts w:eastAsiaTheme="minorEastAsi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88</Pages>
  <Words>1297</Words>
  <Characters>1316</Characters>
  <Lines>398</Lines>
  <Paragraphs>112</Paragraphs>
  <TotalTime>10</TotalTime>
  <ScaleCrop>false</ScaleCrop>
  <LinksUpToDate>false</LinksUpToDate>
  <CharactersWithSpaces>1332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中正--肖工</cp:lastModifiedBy>
  <cp:lastPrinted>2020-05-26T01:03:00Z</cp:lastPrinted>
  <dcterms:modified xsi:type="dcterms:W3CDTF">2026-04-07T01:38:08Z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eyJoZGlkIjoiOTM3MjBiNjhjY2U0ZDI0ZTM1OGYyYTNlZGQxMjhlMDciLCJ1c2VySWQiOiIxMjAzMDAzMzMwIn0=</vt:lpwstr>
  </property>
</Properties>
</file>