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071F4">
      <w:pPr>
        <w:keepNext w:val="0"/>
        <w:keepLines w:val="0"/>
        <w:pageBreakBefore w:val="0"/>
        <w:kinsoku/>
        <w:wordWrap/>
        <w:overflowPunct/>
        <w:topLinePunct w:val="0"/>
        <w:autoSpaceDE/>
        <w:autoSpaceDN/>
        <w:bidi w:val="0"/>
        <w:spacing w:line="360" w:lineRule="auto"/>
        <w:ind w:left="0"/>
        <w:jc w:val="center"/>
        <w:textAlignment w:val="auto"/>
        <w:rPr>
          <w:rFonts w:hint="eastAsia" w:ascii="宋体" w:hAnsi="宋体" w:eastAsia="宋体" w:cs="宋体"/>
          <w:b/>
          <w:sz w:val="36"/>
          <w:szCs w:val="36"/>
        </w:rPr>
      </w:pPr>
      <w:r>
        <w:rPr>
          <w:rFonts w:hint="eastAsia" w:ascii="宋体" w:hAnsi="宋体" w:eastAsia="宋体" w:cs="宋体"/>
          <w:b/>
          <w:sz w:val="36"/>
          <w:szCs w:val="36"/>
        </w:rPr>
        <w:t>项目需求</w:t>
      </w:r>
    </w:p>
    <w:p w14:paraId="5BE53BA8">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sz w:val="28"/>
          <w:szCs w:val="28"/>
        </w:rPr>
      </w:pPr>
      <w:r>
        <w:rPr>
          <w:rFonts w:hint="eastAsia" w:ascii="宋体" w:hAnsi="宋体" w:eastAsia="宋体" w:cs="宋体"/>
          <w:b/>
          <w:sz w:val="28"/>
          <w:szCs w:val="28"/>
        </w:rPr>
        <w:t>一、项目清单</w:t>
      </w:r>
    </w:p>
    <w:tbl>
      <w:tblPr>
        <w:tblStyle w:val="20"/>
        <w:tblW w:w="8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3465"/>
        <w:gridCol w:w="960"/>
        <w:gridCol w:w="960"/>
        <w:gridCol w:w="2163"/>
      </w:tblGrid>
      <w:tr w14:paraId="1204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2" w:type="dxa"/>
            <w:noWrap w:val="0"/>
            <w:vAlign w:val="center"/>
          </w:tcPr>
          <w:p w14:paraId="594EE763">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序号</w:t>
            </w:r>
          </w:p>
        </w:tc>
        <w:tc>
          <w:tcPr>
            <w:tcW w:w="3465" w:type="dxa"/>
            <w:noWrap w:val="0"/>
            <w:vAlign w:val="center"/>
          </w:tcPr>
          <w:p w14:paraId="5C48956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cs="宋体"/>
                <w:b/>
                <w:sz w:val="22"/>
                <w:lang w:val="en-US" w:eastAsia="zh-CN"/>
              </w:rPr>
              <w:t>采购</w:t>
            </w:r>
            <w:r>
              <w:rPr>
                <w:rFonts w:hint="eastAsia" w:ascii="宋体" w:hAnsi="宋体" w:eastAsia="宋体" w:cs="宋体"/>
                <w:b/>
                <w:sz w:val="22"/>
              </w:rPr>
              <w:t>内容</w:t>
            </w:r>
          </w:p>
        </w:tc>
        <w:tc>
          <w:tcPr>
            <w:tcW w:w="960" w:type="dxa"/>
            <w:noWrap w:val="0"/>
            <w:vAlign w:val="center"/>
          </w:tcPr>
          <w:p w14:paraId="665FF04A">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单位</w:t>
            </w:r>
          </w:p>
        </w:tc>
        <w:tc>
          <w:tcPr>
            <w:tcW w:w="960" w:type="dxa"/>
            <w:noWrap w:val="0"/>
            <w:vAlign w:val="center"/>
          </w:tcPr>
          <w:p w14:paraId="186D285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数量</w:t>
            </w:r>
          </w:p>
        </w:tc>
        <w:tc>
          <w:tcPr>
            <w:tcW w:w="2163" w:type="dxa"/>
            <w:noWrap w:val="0"/>
            <w:vAlign w:val="center"/>
          </w:tcPr>
          <w:p w14:paraId="5873910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财政预算金额（元）</w:t>
            </w:r>
          </w:p>
        </w:tc>
      </w:tr>
      <w:tr w14:paraId="6A84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22" w:type="dxa"/>
            <w:noWrap w:val="0"/>
            <w:vAlign w:val="center"/>
          </w:tcPr>
          <w:p w14:paraId="3143CD86">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sz w:val="21"/>
                <w:szCs w:val="21"/>
              </w:rPr>
            </w:pPr>
            <w:r>
              <w:rPr>
                <w:rFonts w:hint="eastAsia" w:ascii="宋体" w:hAnsi="宋体" w:eastAsia="宋体" w:cs="宋体"/>
                <w:bCs/>
                <w:sz w:val="21"/>
                <w:szCs w:val="21"/>
              </w:rPr>
              <w:t>1</w:t>
            </w:r>
          </w:p>
        </w:tc>
        <w:tc>
          <w:tcPr>
            <w:tcW w:w="3465" w:type="dxa"/>
            <w:noWrap w:val="0"/>
            <w:vAlign w:val="center"/>
          </w:tcPr>
          <w:p w14:paraId="2343C32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1"/>
                <w:szCs w:val="21"/>
                <w:lang w:eastAsia="zh-CN"/>
              </w:rPr>
            </w:pPr>
            <w:r>
              <w:rPr>
                <w:rFonts w:hint="eastAsia" w:ascii="宋体" w:hAnsi="宋体" w:cs="宋体"/>
                <w:sz w:val="21"/>
                <w:szCs w:val="21"/>
                <w:lang w:eastAsia="zh-CN"/>
              </w:rPr>
              <w:t>存储服务器采购项目</w:t>
            </w:r>
          </w:p>
        </w:tc>
        <w:tc>
          <w:tcPr>
            <w:tcW w:w="960" w:type="dxa"/>
            <w:noWrap w:val="0"/>
            <w:vAlign w:val="center"/>
          </w:tcPr>
          <w:p w14:paraId="3041CEBB">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1"/>
                <w:szCs w:val="21"/>
              </w:rPr>
            </w:pPr>
            <w:r>
              <w:rPr>
                <w:rFonts w:hint="eastAsia" w:ascii="宋体" w:hAnsi="宋体" w:eastAsia="宋体" w:cs="宋体"/>
                <w:bCs/>
                <w:sz w:val="21"/>
                <w:szCs w:val="21"/>
              </w:rPr>
              <w:t>1</w:t>
            </w:r>
          </w:p>
        </w:tc>
        <w:tc>
          <w:tcPr>
            <w:tcW w:w="960" w:type="dxa"/>
            <w:noWrap w:val="0"/>
            <w:vAlign w:val="center"/>
          </w:tcPr>
          <w:p w14:paraId="1FCE30B2">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1"/>
                <w:szCs w:val="21"/>
                <w:lang w:eastAsia="zh-CN"/>
              </w:rPr>
            </w:pPr>
            <w:r>
              <w:rPr>
                <w:rFonts w:hint="eastAsia" w:ascii="宋体" w:hAnsi="宋体" w:cs="宋体"/>
                <w:bCs/>
                <w:sz w:val="21"/>
                <w:szCs w:val="21"/>
                <w:lang w:val="en-US" w:eastAsia="zh-CN"/>
              </w:rPr>
              <w:t>批</w:t>
            </w:r>
          </w:p>
        </w:tc>
        <w:tc>
          <w:tcPr>
            <w:tcW w:w="2163" w:type="dxa"/>
            <w:noWrap w:val="0"/>
            <w:vAlign w:val="center"/>
          </w:tcPr>
          <w:p w14:paraId="434D57D5">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810,000</w:t>
            </w:r>
            <w:r>
              <w:rPr>
                <w:rFonts w:hint="eastAsia" w:ascii="宋体" w:hAnsi="宋体" w:eastAsia="宋体" w:cs="宋体"/>
                <w:sz w:val="21"/>
                <w:szCs w:val="21"/>
              </w:rPr>
              <w:t>.00</w:t>
            </w:r>
          </w:p>
        </w:tc>
      </w:tr>
    </w:tbl>
    <w:p w14:paraId="6FCB4A35">
      <w:pPr>
        <w:pStyle w:val="7"/>
        <w:keepNext w:val="0"/>
        <w:keepLines w:val="0"/>
        <w:pageBreakBefore w:val="0"/>
        <w:widowControl w:val="0"/>
        <w:kinsoku/>
        <w:wordWrap/>
        <w:overflowPunct/>
        <w:topLinePunct w:val="0"/>
        <w:autoSpaceDE/>
        <w:autoSpaceDN/>
        <w:bidi w:val="0"/>
        <w:adjustRightInd/>
        <w:snapToGrid/>
        <w:spacing w:after="0" w:line="360" w:lineRule="auto"/>
        <w:ind w:left="0"/>
        <w:textAlignment w:val="auto"/>
        <w:rPr>
          <w:rFonts w:hint="eastAsia" w:ascii="宋体" w:hAnsi="宋体" w:eastAsia="宋体" w:cs="宋体"/>
        </w:rPr>
      </w:pPr>
    </w:p>
    <w:p w14:paraId="707B733C">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default" w:ascii="宋体" w:hAnsi="宋体" w:cs="宋体"/>
          <w:b/>
          <w:sz w:val="28"/>
          <w:szCs w:val="28"/>
          <w:lang w:val="en-US" w:eastAsia="zh-CN"/>
        </w:rPr>
      </w:pPr>
      <w:r>
        <w:rPr>
          <w:rFonts w:hint="eastAsia" w:ascii="宋体" w:hAnsi="宋体" w:cs="宋体"/>
          <w:b/>
          <w:sz w:val="28"/>
          <w:szCs w:val="28"/>
          <w:lang w:val="en-US" w:eastAsia="zh-CN"/>
        </w:rPr>
        <w:t>二、货物清单</w:t>
      </w:r>
    </w:p>
    <w:tbl>
      <w:tblPr>
        <w:tblStyle w:val="20"/>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3480"/>
        <w:gridCol w:w="960"/>
        <w:gridCol w:w="960"/>
        <w:gridCol w:w="2139"/>
      </w:tblGrid>
      <w:tr w14:paraId="54FFE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2E149D6">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b/>
                <w:bCs/>
                <w:color w:val="000000" w:themeColor="text1"/>
                <w:szCs w:val="21"/>
              </w:rPr>
            </w:pPr>
            <w:bookmarkStart w:id="0" w:name="_GoBack" w:colFirst="0" w:colLast="4"/>
            <w:r>
              <w:rPr>
                <w:rFonts w:hint="eastAsia" w:asciiTheme="minorEastAsia" w:hAnsiTheme="minorEastAsia" w:eastAsiaTheme="minorEastAsia"/>
                <w:b/>
                <w:bCs/>
                <w:color w:val="000000" w:themeColor="text1"/>
                <w:szCs w:val="21"/>
              </w:rPr>
              <w:t>序号</w:t>
            </w:r>
          </w:p>
        </w:tc>
        <w:tc>
          <w:tcPr>
            <w:tcW w:w="3480" w:type="dxa"/>
            <w:vAlign w:val="center"/>
          </w:tcPr>
          <w:p w14:paraId="3ABA8A56">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b/>
                <w:bCs/>
                <w:color w:val="000000" w:themeColor="text1"/>
                <w:szCs w:val="21"/>
                <w:lang w:val="en-US" w:eastAsia="zh-CN"/>
              </w:rPr>
            </w:pPr>
            <w:r>
              <w:rPr>
                <w:rFonts w:hint="eastAsia" w:asciiTheme="minorEastAsia" w:hAnsiTheme="minorEastAsia" w:eastAsiaTheme="minorEastAsia"/>
                <w:b/>
                <w:bCs/>
                <w:color w:val="000000" w:themeColor="text1"/>
                <w:szCs w:val="21"/>
                <w:lang w:val="en-US" w:eastAsia="zh-CN"/>
              </w:rPr>
              <w:t>货物名称</w:t>
            </w:r>
          </w:p>
        </w:tc>
        <w:tc>
          <w:tcPr>
            <w:tcW w:w="960" w:type="dxa"/>
            <w:vAlign w:val="center"/>
          </w:tcPr>
          <w:p w14:paraId="22A9FBE4">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b/>
                <w:bCs/>
                <w:color w:val="000000" w:themeColor="text1"/>
                <w:szCs w:val="21"/>
              </w:rPr>
            </w:pPr>
            <w:r>
              <w:rPr>
                <w:rFonts w:hint="eastAsia" w:asciiTheme="minorEastAsia" w:hAnsiTheme="minorEastAsia" w:eastAsiaTheme="minorEastAsia"/>
                <w:b/>
                <w:bCs/>
                <w:color w:val="000000" w:themeColor="text1"/>
                <w:szCs w:val="21"/>
              </w:rPr>
              <w:t>数量</w:t>
            </w:r>
          </w:p>
        </w:tc>
        <w:tc>
          <w:tcPr>
            <w:tcW w:w="960" w:type="dxa"/>
            <w:vAlign w:val="center"/>
          </w:tcPr>
          <w:p w14:paraId="0EABE0DB">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b/>
                <w:bCs/>
                <w:color w:val="000000" w:themeColor="text1"/>
                <w:szCs w:val="21"/>
              </w:rPr>
            </w:pPr>
            <w:r>
              <w:rPr>
                <w:rFonts w:hint="eastAsia" w:asciiTheme="minorEastAsia" w:hAnsiTheme="minorEastAsia" w:eastAsiaTheme="minorEastAsia"/>
                <w:b/>
                <w:bCs/>
                <w:color w:val="000000" w:themeColor="text1"/>
                <w:szCs w:val="21"/>
              </w:rPr>
              <w:t>单位</w:t>
            </w:r>
          </w:p>
        </w:tc>
        <w:tc>
          <w:tcPr>
            <w:tcW w:w="2139" w:type="dxa"/>
            <w:vAlign w:val="center"/>
          </w:tcPr>
          <w:p w14:paraId="7110E75D">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b/>
                <w:bCs/>
                <w:color w:val="000000" w:themeColor="text1"/>
                <w:szCs w:val="21"/>
              </w:rPr>
            </w:pPr>
            <w:r>
              <w:rPr>
                <w:rFonts w:hint="eastAsia" w:asciiTheme="minorEastAsia" w:hAnsiTheme="minorEastAsia" w:eastAsiaTheme="minorEastAsia"/>
                <w:b/>
                <w:bCs/>
                <w:color w:val="000000" w:themeColor="text1"/>
                <w:szCs w:val="21"/>
              </w:rPr>
              <w:t>财政预算限额</w:t>
            </w:r>
          </w:p>
        </w:tc>
      </w:tr>
      <w:bookmarkEnd w:id="0"/>
      <w:tr w14:paraId="25F1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16" w:type="dxa"/>
            <w:vAlign w:val="center"/>
          </w:tcPr>
          <w:p w14:paraId="53F94955">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b w:val="0"/>
                <w:bCs w:val="0"/>
                <w:color w:val="000000" w:themeColor="text1"/>
                <w:szCs w:val="21"/>
              </w:rPr>
            </w:pPr>
            <w:r>
              <w:rPr>
                <w:rFonts w:hint="eastAsia" w:asciiTheme="minorEastAsia" w:hAnsiTheme="minorEastAsia" w:eastAsiaTheme="minorEastAsia"/>
                <w:b w:val="0"/>
                <w:bCs w:val="0"/>
                <w:color w:val="000000" w:themeColor="text1"/>
                <w:szCs w:val="21"/>
              </w:rPr>
              <w:t>1</w:t>
            </w:r>
          </w:p>
        </w:tc>
        <w:tc>
          <w:tcPr>
            <w:tcW w:w="3480" w:type="dxa"/>
            <w:vAlign w:val="center"/>
          </w:tcPr>
          <w:p w14:paraId="02C56E17">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b w:val="0"/>
                <w:bCs w:val="0"/>
                <w:color w:val="000000" w:themeColor="text1"/>
                <w:szCs w:val="21"/>
              </w:rPr>
            </w:pPr>
            <w:r>
              <w:rPr>
                <w:rFonts w:hint="eastAsia" w:asciiTheme="minorEastAsia" w:hAnsiTheme="minorEastAsia" w:eastAsiaTheme="minorEastAsia"/>
                <w:b w:val="0"/>
                <w:bCs w:val="0"/>
                <w:color w:val="000000" w:themeColor="text1"/>
                <w:szCs w:val="21"/>
              </w:rPr>
              <w:t>存储服务器</w:t>
            </w:r>
          </w:p>
        </w:tc>
        <w:tc>
          <w:tcPr>
            <w:tcW w:w="960" w:type="dxa"/>
            <w:vAlign w:val="center"/>
          </w:tcPr>
          <w:p w14:paraId="309A31ED">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b w:val="0"/>
                <w:bCs w:val="0"/>
                <w:color w:val="000000" w:themeColor="text1"/>
                <w:szCs w:val="21"/>
              </w:rPr>
            </w:pPr>
            <w:r>
              <w:rPr>
                <w:rFonts w:hint="eastAsia" w:asciiTheme="minorEastAsia" w:hAnsiTheme="minorEastAsia" w:eastAsiaTheme="minorEastAsia"/>
                <w:b w:val="0"/>
                <w:bCs w:val="0"/>
                <w:color w:val="000000" w:themeColor="text1"/>
                <w:szCs w:val="21"/>
              </w:rPr>
              <w:t>1</w:t>
            </w:r>
          </w:p>
        </w:tc>
        <w:tc>
          <w:tcPr>
            <w:tcW w:w="960" w:type="dxa"/>
            <w:vAlign w:val="center"/>
          </w:tcPr>
          <w:p w14:paraId="17FFDFD7">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b w:val="0"/>
                <w:bCs w:val="0"/>
                <w:color w:val="000000" w:themeColor="text1"/>
                <w:szCs w:val="21"/>
              </w:rPr>
            </w:pPr>
            <w:r>
              <w:rPr>
                <w:rFonts w:hint="eastAsia" w:asciiTheme="minorEastAsia" w:hAnsiTheme="minorEastAsia" w:eastAsiaTheme="minorEastAsia"/>
                <w:b w:val="0"/>
                <w:bCs w:val="0"/>
                <w:color w:val="000000" w:themeColor="text1"/>
                <w:szCs w:val="21"/>
              </w:rPr>
              <w:t>台</w:t>
            </w:r>
          </w:p>
        </w:tc>
        <w:tc>
          <w:tcPr>
            <w:tcW w:w="2139" w:type="dxa"/>
            <w:vAlign w:val="center"/>
          </w:tcPr>
          <w:p w14:paraId="76A92AE1">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b w:val="0"/>
                <w:bCs w:val="0"/>
                <w:color w:val="000000" w:themeColor="text1"/>
                <w:szCs w:val="21"/>
                <w:lang w:val="en-US" w:eastAsia="zh-CN"/>
              </w:rPr>
            </w:pPr>
            <w:r>
              <w:rPr>
                <w:rFonts w:hint="eastAsia" w:asciiTheme="minorEastAsia" w:hAnsiTheme="minorEastAsia" w:eastAsiaTheme="minorEastAsia"/>
                <w:b w:val="0"/>
                <w:bCs w:val="0"/>
                <w:color w:val="000000" w:themeColor="text1"/>
                <w:szCs w:val="21"/>
                <w:lang w:val="en-US" w:eastAsia="zh-CN"/>
              </w:rPr>
              <w:t>400,000.00</w:t>
            </w:r>
          </w:p>
        </w:tc>
      </w:tr>
      <w:tr w14:paraId="2987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16" w:type="dxa"/>
            <w:vAlign w:val="center"/>
          </w:tcPr>
          <w:p w14:paraId="042B1D03">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b w:val="0"/>
                <w:bCs w:val="0"/>
                <w:color w:val="000000" w:themeColor="text1"/>
                <w:szCs w:val="21"/>
              </w:rPr>
            </w:pPr>
            <w:r>
              <w:rPr>
                <w:rFonts w:hint="eastAsia" w:asciiTheme="minorEastAsia" w:hAnsiTheme="minorEastAsia" w:eastAsiaTheme="minorEastAsia"/>
                <w:b w:val="0"/>
                <w:bCs w:val="0"/>
                <w:color w:val="000000" w:themeColor="text1"/>
                <w:szCs w:val="21"/>
              </w:rPr>
              <w:t>2</w:t>
            </w:r>
          </w:p>
        </w:tc>
        <w:tc>
          <w:tcPr>
            <w:tcW w:w="3480" w:type="dxa"/>
            <w:vAlign w:val="center"/>
          </w:tcPr>
          <w:p w14:paraId="7DD1BB38">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b w:val="0"/>
                <w:bCs w:val="0"/>
                <w:color w:val="000000" w:themeColor="text1"/>
                <w:szCs w:val="21"/>
              </w:rPr>
            </w:pPr>
            <w:r>
              <w:rPr>
                <w:rFonts w:hint="eastAsia" w:asciiTheme="minorEastAsia" w:hAnsiTheme="minorEastAsia" w:eastAsiaTheme="minorEastAsia"/>
                <w:b w:val="0"/>
                <w:bCs w:val="0"/>
                <w:color w:val="000000" w:themeColor="text1"/>
                <w:szCs w:val="21"/>
              </w:rPr>
              <w:t>备份专用服务器</w:t>
            </w:r>
          </w:p>
        </w:tc>
        <w:tc>
          <w:tcPr>
            <w:tcW w:w="960" w:type="dxa"/>
            <w:vAlign w:val="center"/>
          </w:tcPr>
          <w:p w14:paraId="71CC0A3C">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b w:val="0"/>
                <w:bCs w:val="0"/>
                <w:color w:val="000000" w:themeColor="text1"/>
                <w:szCs w:val="21"/>
              </w:rPr>
            </w:pPr>
            <w:r>
              <w:rPr>
                <w:rFonts w:hint="eastAsia" w:asciiTheme="minorEastAsia" w:hAnsiTheme="minorEastAsia" w:eastAsiaTheme="minorEastAsia"/>
                <w:b w:val="0"/>
                <w:bCs w:val="0"/>
                <w:color w:val="000000" w:themeColor="text1"/>
                <w:szCs w:val="21"/>
              </w:rPr>
              <w:t>2</w:t>
            </w:r>
          </w:p>
        </w:tc>
        <w:tc>
          <w:tcPr>
            <w:tcW w:w="960" w:type="dxa"/>
            <w:vAlign w:val="center"/>
          </w:tcPr>
          <w:p w14:paraId="4BC44720">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b w:val="0"/>
                <w:bCs w:val="0"/>
                <w:color w:val="000000" w:themeColor="text1"/>
                <w:szCs w:val="21"/>
              </w:rPr>
            </w:pPr>
            <w:r>
              <w:rPr>
                <w:rFonts w:hint="eastAsia" w:asciiTheme="minorEastAsia" w:hAnsiTheme="minorEastAsia" w:eastAsiaTheme="minorEastAsia"/>
                <w:b w:val="0"/>
                <w:bCs w:val="0"/>
                <w:color w:val="000000" w:themeColor="text1"/>
                <w:szCs w:val="21"/>
              </w:rPr>
              <w:t>台</w:t>
            </w:r>
          </w:p>
        </w:tc>
        <w:tc>
          <w:tcPr>
            <w:tcW w:w="2139" w:type="dxa"/>
            <w:vAlign w:val="center"/>
          </w:tcPr>
          <w:p w14:paraId="22F32862">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b w:val="0"/>
                <w:bCs w:val="0"/>
                <w:color w:val="000000" w:themeColor="text1"/>
                <w:szCs w:val="21"/>
                <w:lang w:val="en-US" w:eastAsia="zh-CN"/>
              </w:rPr>
            </w:pPr>
            <w:r>
              <w:rPr>
                <w:rFonts w:hint="eastAsia" w:asciiTheme="minorEastAsia" w:hAnsiTheme="minorEastAsia" w:eastAsiaTheme="minorEastAsia"/>
                <w:b w:val="0"/>
                <w:bCs w:val="0"/>
                <w:color w:val="000000" w:themeColor="text1"/>
                <w:szCs w:val="21"/>
                <w:lang w:val="en-US" w:eastAsia="zh-CN"/>
              </w:rPr>
              <w:t>410,000.00</w:t>
            </w:r>
          </w:p>
        </w:tc>
      </w:tr>
    </w:tbl>
    <w:p w14:paraId="4D2D2DFC">
      <w:pPr>
        <w:pStyle w:val="7"/>
        <w:keepNext w:val="0"/>
        <w:keepLines w:val="0"/>
        <w:pageBreakBefore w:val="0"/>
        <w:widowControl w:val="0"/>
        <w:kinsoku/>
        <w:wordWrap/>
        <w:overflowPunct/>
        <w:topLinePunct w:val="0"/>
        <w:autoSpaceDE/>
        <w:autoSpaceDN/>
        <w:bidi w:val="0"/>
        <w:adjustRightInd/>
        <w:snapToGrid/>
        <w:spacing w:after="0" w:line="360" w:lineRule="auto"/>
        <w:ind w:left="0"/>
        <w:textAlignment w:val="auto"/>
        <w:rPr>
          <w:rFonts w:hint="eastAsia" w:ascii="宋体" w:hAnsi="宋体" w:eastAsia="宋体" w:cs="宋体"/>
        </w:rPr>
      </w:pPr>
    </w:p>
    <w:p w14:paraId="5EBF993B">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en-US" w:eastAsia="zh-CN"/>
        </w:rPr>
        <w:t>三</w:t>
      </w:r>
      <w:r>
        <w:rPr>
          <w:rFonts w:hint="eastAsia" w:ascii="宋体" w:hAnsi="宋体" w:eastAsia="宋体" w:cs="宋体"/>
          <w:b/>
          <w:sz w:val="28"/>
          <w:szCs w:val="28"/>
        </w:rPr>
        <w:t>、</w:t>
      </w:r>
      <w:r>
        <w:rPr>
          <w:rFonts w:hint="eastAsia" w:ascii="宋体" w:hAnsi="宋体" w:eastAsia="宋体" w:cs="宋体"/>
          <w:b/>
          <w:sz w:val="28"/>
          <w:szCs w:val="28"/>
          <w:lang w:val="en-US" w:eastAsia="zh-CN"/>
        </w:rPr>
        <w:t>技术</w:t>
      </w:r>
      <w:r>
        <w:rPr>
          <w:rFonts w:hint="eastAsia" w:ascii="宋体" w:hAnsi="宋体" w:cs="宋体"/>
          <w:b/>
          <w:sz w:val="28"/>
          <w:szCs w:val="28"/>
          <w:lang w:val="en-US" w:eastAsia="zh-CN"/>
        </w:rPr>
        <w:t>要求</w:t>
      </w:r>
    </w:p>
    <w:tbl>
      <w:tblPr>
        <w:tblStyle w:val="20"/>
        <w:tblW w:w="8265"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360"/>
        <w:gridCol w:w="6074"/>
      </w:tblGrid>
      <w:tr w14:paraId="288D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31" w:type="dxa"/>
            <w:tcBorders>
              <w:tl2br w:val="nil"/>
              <w:tr2bl w:val="nil"/>
            </w:tcBorders>
            <w:shd w:val="clear" w:color="000000" w:fill="FFFFFF"/>
            <w:vAlign w:val="center"/>
          </w:tcPr>
          <w:p w14:paraId="0CA2241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序号</w:t>
            </w:r>
          </w:p>
        </w:tc>
        <w:tc>
          <w:tcPr>
            <w:tcW w:w="1360" w:type="dxa"/>
            <w:tcBorders>
              <w:tl2br w:val="nil"/>
              <w:tr2bl w:val="nil"/>
            </w:tcBorders>
            <w:shd w:val="clear" w:color="000000" w:fill="FFFFFF"/>
            <w:vAlign w:val="center"/>
          </w:tcPr>
          <w:p w14:paraId="434EED6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货物名称</w:t>
            </w:r>
          </w:p>
        </w:tc>
        <w:tc>
          <w:tcPr>
            <w:tcW w:w="6074" w:type="dxa"/>
            <w:tcBorders>
              <w:tl2br w:val="nil"/>
              <w:tr2bl w:val="nil"/>
            </w:tcBorders>
            <w:shd w:val="clear" w:color="000000" w:fill="FFFFFF"/>
            <w:vAlign w:val="center"/>
          </w:tcPr>
          <w:p w14:paraId="45F675F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技术要求</w:t>
            </w:r>
          </w:p>
        </w:tc>
      </w:tr>
      <w:tr w14:paraId="14E8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1" w:type="dxa"/>
            <w:vMerge w:val="restart"/>
            <w:tcBorders>
              <w:tl2br w:val="nil"/>
              <w:tr2bl w:val="nil"/>
            </w:tcBorders>
            <w:vAlign w:val="center"/>
          </w:tcPr>
          <w:p w14:paraId="488056A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360" w:type="dxa"/>
            <w:vMerge w:val="restart"/>
            <w:tcBorders>
              <w:tl2br w:val="nil"/>
              <w:tr2bl w:val="nil"/>
            </w:tcBorders>
            <w:vAlign w:val="center"/>
          </w:tcPr>
          <w:p w14:paraId="7E88207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存储服务器</w:t>
            </w:r>
          </w:p>
        </w:tc>
        <w:tc>
          <w:tcPr>
            <w:tcW w:w="6074" w:type="dxa"/>
            <w:tcBorders>
              <w:tl2br w:val="nil"/>
              <w:tr2bl w:val="nil"/>
            </w:tcBorders>
            <w:vAlign w:val="center"/>
          </w:tcPr>
          <w:p w14:paraId="4753A95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rPr>
              <w:t>1、产品使用成熟稳定的国产品牌自主研发CPU（如鲲鹏、飞腾、申威），提供投标产品使用CPU型号、主频等证明材料并加盖原厂公章。</w:t>
            </w:r>
          </w:p>
        </w:tc>
      </w:tr>
      <w:tr w14:paraId="1AA1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31" w:type="dxa"/>
            <w:vMerge w:val="continue"/>
            <w:tcBorders>
              <w:tl2br w:val="nil"/>
              <w:tr2bl w:val="nil"/>
            </w:tcBorders>
            <w:vAlign w:val="center"/>
          </w:tcPr>
          <w:p w14:paraId="38EC6E5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tc>
        <w:tc>
          <w:tcPr>
            <w:tcW w:w="1360" w:type="dxa"/>
            <w:vMerge w:val="continue"/>
            <w:tcBorders>
              <w:tl2br w:val="nil"/>
              <w:tr2bl w:val="nil"/>
            </w:tcBorders>
            <w:vAlign w:val="center"/>
          </w:tcPr>
          <w:p w14:paraId="6151CAF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tc>
        <w:tc>
          <w:tcPr>
            <w:tcW w:w="6074" w:type="dxa"/>
            <w:tcBorders>
              <w:tl2br w:val="nil"/>
              <w:tr2bl w:val="nil"/>
            </w:tcBorders>
            <w:vAlign w:val="center"/>
          </w:tcPr>
          <w:p w14:paraId="19E4F50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2、≥2U盘控一体架构</w:t>
            </w:r>
          </w:p>
        </w:tc>
      </w:tr>
      <w:tr w14:paraId="7FAE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1" w:type="dxa"/>
            <w:vMerge w:val="continue"/>
            <w:tcBorders>
              <w:tl2br w:val="nil"/>
              <w:tr2bl w:val="nil"/>
            </w:tcBorders>
            <w:vAlign w:val="center"/>
          </w:tcPr>
          <w:p w14:paraId="3A386A7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tc>
        <w:tc>
          <w:tcPr>
            <w:tcW w:w="1360" w:type="dxa"/>
            <w:vMerge w:val="continue"/>
            <w:tcBorders>
              <w:tl2br w:val="nil"/>
              <w:tr2bl w:val="nil"/>
            </w:tcBorders>
            <w:vAlign w:val="center"/>
          </w:tcPr>
          <w:p w14:paraId="2159707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tc>
        <w:tc>
          <w:tcPr>
            <w:tcW w:w="6074" w:type="dxa"/>
            <w:tcBorders>
              <w:tl2br w:val="nil"/>
              <w:tr2bl w:val="nil"/>
            </w:tcBorders>
            <w:vAlign w:val="center"/>
          </w:tcPr>
          <w:p w14:paraId="7F3C23C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3、配置2个控制器，控制器采用多核处理器，且单控制器处理器总核心数≥20核，CPU主频为≥2.1GHz。</w:t>
            </w:r>
          </w:p>
        </w:tc>
      </w:tr>
      <w:tr w14:paraId="11DD2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831" w:type="dxa"/>
            <w:vMerge w:val="continue"/>
            <w:tcBorders>
              <w:tl2br w:val="nil"/>
              <w:tr2bl w:val="nil"/>
            </w:tcBorders>
            <w:vAlign w:val="center"/>
          </w:tcPr>
          <w:p w14:paraId="596B1F6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tc>
        <w:tc>
          <w:tcPr>
            <w:tcW w:w="1360" w:type="dxa"/>
            <w:vMerge w:val="continue"/>
            <w:tcBorders>
              <w:tl2br w:val="nil"/>
              <w:tr2bl w:val="nil"/>
            </w:tcBorders>
            <w:vAlign w:val="center"/>
          </w:tcPr>
          <w:p w14:paraId="7DA0C5F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tc>
        <w:tc>
          <w:tcPr>
            <w:tcW w:w="6074" w:type="dxa"/>
            <w:tcBorders>
              <w:tl2br w:val="nil"/>
              <w:tr2bl w:val="nil"/>
            </w:tcBorders>
            <w:vAlign w:val="center"/>
          </w:tcPr>
          <w:p w14:paraId="1BD6EE1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rPr>
              <w:t>4、SAN和NAS一体化，配置SAN+NAS协议（包括NFS、CIFS以及NDMP），支持SAN和NAS共资源池，无需独立分配。并提供具备CNAS(中国合格评定国家认可委员会)资质的第三方权威评测机构签字盖章的测试报告，加盖原厂公章。</w:t>
            </w:r>
          </w:p>
        </w:tc>
      </w:tr>
      <w:tr w14:paraId="298D7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1" w:type="dxa"/>
            <w:vMerge w:val="continue"/>
            <w:tcBorders>
              <w:tl2br w:val="nil"/>
              <w:tr2bl w:val="nil"/>
            </w:tcBorders>
            <w:vAlign w:val="center"/>
          </w:tcPr>
          <w:p w14:paraId="6C6F841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tc>
        <w:tc>
          <w:tcPr>
            <w:tcW w:w="1360" w:type="dxa"/>
            <w:vMerge w:val="continue"/>
            <w:tcBorders>
              <w:tl2br w:val="nil"/>
              <w:tr2bl w:val="nil"/>
            </w:tcBorders>
            <w:vAlign w:val="center"/>
          </w:tcPr>
          <w:p w14:paraId="0D2A51A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tc>
        <w:tc>
          <w:tcPr>
            <w:tcW w:w="6074" w:type="dxa"/>
            <w:tcBorders>
              <w:tl2br w:val="nil"/>
              <w:tr2bl w:val="nil"/>
            </w:tcBorders>
            <w:vAlign w:val="center"/>
          </w:tcPr>
          <w:p w14:paraId="2B8A2BB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5、系统内总一级缓存容量配置≥128GB，且任意控制器一级缓存容量≥64GB（不含任何性能加速模块、FlashCache、PAM卡，SSD Cache、SCM等）。</w:t>
            </w:r>
          </w:p>
        </w:tc>
      </w:tr>
      <w:tr w14:paraId="3D4D9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31" w:type="dxa"/>
            <w:vMerge w:val="continue"/>
            <w:tcBorders>
              <w:tl2br w:val="nil"/>
              <w:tr2bl w:val="nil"/>
            </w:tcBorders>
            <w:vAlign w:val="center"/>
          </w:tcPr>
          <w:p w14:paraId="344AAC6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tc>
        <w:tc>
          <w:tcPr>
            <w:tcW w:w="1360" w:type="dxa"/>
            <w:vMerge w:val="continue"/>
            <w:tcBorders>
              <w:tl2br w:val="nil"/>
              <w:tr2bl w:val="nil"/>
            </w:tcBorders>
            <w:vAlign w:val="center"/>
          </w:tcPr>
          <w:p w14:paraId="2FC5AE2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tc>
        <w:tc>
          <w:tcPr>
            <w:tcW w:w="6074" w:type="dxa"/>
            <w:tcBorders>
              <w:tl2br w:val="nil"/>
              <w:tr2bl w:val="nil"/>
            </w:tcBorders>
            <w:vAlign w:val="center"/>
          </w:tcPr>
          <w:p w14:paraId="4DB634B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6、配置≥4个3.84TB企业级双端口SAS SSD硬盘，配置≥33个20TB NL-SAS硬盘</w:t>
            </w:r>
          </w:p>
        </w:tc>
      </w:tr>
      <w:tr w14:paraId="742D4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1" w:type="dxa"/>
            <w:vMerge w:val="continue"/>
            <w:tcBorders>
              <w:tl2br w:val="nil"/>
              <w:tr2bl w:val="nil"/>
            </w:tcBorders>
            <w:vAlign w:val="center"/>
          </w:tcPr>
          <w:p w14:paraId="65C3545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tc>
        <w:tc>
          <w:tcPr>
            <w:tcW w:w="1360" w:type="dxa"/>
            <w:vMerge w:val="continue"/>
            <w:tcBorders>
              <w:tl2br w:val="nil"/>
              <w:tr2bl w:val="nil"/>
            </w:tcBorders>
            <w:vAlign w:val="center"/>
          </w:tcPr>
          <w:p w14:paraId="1186CBB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tc>
        <w:tc>
          <w:tcPr>
            <w:tcW w:w="6074" w:type="dxa"/>
            <w:tcBorders>
              <w:tl2br w:val="nil"/>
              <w:tr2bl w:val="nil"/>
            </w:tcBorders>
            <w:vAlign w:val="center"/>
          </w:tcPr>
          <w:p w14:paraId="7B431ED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7、配置：≥4*10Gbps Ethernet接口；（满配多模光模块），≥8*1Gbps Ethernet接口。</w:t>
            </w:r>
          </w:p>
        </w:tc>
      </w:tr>
      <w:tr w14:paraId="1CF1F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831" w:type="dxa"/>
            <w:vMerge w:val="continue"/>
            <w:tcBorders>
              <w:tl2br w:val="nil"/>
              <w:tr2bl w:val="nil"/>
            </w:tcBorders>
            <w:vAlign w:val="center"/>
          </w:tcPr>
          <w:p w14:paraId="095DC3D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tc>
        <w:tc>
          <w:tcPr>
            <w:tcW w:w="1360" w:type="dxa"/>
            <w:vMerge w:val="continue"/>
            <w:tcBorders>
              <w:tl2br w:val="nil"/>
              <w:tr2bl w:val="nil"/>
            </w:tcBorders>
            <w:vAlign w:val="center"/>
          </w:tcPr>
          <w:p w14:paraId="6D2F51B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tc>
        <w:tc>
          <w:tcPr>
            <w:tcW w:w="6074" w:type="dxa"/>
            <w:tcBorders>
              <w:tl2br w:val="nil"/>
              <w:tr2bl w:val="nil"/>
            </w:tcBorders>
            <w:vAlign w:val="center"/>
          </w:tcPr>
          <w:p w14:paraId="4B5DE8C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rPr>
              <w:t>8、支持提供高密快照功能，系统支持最小每15秒做一次快照备份，单文件系统支持</w:t>
            </w:r>
            <w:r>
              <w:rPr>
                <w:rFonts w:hint="eastAsia" w:ascii="宋体" w:hAnsi="宋体" w:eastAsia="宋体" w:cs="宋体"/>
                <w:color w:val="auto"/>
                <w:kern w:val="2"/>
                <w:sz w:val="21"/>
                <w:szCs w:val="21"/>
                <w:lang w:val="en-US" w:eastAsia="zh-CN" w:bidi="ar"/>
              </w:rPr>
              <w:t>≥</w:t>
            </w:r>
            <w:r>
              <w:rPr>
                <w:rFonts w:hint="eastAsia" w:ascii="宋体" w:hAnsi="宋体" w:eastAsia="宋体" w:cs="宋体"/>
                <w:color w:val="auto"/>
                <w:kern w:val="0"/>
                <w:sz w:val="21"/>
                <w:szCs w:val="21"/>
              </w:rPr>
              <w:t>4096个快照，整系统支持</w:t>
            </w:r>
            <w:r>
              <w:rPr>
                <w:rFonts w:hint="eastAsia" w:ascii="宋体" w:hAnsi="宋体" w:eastAsia="宋体" w:cs="宋体"/>
                <w:color w:val="auto"/>
                <w:kern w:val="2"/>
                <w:sz w:val="21"/>
                <w:szCs w:val="21"/>
                <w:lang w:val="en-US" w:eastAsia="zh-CN" w:bidi="ar"/>
              </w:rPr>
              <w:t>≥</w:t>
            </w:r>
            <w:r>
              <w:rPr>
                <w:rFonts w:hint="eastAsia" w:ascii="宋体" w:hAnsi="宋体" w:eastAsia="宋体" w:cs="宋体"/>
                <w:color w:val="auto"/>
                <w:kern w:val="0"/>
                <w:sz w:val="21"/>
                <w:szCs w:val="21"/>
              </w:rPr>
              <w:t>32000个文件系统快照；创建快照，文件系统性能变化幅度小于10%。并提供具备CNAS(中国合格评定国家认可委员会)资质的第三方权威评测机构签字盖章的测试报告，加盖原厂公章</w:t>
            </w:r>
          </w:p>
        </w:tc>
      </w:tr>
      <w:tr w14:paraId="4AA6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831" w:type="dxa"/>
            <w:vMerge w:val="continue"/>
            <w:tcBorders>
              <w:tl2br w:val="nil"/>
              <w:tr2bl w:val="nil"/>
            </w:tcBorders>
            <w:vAlign w:val="center"/>
          </w:tcPr>
          <w:p w14:paraId="09CE741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tc>
        <w:tc>
          <w:tcPr>
            <w:tcW w:w="1360" w:type="dxa"/>
            <w:vMerge w:val="continue"/>
            <w:tcBorders>
              <w:tl2br w:val="nil"/>
              <w:tr2bl w:val="nil"/>
            </w:tcBorders>
            <w:vAlign w:val="center"/>
          </w:tcPr>
          <w:p w14:paraId="5047737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tc>
        <w:tc>
          <w:tcPr>
            <w:tcW w:w="6074" w:type="dxa"/>
            <w:tcBorders>
              <w:tl2br w:val="nil"/>
              <w:tr2bl w:val="nil"/>
            </w:tcBorders>
            <w:vAlign w:val="center"/>
          </w:tcPr>
          <w:p w14:paraId="6025540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rPr>
              <w:t>9、支持提供租户级和文件系统级QoS保障，保障系统支持文件系统服务质量控制功能，提供上限控制和下限保障两种QoS策略，支持QoS的Burst突发控制。并提供具备CNAS(中国合格评定国家认可委员会)资质的第三方权威评测机构签字盖章的测试报告，加盖原厂公章。</w:t>
            </w:r>
          </w:p>
        </w:tc>
      </w:tr>
      <w:tr w14:paraId="68FD0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831" w:type="dxa"/>
            <w:vMerge w:val="continue"/>
            <w:tcBorders>
              <w:tl2br w:val="nil"/>
              <w:tr2bl w:val="nil"/>
            </w:tcBorders>
            <w:vAlign w:val="center"/>
          </w:tcPr>
          <w:p w14:paraId="6B6CFFD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tc>
        <w:tc>
          <w:tcPr>
            <w:tcW w:w="1360" w:type="dxa"/>
            <w:vMerge w:val="continue"/>
            <w:tcBorders>
              <w:tl2br w:val="nil"/>
              <w:tr2bl w:val="nil"/>
            </w:tcBorders>
            <w:vAlign w:val="center"/>
          </w:tcPr>
          <w:p w14:paraId="4FA0D42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tc>
        <w:tc>
          <w:tcPr>
            <w:tcW w:w="6074" w:type="dxa"/>
            <w:tcBorders>
              <w:tl2br w:val="nil"/>
              <w:tr2bl w:val="nil"/>
            </w:tcBorders>
            <w:vAlign w:val="center"/>
          </w:tcPr>
          <w:p w14:paraId="67F769E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rPr>
              <w:t>10、采用对称AA架构，LUN无控制器归属，在多控配置下，能够负载到所有控制器，CPU利用率差异小于5%。并提供具备CNAS(中国合格评定国家认可委员会)资质的第三方权威评测机构签字盖章的测试报告，加盖原厂公章。</w:t>
            </w:r>
          </w:p>
        </w:tc>
      </w:tr>
      <w:tr w14:paraId="7B65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831" w:type="dxa"/>
            <w:vMerge w:val="continue"/>
            <w:tcBorders>
              <w:tl2br w:val="nil"/>
              <w:tr2bl w:val="nil"/>
            </w:tcBorders>
            <w:vAlign w:val="center"/>
          </w:tcPr>
          <w:p w14:paraId="4EB3F56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tc>
        <w:tc>
          <w:tcPr>
            <w:tcW w:w="1360" w:type="dxa"/>
            <w:vMerge w:val="continue"/>
            <w:tcBorders>
              <w:tl2br w:val="nil"/>
              <w:tr2bl w:val="nil"/>
            </w:tcBorders>
            <w:vAlign w:val="center"/>
          </w:tcPr>
          <w:p w14:paraId="68DB63E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tc>
        <w:tc>
          <w:tcPr>
            <w:tcW w:w="6074" w:type="dxa"/>
            <w:tcBorders>
              <w:tl2br w:val="nil"/>
              <w:tr2bl w:val="nil"/>
            </w:tcBorders>
            <w:vAlign w:val="center"/>
          </w:tcPr>
          <w:p w14:paraId="4394D18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rPr>
              <w:t>11、支持无中断系统软件在线升级和回退。在版本升级和回退的过程中无需重启控制器，主机与存储之间的链路无中断，客户端无感知，升级时长小于 10 分钟，提供截图证明和CNAS报告(中国合格评定国家认可委员会)资质的第三方权威评测机构签字盖章的测试报告，加盖原厂公章。</w:t>
            </w:r>
          </w:p>
        </w:tc>
      </w:tr>
      <w:tr w14:paraId="7971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1" w:type="dxa"/>
            <w:vMerge w:val="continue"/>
            <w:tcBorders>
              <w:tl2br w:val="nil"/>
              <w:tr2bl w:val="nil"/>
            </w:tcBorders>
            <w:vAlign w:val="center"/>
          </w:tcPr>
          <w:p w14:paraId="0E67996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tc>
        <w:tc>
          <w:tcPr>
            <w:tcW w:w="1360" w:type="dxa"/>
            <w:vMerge w:val="continue"/>
            <w:tcBorders>
              <w:tl2br w:val="nil"/>
              <w:tr2bl w:val="nil"/>
            </w:tcBorders>
            <w:vAlign w:val="center"/>
          </w:tcPr>
          <w:p w14:paraId="37756D5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tc>
        <w:tc>
          <w:tcPr>
            <w:tcW w:w="6074" w:type="dxa"/>
            <w:tcBorders>
              <w:tl2br w:val="nil"/>
              <w:tr2bl w:val="nil"/>
            </w:tcBorders>
            <w:vAlign w:val="center"/>
          </w:tcPr>
          <w:p w14:paraId="2EF1A4A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12、提供SSD寿命监控技术，并在系统中显示每一块SSD硬盘的磨损度以及预估剩余寿命。提供操作界面截图。</w:t>
            </w:r>
          </w:p>
        </w:tc>
      </w:tr>
      <w:tr w14:paraId="28D52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31" w:type="dxa"/>
            <w:vMerge w:val="continue"/>
            <w:tcBorders>
              <w:tl2br w:val="nil"/>
              <w:tr2bl w:val="nil"/>
            </w:tcBorders>
            <w:vAlign w:val="center"/>
          </w:tcPr>
          <w:p w14:paraId="05995F6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tc>
        <w:tc>
          <w:tcPr>
            <w:tcW w:w="1360" w:type="dxa"/>
            <w:vMerge w:val="continue"/>
            <w:tcBorders>
              <w:tl2br w:val="nil"/>
              <w:tr2bl w:val="nil"/>
            </w:tcBorders>
            <w:vAlign w:val="center"/>
          </w:tcPr>
          <w:p w14:paraId="67EE03B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tc>
        <w:tc>
          <w:tcPr>
            <w:tcW w:w="6074" w:type="dxa"/>
            <w:tcBorders>
              <w:tl2br w:val="nil"/>
              <w:tr2bl w:val="nil"/>
            </w:tcBorders>
            <w:vAlign w:val="center"/>
          </w:tcPr>
          <w:p w14:paraId="3110F1F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rPr>
              <w:t>13、支持RAID-TP，在同一个RAID组内容忍任意3盘同时失效，数据不丢&amp;不中断业务，并提供具备CNAS(中国合格评定国家认可委员会)资质的第三方权威评测机构签字盖章的测试报告，加盖原厂公章。</w:t>
            </w:r>
          </w:p>
        </w:tc>
      </w:tr>
      <w:tr w14:paraId="7BAE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31" w:type="dxa"/>
            <w:vMerge w:val="restart"/>
            <w:tcBorders>
              <w:tl2br w:val="nil"/>
              <w:tr2bl w:val="nil"/>
            </w:tcBorders>
            <w:vAlign w:val="center"/>
          </w:tcPr>
          <w:p w14:paraId="14F7ECE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360" w:type="dxa"/>
            <w:vMerge w:val="restart"/>
            <w:tcBorders>
              <w:tl2br w:val="nil"/>
              <w:tr2bl w:val="nil"/>
            </w:tcBorders>
            <w:vAlign w:val="center"/>
          </w:tcPr>
          <w:p w14:paraId="06470CF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备份专用服务器</w:t>
            </w:r>
          </w:p>
        </w:tc>
        <w:tc>
          <w:tcPr>
            <w:tcW w:w="6074" w:type="dxa"/>
            <w:tcBorders>
              <w:tl2br w:val="nil"/>
              <w:tr2bl w:val="nil"/>
            </w:tcBorders>
            <w:shd w:val="clear" w:color="000000" w:fill="FFFFFF"/>
            <w:vAlign w:val="center"/>
          </w:tcPr>
          <w:p w14:paraId="6ECA27E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1、规格：≥2U机架式；</w:t>
            </w:r>
          </w:p>
        </w:tc>
      </w:tr>
      <w:tr w14:paraId="6149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31" w:type="dxa"/>
            <w:vMerge w:val="continue"/>
            <w:tcBorders>
              <w:tl2br w:val="nil"/>
              <w:tr2bl w:val="nil"/>
            </w:tcBorders>
            <w:vAlign w:val="center"/>
          </w:tcPr>
          <w:p w14:paraId="7EE097B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tc>
        <w:tc>
          <w:tcPr>
            <w:tcW w:w="1360" w:type="dxa"/>
            <w:vMerge w:val="continue"/>
            <w:tcBorders>
              <w:tl2br w:val="nil"/>
              <w:tr2bl w:val="nil"/>
            </w:tcBorders>
            <w:vAlign w:val="center"/>
          </w:tcPr>
          <w:p w14:paraId="0928E69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tc>
        <w:tc>
          <w:tcPr>
            <w:tcW w:w="6074" w:type="dxa"/>
            <w:tcBorders>
              <w:tl2br w:val="nil"/>
              <w:tr2bl w:val="nil"/>
            </w:tcBorders>
            <w:shd w:val="clear" w:color="000000" w:fill="FFFFFF"/>
            <w:vAlign w:val="center"/>
          </w:tcPr>
          <w:p w14:paraId="01227DE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2、配置≥1颗CPU ，主频≥2.1GHz</w:t>
            </w:r>
          </w:p>
        </w:tc>
      </w:tr>
      <w:tr w14:paraId="4F2C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31" w:type="dxa"/>
            <w:vMerge w:val="continue"/>
            <w:tcBorders>
              <w:tl2br w:val="nil"/>
              <w:tr2bl w:val="nil"/>
            </w:tcBorders>
            <w:vAlign w:val="center"/>
          </w:tcPr>
          <w:p w14:paraId="53D132C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tc>
        <w:tc>
          <w:tcPr>
            <w:tcW w:w="1360" w:type="dxa"/>
            <w:vMerge w:val="continue"/>
            <w:tcBorders>
              <w:tl2br w:val="nil"/>
              <w:tr2bl w:val="nil"/>
            </w:tcBorders>
            <w:vAlign w:val="center"/>
          </w:tcPr>
          <w:p w14:paraId="1B94C15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tc>
        <w:tc>
          <w:tcPr>
            <w:tcW w:w="6074" w:type="dxa"/>
            <w:tcBorders>
              <w:tl2br w:val="nil"/>
              <w:tr2bl w:val="nil"/>
            </w:tcBorders>
            <w:shd w:val="clear" w:color="000000" w:fill="FFFFFF"/>
            <w:vAlign w:val="center"/>
          </w:tcPr>
          <w:p w14:paraId="34CA45C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3、硬盘：配置≥12块8TB SATA企业级磁盘, 配置≥系统盘2块240GB 固态硬盘；</w:t>
            </w:r>
          </w:p>
        </w:tc>
      </w:tr>
      <w:tr w14:paraId="6948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31" w:type="dxa"/>
            <w:vMerge w:val="continue"/>
            <w:tcBorders>
              <w:tl2br w:val="nil"/>
              <w:tr2bl w:val="nil"/>
            </w:tcBorders>
            <w:vAlign w:val="center"/>
          </w:tcPr>
          <w:p w14:paraId="69D6BA2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tc>
        <w:tc>
          <w:tcPr>
            <w:tcW w:w="1360" w:type="dxa"/>
            <w:vMerge w:val="continue"/>
            <w:tcBorders>
              <w:tl2br w:val="nil"/>
              <w:tr2bl w:val="nil"/>
            </w:tcBorders>
            <w:vAlign w:val="center"/>
          </w:tcPr>
          <w:p w14:paraId="6DB0B6D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tc>
        <w:tc>
          <w:tcPr>
            <w:tcW w:w="6074" w:type="dxa"/>
            <w:tcBorders>
              <w:tl2br w:val="nil"/>
              <w:tr2bl w:val="nil"/>
            </w:tcBorders>
            <w:shd w:val="clear" w:color="000000" w:fill="FFFFFF"/>
            <w:vAlign w:val="center"/>
          </w:tcPr>
          <w:p w14:paraId="2F646C2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内存：配置容量≥2*32GB，最大支持24个DDR4内存插槽；</w:t>
            </w:r>
          </w:p>
        </w:tc>
      </w:tr>
      <w:tr w14:paraId="5085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31" w:type="dxa"/>
            <w:vMerge w:val="continue"/>
            <w:tcBorders>
              <w:tl2br w:val="nil"/>
              <w:tr2bl w:val="nil"/>
            </w:tcBorders>
            <w:vAlign w:val="center"/>
          </w:tcPr>
          <w:p w14:paraId="26835AA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tc>
        <w:tc>
          <w:tcPr>
            <w:tcW w:w="1360" w:type="dxa"/>
            <w:vMerge w:val="continue"/>
            <w:tcBorders>
              <w:tl2br w:val="nil"/>
              <w:tr2bl w:val="nil"/>
            </w:tcBorders>
            <w:vAlign w:val="center"/>
          </w:tcPr>
          <w:p w14:paraId="1838D09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tc>
        <w:tc>
          <w:tcPr>
            <w:tcW w:w="6074" w:type="dxa"/>
            <w:tcBorders>
              <w:tl2br w:val="nil"/>
              <w:tr2bl w:val="nil"/>
            </w:tcBorders>
            <w:shd w:val="clear" w:color="000000" w:fill="FFFFFF"/>
            <w:vAlign w:val="center"/>
          </w:tcPr>
          <w:p w14:paraId="56A7259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5、网卡：提供≥2个板载千兆GE网口，提供≥2个10GE光口（含光模块），配置 16Gb FC接口扩展，最大可扩展至≥2个PCIe扩展；配置2个单端口 16Gb 光纤通道 HBA卡（含光模块）；</w:t>
            </w:r>
          </w:p>
        </w:tc>
      </w:tr>
      <w:tr w14:paraId="1269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1" w:type="dxa"/>
            <w:vMerge w:val="continue"/>
            <w:tcBorders>
              <w:tl2br w:val="nil"/>
              <w:tr2bl w:val="nil"/>
            </w:tcBorders>
            <w:vAlign w:val="center"/>
          </w:tcPr>
          <w:p w14:paraId="3ECFAD7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tc>
        <w:tc>
          <w:tcPr>
            <w:tcW w:w="1360" w:type="dxa"/>
            <w:vMerge w:val="continue"/>
            <w:tcBorders>
              <w:tl2br w:val="nil"/>
              <w:tr2bl w:val="nil"/>
            </w:tcBorders>
            <w:vAlign w:val="center"/>
          </w:tcPr>
          <w:p w14:paraId="403F673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tc>
        <w:tc>
          <w:tcPr>
            <w:tcW w:w="6074" w:type="dxa"/>
            <w:tcBorders>
              <w:tl2br w:val="nil"/>
              <w:tr2bl w:val="nil"/>
            </w:tcBorders>
            <w:shd w:val="clear" w:color="000000" w:fill="FFFFFF"/>
            <w:vAlign w:val="center"/>
          </w:tcPr>
          <w:p w14:paraId="5B672B1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6、支持Raid0、1、10、5、50，6，60，Raid 1GB Cache；提供Raid掉电保护，防止突然断电造成RAID系统数据及缓存数据丢失</w:t>
            </w:r>
            <w:r>
              <w:rPr>
                <w:rFonts w:hint="eastAsia" w:ascii="宋体" w:hAnsi="宋体" w:eastAsia="宋体" w:cs="宋体"/>
                <w:color w:val="auto"/>
                <w:kern w:val="0"/>
                <w:sz w:val="21"/>
                <w:szCs w:val="21"/>
                <w:lang w:eastAsia="zh-CN"/>
              </w:rPr>
              <w:t>；</w:t>
            </w:r>
          </w:p>
        </w:tc>
      </w:tr>
      <w:tr w14:paraId="67A3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1" w:type="dxa"/>
            <w:vMerge w:val="continue"/>
            <w:tcBorders>
              <w:tl2br w:val="nil"/>
              <w:tr2bl w:val="nil"/>
            </w:tcBorders>
            <w:vAlign w:val="center"/>
          </w:tcPr>
          <w:p w14:paraId="2B5B3B7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tc>
        <w:tc>
          <w:tcPr>
            <w:tcW w:w="1360" w:type="dxa"/>
            <w:vMerge w:val="continue"/>
            <w:tcBorders>
              <w:tl2br w:val="nil"/>
              <w:tr2bl w:val="nil"/>
            </w:tcBorders>
            <w:vAlign w:val="center"/>
          </w:tcPr>
          <w:p w14:paraId="66049BB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tc>
        <w:tc>
          <w:tcPr>
            <w:tcW w:w="6074" w:type="dxa"/>
            <w:tcBorders>
              <w:tl2br w:val="nil"/>
              <w:tr2bl w:val="nil"/>
            </w:tcBorders>
            <w:shd w:val="clear" w:color="000000" w:fill="FFFFFF"/>
            <w:vAlign w:val="center"/>
          </w:tcPr>
          <w:p w14:paraId="59D5CB3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2"/>
                <w:sz w:val="21"/>
                <w:szCs w:val="21"/>
                <w:lang w:val="en-US" w:eastAsia="zh-CN" w:bidi="ar"/>
              </w:rPr>
              <w:t>▲</w:t>
            </w:r>
            <w:r>
              <w:rPr>
                <w:rFonts w:hint="eastAsia" w:ascii="宋体" w:hAnsi="宋体" w:eastAsia="宋体" w:cs="宋体"/>
                <w:color w:val="auto"/>
                <w:kern w:val="2"/>
                <w:sz w:val="21"/>
                <w:szCs w:val="21"/>
                <w:lang w:val="en-US" w:eastAsia="zh-CN" w:bidi="ar"/>
              </w:rPr>
              <w:t>7、包含备份系统软件，单台节点配置可用容量授权</w:t>
            </w:r>
            <w:r>
              <w:rPr>
                <w:rFonts w:hint="eastAsia" w:ascii="宋体" w:hAnsi="宋体" w:eastAsia="宋体" w:cs="宋体"/>
                <w:color w:val="auto"/>
                <w:sz w:val="21"/>
                <w:szCs w:val="21"/>
                <w:lang w:val="en-US" w:eastAsia="zh-CN" w:bidi="ar"/>
              </w:rPr>
              <w:t>≥</w:t>
            </w:r>
            <w:r>
              <w:rPr>
                <w:rFonts w:hint="eastAsia" w:ascii="宋体" w:hAnsi="宋体" w:eastAsia="宋体" w:cs="宋体"/>
                <w:color w:val="auto"/>
                <w:kern w:val="2"/>
                <w:sz w:val="21"/>
                <w:szCs w:val="21"/>
                <w:lang w:val="en-US" w:eastAsia="zh-CN" w:bidi="ar"/>
              </w:rPr>
              <w:t>80TB，在容量授权范围内，不再限制客户端数量和类型，同时配置了永久增量技术模块授权（提供承诺函并加盖</w:t>
            </w:r>
            <w:r>
              <w:rPr>
                <w:rFonts w:hint="eastAsia" w:ascii="宋体" w:hAnsi="宋体" w:eastAsia="宋体" w:cs="宋体"/>
                <w:color w:val="auto"/>
                <w:kern w:val="0"/>
                <w:sz w:val="21"/>
                <w:szCs w:val="21"/>
              </w:rPr>
              <w:t>投标人有效公章</w:t>
            </w:r>
            <w:r>
              <w:rPr>
                <w:rFonts w:hint="eastAsia" w:ascii="宋体" w:hAnsi="宋体" w:eastAsia="宋体" w:cs="宋体"/>
                <w:color w:val="auto"/>
                <w:kern w:val="2"/>
                <w:sz w:val="21"/>
                <w:szCs w:val="21"/>
                <w:lang w:val="en-US" w:eastAsia="zh-CN" w:bidi="ar"/>
              </w:rPr>
              <w:t>）</w:t>
            </w:r>
            <w:r>
              <w:rPr>
                <w:rFonts w:hint="eastAsia" w:ascii="宋体" w:hAnsi="宋体" w:eastAsia="宋体" w:cs="宋体"/>
                <w:color w:val="auto"/>
                <w:kern w:val="0"/>
                <w:sz w:val="21"/>
                <w:szCs w:val="21"/>
                <w:lang w:eastAsia="zh-CN"/>
              </w:rPr>
              <w:t>；</w:t>
            </w:r>
          </w:p>
        </w:tc>
      </w:tr>
      <w:tr w14:paraId="3D73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31" w:type="dxa"/>
            <w:vMerge w:val="continue"/>
            <w:tcBorders>
              <w:tl2br w:val="nil"/>
              <w:tr2bl w:val="nil"/>
            </w:tcBorders>
            <w:vAlign w:val="center"/>
          </w:tcPr>
          <w:p w14:paraId="06FF750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tc>
        <w:tc>
          <w:tcPr>
            <w:tcW w:w="1360" w:type="dxa"/>
            <w:vMerge w:val="continue"/>
            <w:tcBorders>
              <w:tl2br w:val="nil"/>
              <w:tr2bl w:val="nil"/>
            </w:tcBorders>
            <w:vAlign w:val="center"/>
          </w:tcPr>
          <w:p w14:paraId="113A3DF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tc>
        <w:tc>
          <w:tcPr>
            <w:tcW w:w="6074" w:type="dxa"/>
            <w:tcBorders>
              <w:tl2br w:val="nil"/>
              <w:tr2bl w:val="nil"/>
            </w:tcBorders>
            <w:shd w:val="clear" w:color="000000" w:fill="FFFFFF"/>
            <w:vAlign w:val="center"/>
          </w:tcPr>
          <w:p w14:paraId="026879E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rPr>
              <w:t>8、与原备份系统兼容，提供承诺函并加盖投标人有效公章。</w:t>
            </w:r>
          </w:p>
        </w:tc>
      </w:tr>
    </w:tbl>
    <w:p w14:paraId="3B504959">
      <w:pPr>
        <w:pStyle w:val="7"/>
        <w:rPr>
          <w:rFonts w:hint="eastAsia" w:ascii="宋体" w:hAnsi="宋体" w:eastAsia="宋体" w:cs="宋体"/>
        </w:rPr>
      </w:pPr>
    </w:p>
    <w:p w14:paraId="321F0FD9">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sz w:val="28"/>
          <w:szCs w:val="28"/>
        </w:rPr>
      </w:pPr>
      <w:r>
        <w:rPr>
          <w:rFonts w:hint="eastAsia" w:ascii="宋体" w:hAnsi="宋体" w:cs="宋体"/>
          <w:b/>
          <w:sz w:val="28"/>
          <w:szCs w:val="28"/>
          <w:lang w:val="en-US" w:eastAsia="zh-CN"/>
        </w:rPr>
        <w:t>四</w:t>
      </w:r>
      <w:r>
        <w:rPr>
          <w:rFonts w:hint="eastAsia" w:ascii="宋体" w:hAnsi="宋体" w:eastAsia="宋体" w:cs="宋体"/>
          <w:b/>
          <w:sz w:val="28"/>
          <w:szCs w:val="28"/>
        </w:rPr>
        <w:t>、商务需求</w:t>
      </w:r>
    </w:p>
    <w:tbl>
      <w:tblPr>
        <w:tblStyle w:val="20"/>
        <w:tblW w:w="4930"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785"/>
        <w:gridCol w:w="5639"/>
      </w:tblGrid>
      <w:tr w14:paraId="334D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2" w:type="pct"/>
            <w:vAlign w:val="center"/>
          </w:tcPr>
          <w:p w14:paraId="3F15ADCD">
            <w:pPr>
              <w:keepNext w:val="0"/>
              <w:keepLines w:val="0"/>
              <w:suppressLineNumbers w:val="0"/>
              <w:spacing w:before="0" w:beforeAutospacing="0" w:after="0" w:afterAutospacing="0"/>
              <w:ind w:left="0" w:right="0"/>
              <w:jc w:val="center"/>
              <w:rPr>
                <w:rFonts w:hint="eastAsia" w:asciiTheme="minorEastAsia" w:hAnsiTheme="minorEastAsia" w:eastAsiaTheme="minorEastAsia"/>
                <w:b/>
                <w:szCs w:val="21"/>
              </w:rPr>
            </w:pPr>
            <w:r>
              <w:rPr>
                <w:rFonts w:hint="eastAsia" w:asciiTheme="minorEastAsia" w:hAnsiTheme="minorEastAsia" w:eastAsiaTheme="minorEastAsia"/>
                <w:b/>
                <w:szCs w:val="21"/>
              </w:rPr>
              <w:t>序号</w:t>
            </w:r>
          </w:p>
        </w:tc>
        <w:tc>
          <w:tcPr>
            <w:tcW w:w="1062" w:type="pct"/>
            <w:vAlign w:val="center"/>
          </w:tcPr>
          <w:p w14:paraId="4AEB49D5">
            <w:pPr>
              <w:keepNext w:val="0"/>
              <w:keepLines w:val="0"/>
              <w:suppressLineNumbers w:val="0"/>
              <w:spacing w:before="0" w:beforeAutospacing="0" w:after="0" w:afterAutospacing="0"/>
              <w:ind w:left="0" w:right="0"/>
              <w:jc w:val="center"/>
              <w:rPr>
                <w:rFonts w:hint="eastAsia" w:asciiTheme="minorEastAsia" w:hAnsiTheme="minorEastAsia" w:eastAsiaTheme="minorEastAsia"/>
                <w:b/>
                <w:szCs w:val="21"/>
              </w:rPr>
            </w:pPr>
            <w:r>
              <w:rPr>
                <w:rFonts w:hint="eastAsia" w:asciiTheme="minorEastAsia" w:hAnsiTheme="minorEastAsia" w:eastAsiaTheme="minorEastAsia"/>
                <w:b/>
                <w:szCs w:val="21"/>
              </w:rPr>
              <w:t>目录</w:t>
            </w:r>
          </w:p>
        </w:tc>
        <w:tc>
          <w:tcPr>
            <w:tcW w:w="3355" w:type="pct"/>
            <w:vAlign w:val="center"/>
          </w:tcPr>
          <w:p w14:paraId="7D7DE59A">
            <w:pPr>
              <w:keepNext w:val="0"/>
              <w:keepLines w:val="0"/>
              <w:suppressLineNumbers w:val="0"/>
              <w:spacing w:before="0" w:beforeAutospacing="0" w:after="0" w:afterAutospacing="0"/>
              <w:ind w:left="0" w:right="0"/>
              <w:jc w:val="center"/>
              <w:rPr>
                <w:rFonts w:hint="eastAsia" w:asciiTheme="minorEastAsia" w:hAnsiTheme="minorEastAsia" w:eastAsiaTheme="minorEastAsia"/>
                <w:b/>
                <w:szCs w:val="21"/>
              </w:rPr>
            </w:pPr>
            <w:r>
              <w:rPr>
                <w:rFonts w:hint="eastAsia" w:asciiTheme="minorEastAsia" w:hAnsiTheme="minorEastAsia" w:eastAsiaTheme="minorEastAsia"/>
                <w:b/>
                <w:szCs w:val="21"/>
              </w:rPr>
              <w:t>招标商务需求</w:t>
            </w:r>
          </w:p>
        </w:tc>
      </w:tr>
      <w:tr w14:paraId="57412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14:paraId="40699A93">
            <w:pPr>
              <w:keepNext w:val="0"/>
              <w:keepLines w:val="0"/>
              <w:suppressLineNumbers w:val="0"/>
              <w:spacing w:before="0" w:beforeAutospacing="0" w:after="0" w:afterAutospacing="0"/>
              <w:ind w:left="0" w:right="0"/>
              <w:rPr>
                <w:rFonts w:hint="eastAsia" w:asciiTheme="minorEastAsia" w:hAnsiTheme="minorEastAsia" w:eastAsiaTheme="minorEastAsia"/>
                <w:b/>
                <w:szCs w:val="21"/>
              </w:rPr>
            </w:pPr>
            <w:r>
              <w:rPr>
                <w:rFonts w:hint="eastAsia" w:asciiTheme="minorEastAsia" w:hAnsiTheme="minorEastAsia" w:eastAsiaTheme="minorEastAsia"/>
                <w:b/>
                <w:szCs w:val="21"/>
              </w:rPr>
              <w:t>（一）免费保修期内售后服务要求</w:t>
            </w:r>
          </w:p>
        </w:tc>
      </w:tr>
      <w:tr w14:paraId="6206A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2" w:type="pct"/>
            <w:vAlign w:val="center"/>
          </w:tcPr>
          <w:p w14:paraId="65E4DECD">
            <w:pPr>
              <w:keepNext w:val="0"/>
              <w:keepLines w:val="0"/>
              <w:suppressLineNumbers w:val="0"/>
              <w:spacing w:before="0" w:beforeAutospacing="0" w:after="0" w:afterAutospacing="0"/>
              <w:ind w:left="0" w:right="0"/>
              <w:jc w:val="center"/>
              <w:rPr>
                <w:rFonts w:hint="eastAsia" w:asciiTheme="minorEastAsia" w:hAnsiTheme="minorEastAsia" w:eastAsiaTheme="minorEastAsia"/>
                <w:b w:val="0"/>
                <w:bCs/>
                <w:szCs w:val="21"/>
              </w:rPr>
            </w:pPr>
            <w:r>
              <w:rPr>
                <w:rFonts w:hint="eastAsia" w:asciiTheme="minorEastAsia" w:hAnsiTheme="minorEastAsia" w:eastAsiaTheme="minorEastAsia"/>
                <w:b w:val="0"/>
                <w:bCs/>
                <w:szCs w:val="21"/>
              </w:rPr>
              <w:t>1</w:t>
            </w:r>
          </w:p>
        </w:tc>
        <w:tc>
          <w:tcPr>
            <w:tcW w:w="1062" w:type="pct"/>
          </w:tcPr>
          <w:p w14:paraId="0F312792">
            <w:pPr>
              <w:keepNext w:val="0"/>
              <w:keepLines w:val="0"/>
              <w:suppressLineNumbers w:val="0"/>
              <w:spacing w:before="0" w:beforeAutospacing="0" w:after="0" w:afterAutospacing="0"/>
              <w:ind w:left="0" w:right="0"/>
              <w:rPr>
                <w:rFonts w:hint="eastAsia" w:asciiTheme="minorEastAsia" w:hAnsiTheme="minorEastAsia" w:eastAsiaTheme="minorEastAsia"/>
                <w:b w:val="0"/>
                <w:bCs/>
                <w:szCs w:val="21"/>
              </w:rPr>
            </w:pPr>
            <w:r>
              <w:rPr>
                <w:rFonts w:hint="eastAsia" w:asciiTheme="minorEastAsia" w:hAnsiTheme="minorEastAsia" w:eastAsiaTheme="minorEastAsia"/>
                <w:b w:val="0"/>
                <w:bCs/>
                <w:szCs w:val="21"/>
              </w:rPr>
              <w:t>维修响应及故障解决时间</w:t>
            </w:r>
          </w:p>
        </w:tc>
        <w:tc>
          <w:tcPr>
            <w:tcW w:w="3355" w:type="pct"/>
          </w:tcPr>
          <w:p w14:paraId="0A30D000">
            <w:pPr>
              <w:keepNext w:val="0"/>
              <w:keepLines w:val="0"/>
              <w:suppressLineNumbers w:val="0"/>
              <w:spacing w:before="0" w:beforeAutospacing="0" w:after="0" w:afterAutospacing="0"/>
              <w:ind w:left="0" w:right="0"/>
              <w:rPr>
                <w:rFonts w:hint="eastAsia" w:asciiTheme="minorEastAsia" w:hAnsiTheme="minorEastAsia" w:eastAsiaTheme="minorEastAsia"/>
                <w:b w:val="0"/>
                <w:bCs/>
                <w:szCs w:val="21"/>
              </w:rPr>
            </w:pPr>
            <w:r>
              <w:rPr>
                <w:rFonts w:hint="eastAsia" w:asciiTheme="minorEastAsia" w:hAnsiTheme="minorEastAsia" w:eastAsiaTheme="minorEastAsia"/>
                <w:b w:val="0"/>
                <w:bCs/>
                <w:szCs w:val="21"/>
              </w:rPr>
              <w:t>在保修期内，一旦发生质量问题，投标人保证在接到通知24小时内赶到现场进行修理或更换。</w:t>
            </w:r>
          </w:p>
        </w:tc>
      </w:tr>
      <w:tr w14:paraId="0937E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2" w:type="pct"/>
            <w:vAlign w:val="center"/>
          </w:tcPr>
          <w:p w14:paraId="5EA18483">
            <w:pPr>
              <w:keepNext w:val="0"/>
              <w:keepLines w:val="0"/>
              <w:suppressLineNumbers w:val="0"/>
              <w:spacing w:before="0" w:beforeAutospacing="0" w:after="0" w:afterAutospacing="0"/>
              <w:ind w:left="0" w:right="0"/>
              <w:jc w:val="center"/>
              <w:rPr>
                <w:rFonts w:hint="eastAsia" w:asciiTheme="minorEastAsia" w:hAnsiTheme="minorEastAsia" w:eastAsiaTheme="minorEastAsia"/>
                <w:szCs w:val="21"/>
              </w:rPr>
            </w:pPr>
            <w:r>
              <w:rPr>
                <w:rFonts w:hint="eastAsia" w:asciiTheme="minorEastAsia" w:hAnsiTheme="minorEastAsia" w:eastAsiaTheme="minorEastAsia"/>
                <w:szCs w:val="21"/>
              </w:rPr>
              <w:t>2</w:t>
            </w:r>
          </w:p>
        </w:tc>
        <w:tc>
          <w:tcPr>
            <w:tcW w:w="1062" w:type="pct"/>
          </w:tcPr>
          <w:p w14:paraId="03205591">
            <w:pPr>
              <w:keepNext w:val="0"/>
              <w:keepLines w:val="0"/>
              <w:suppressLineNumbers w:val="0"/>
              <w:spacing w:before="0" w:beforeAutospacing="0" w:after="0" w:afterAutospacing="0"/>
              <w:ind w:left="0" w:right="0"/>
              <w:rPr>
                <w:rFonts w:hint="eastAsia" w:asciiTheme="minorEastAsia" w:hAnsiTheme="minorEastAsia" w:eastAsiaTheme="minorEastAsia"/>
                <w:szCs w:val="21"/>
              </w:rPr>
            </w:pPr>
            <w:r>
              <w:rPr>
                <w:rFonts w:hint="eastAsia" w:asciiTheme="minorEastAsia" w:hAnsiTheme="minorEastAsia" w:eastAsiaTheme="minorEastAsia"/>
                <w:szCs w:val="21"/>
              </w:rPr>
              <w:t>关于免费保修期</w:t>
            </w:r>
          </w:p>
        </w:tc>
        <w:tc>
          <w:tcPr>
            <w:tcW w:w="3355" w:type="pct"/>
          </w:tcPr>
          <w:p w14:paraId="048C93FE">
            <w:pPr>
              <w:keepNext w:val="0"/>
              <w:keepLines w:val="0"/>
              <w:suppressLineNumbers w:val="0"/>
              <w:spacing w:before="0" w:beforeAutospacing="0" w:after="0" w:afterAutospacing="0"/>
              <w:ind w:left="0" w:right="0"/>
              <w:rPr>
                <w:rFonts w:hint="eastAsia" w:asciiTheme="minorEastAsia" w:hAnsiTheme="minorEastAsia" w:eastAsiaTheme="minorEastAsia"/>
                <w:b/>
                <w:szCs w:val="21"/>
              </w:rPr>
            </w:pPr>
            <w:r>
              <w:rPr>
                <w:rFonts w:hint="eastAsia" w:ascii="宋体" w:hAnsi="宋体" w:eastAsia="宋体" w:cs="宋体"/>
                <w:b/>
                <w:bCs w:val="0"/>
                <w:kern w:val="2"/>
                <w:sz w:val="21"/>
                <w:szCs w:val="21"/>
                <w:lang w:val="en-US" w:eastAsia="zh-CN" w:bidi="ar"/>
              </w:rPr>
              <w:t>★</w:t>
            </w:r>
            <w:r>
              <w:rPr>
                <w:rFonts w:hint="default" w:asciiTheme="minorEastAsia" w:hAnsiTheme="minorEastAsia" w:eastAsiaTheme="minorEastAsia"/>
                <w:bCs/>
                <w:szCs w:val="21"/>
              </w:rPr>
              <w:t>1.1</w:t>
            </w:r>
            <w:r>
              <w:rPr>
                <w:rFonts w:hint="eastAsia" w:asciiTheme="minorEastAsia" w:hAnsiTheme="minorEastAsia" w:eastAsiaTheme="minorEastAsia"/>
                <w:bCs/>
                <w:szCs w:val="21"/>
              </w:rPr>
              <w:t>货物免费保修期</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color w:val="FF0000"/>
                <w:szCs w:val="21"/>
                <w:u w:val="single"/>
              </w:rPr>
              <w:t xml:space="preserve"> 6 </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年，时间自最终验收合格并交付使用之日起计算。</w:t>
            </w:r>
          </w:p>
        </w:tc>
      </w:tr>
      <w:tr w14:paraId="1FAD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14:paraId="5835DE7C">
            <w:pPr>
              <w:keepNext w:val="0"/>
              <w:keepLines w:val="0"/>
              <w:suppressLineNumbers w:val="0"/>
              <w:spacing w:before="0" w:beforeAutospacing="0" w:after="0" w:afterAutospacing="0"/>
              <w:ind w:left="0" w:right="0"/>
              <w:rPr>
                <w:rFonts w:hint="eastAsia" w:asciiTheme="minorEastAsia" w:hAnsiTheme="minorEastAsia" w:eastAsiaTheme="minorEastAsia"/>
                <w:b/>
                <w:szCs w:val="21"/>
              </w:rPr>
            </w:pPr>
            <w:r>
              <w:rPr>
                <w:rFonts w:hint="eastAsia" w:asciiTheme="minorEastAsia" w:hAnsiTheme="minorEastAsia" w:eastAsiaTheme="minorEastAsia"/>
                <w:b/>
                <w:szCs w:val="21"/>
              </w:rPr>
              <w:t>（二）免费保修期外售后服务要求（可选）</w:t>
            </w:r>
          </w:p>
        </w:tc>
      </w:tr>
      <w:tr w14:paraId="01501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82" w:type="pct"/>
            <w:vAlign w:val="center"/>
          </w:tcPr>
          <w:p w14:paraId="5CFC2395">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Cs w:val="21"/>
              </w:rPr>
            </w:pPr>
            <w:r>
              <w:rPr>
                <w:rFonts w:hint="eastAsia" w:ascii="宋体" w:hAnsi="宋体" w:eastAsia="宋体" w:cs="宋体"/>
                <w:b w:val="0"/>
                <w:bCs w:val="0"/>
                <w:color w:val="auto"/>
              </w:rPr>
              <w:t>1</w:t>
            </w:r>
          </w:p>
        </w:tc>
        <w:tc>
          <w:tcPr>
            <w:tcW w:w="1062" w:type="pct"/>
            <w:vAlign w:val="center"/>
          </w:tcPr>
          <w:p w14:paraId="11FCD634">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Cs w:val="21"/>
              </w:rPr>
            </w:pPr>
            <w:r>
              <w:rPr>
                <w:rFonts w:hint="eastAsia" w:ascii="宋体" w:hAnsi="宋体" w:eastAsia="宋体" w:cs="宋体"/>
                <w:b w:val="0"/>
                <w:bCs w:val="0"/>
                <w:color w:val="auto"/>
                <w:szCs w:val="21"/>
              </w:rPr>
              <w:t>保修期外售后服务要求</w:t>
            </w:r>
          </w:p>
        </w:tc>
        <w:tc>
          <w:tcPr>
            <w:tcW w:w="3355" w:type="pct"/>
          </w:tcPr>
          <w:p w14:paraId="2B823550">
            <w:pPr>
              <w:keepNext w:val="0"/>
              <w:keepLines w:val="0"/>
              <w:suppressLineNumbers w:val="0"/>
              <w:spacing w:before="0" w:beforeAutospacing="0" w:after="0" w:afterAutospacing="0"/>
              <w:ind w:left="0" w:right="0"/>
              <w:rPr>
                <w:rFonts w:hint="eastAsia" w:ascii="宋体" w:hAnsi="宋体" w:eastAsia="宋体" w:cs="宋体"/>
                <w:b w:val="0"/>
                <w:bCs w:val="0"/>
                <w:color w:val="auto"/>
                <w:szCs w:val="21"/>
              </w:rPr>
            </w:pPr>
            <w:r>
              <w:rPr>
                <w:rFonts w:hint="eastAsia" w:ascii="宋体" w:hAnsi="宋体" w:eastAsia="宋体" w:cs="宋体"/>
                <w:b w:val="0"/>
                <w:bCs w:val="0"/>
                <w:color w:val="auto"/>
                <w:szCs w:val="21"/>
              </w:rPr>
              <w:t>中标人提供的产品不能正常使用时，中标人可收取费用，同时提供维修、更换以确保产品正常使用的时间期限。此时间期限从免费保修期期满之日起计算。具体是指免费保修期满后4年。</w:t>
            </w:r>
          </w:p>
        </w:tc>
      </w:tr>
      <w:tr w14:paraId="10D77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14:paraId="77CDF174">
            <w:pPr>
              <w:keepNext w:val="0"/>
              <w:keepLines w:val="0"/>
              <w:suppressLineNumbers w:val="0"/>
              <w:spacing w:before="0" w:beforeAutospacing="0" w:after="0" w:afterAutospacing="0"/>
              <w:ind w:left="0" w:right="0"/>
              <w:rPr>
                <w:rFonts w:hint="eastAsia" w:asciiTheme="minorEastAsia" w:hAnsiTheme="minorEastAsia" w:eastAsiaTheme="minorEastAsia"/>
                <w:b/>
                <w:szCs w:val="21"/>
              </w:rPr>
            </w:pPr>
            <w:r>
              <w:rPr>
                <w:rFonts w:hint="eastAsia" w:asciiTheme="minorEastAsia" w:hAnsiTheme="minorEastAsia" w:eastAsiaTheme="minorEastAsia"/>
                <w:b/>
                <w:szCs w:val="21"/>
              </w:rPr>
              <w:t>（三）其他商务要求</w:t>
            </w:r>
          </w:p>
        </w:tc>
      </w:tr>
      <w:tr w14:paraId="20913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82" w:type="pct"/>
            <w:vMerge w:val="restart"/>
            <w:vAlign w:val="center"/>
          </w:tcPr>
          <w:p w14:paraId="3DEA928E">
            <w:pPr>
              <w:keepNext w:val="0"/>
              <w:keepLines w:val="0"/>
              <w:suppressLineNumbers w:val="0"/>
              <w:spacing w:before="0" w:beforeAutospacing="0" w:after="0" w:afterAutospacing="0"/>
              <w:ind w:left="0" w:right="0"/>
              <w:jc w:val="center"/>
              <w:rPr>
                <w:rFonts w:hint="eastAsia" w:ascii="宋体" w:hAnsi="宋体" w:eastAsia="宋体" w:cs="宋体"/>
                <w:b w:val="0"/>
                <w:bCs/>
                <w:color w:val="auto"/>
                <w:szCs w:val="21"/>
              </w:rPr>
            </w:pPr>
            <w:r>
              <w:rPr>
                <w:rFonts w:hint="eastAsia" w:ascii="宋体" w:hAnsi="宋体" w:eastAsia="宋体" w:cs="宋体"/>
                <w:b w:val="0"/>
                <w:bCs/>
                <w:color w:val="auto"/>
                <w:szCs w:val="21"/>
              </w:rPr>
              <w:t>1</w:t>
            </w:r>
          </w:p>
        </w:tc>
        <w:tc>
          <w:tcPr>
            <w:tcW w:w="1062" w:type="pct"/>
            <w:vMerge w:val="restart"/>
            <w:vAlign w:val="center"/>
          </w:tcPr>
          <w:p w14:paraId="03329FFE">
            <w:pPr>
              <w:keepNext w:val="0"/>
              <w:keepLines w:val="0"/>
              <w:suppressLineNumbers w:val="0"/>
              <w:spacing w:before="0" w:beforeAutospacing="0" w:after="0" w:afterAutospacing="0"/>
              <w:ind w:left="0" w:right="0"/>
              <w:jc w:val="center"/>
              <w:rPr>
                <w:rFonts w:hint="eastAsia" w:ascii="宋体" w:hAnsi="宋体" w:eastAsia="宋体" w:cs="宋体"/>
                <w:b w:val="0"/>
                <w:bCs/>
                <w:color w:val="auto"/>
                <w:szCs w:val="21"/>
              </w:rPr>
            </w:pPr>
            <w:r>
              <w:rPr>
                <w:rFonts w:hint="eastAsia" w:ascii="宋体" w:hAnsi="宋体" w:eastAsia="宋体" w:cs="宋体"/>
                <w:b w:val="0"/>
                <w:bCs/>
                <w:color w:val="auto"/>
                <w:szCs w:val="21"/>
              </w:rPr>
              <w:t>关于交货</w:t>
            </w:r>
          </w:p>
        </w:tc>
        <w:tc>
          <w:tcPr>
            <w:tcW w:w="3355" w:type="pct"/>
          </w:tcPr>
          <w:p w14:paraId="724FE57F">
            <w:pPr>
              <w:keepNext w:val="0"/>
              <w:keepLines w:val="0"/>
              <w:suppressLineNumbers w:val="0"/>
              <w:spacing w:before="0" w:beforeAutospacing="0" w:after="0" w:afterAutospacing="0"/>
              <w:ind w:left="0" w:right="0"/>
              <w:rPr>
                <w:rFonts w:hint="eastAsia" w:ascii="宋体" w:hAnsi="宋体" w:eastAsia="宋体" w:cs="宋体"/>
                <w:b w:val="0"/>
                <w:bCs/>
                <w:color w:val="auto"/>
                <w:szCs w:val="21"/>
              </w:rPr>
            </w:pPr>
            <w:r>
              <w:rPr>
                <w:rFonts w:hint="eastAsia" w:ascii="宋体" w:hAnsi="宋体" w:eastAsia="宋体" w:cs="宋体"/>
                <w:b w:val="0"/>
                <w:bCs/>
                <w:color w:val="auto"/>
                <w:szCs w:val="21"/>
              </w:rPr>
              <w:t>1.1交货地点：甲方指定交货地点</w:t>
            </w:r>
          </w:p>
        </w:tc>
      </w:tr>
      <w:tr w14:paraId="73F1E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82" w:type="pct"/>
            <w:vMerge w:val="continue"/>
            <w:vAlign w:val="center"/>
          </w:tcPr>
          <w:p w14:paraId="3310E67B">
            <w:pPr>
              <w:keepNext w:val="0"/>
              <w:keepLines w:val="0"/>
              <w:suppressLineNumbers w:val="0"/>
              <w:spacing w:before="0" w:beforeAutospacing="0" w:after="0" w:afterAutospacing="0"/>
              <w:ind w:left="0" w:right="0"/>
              <w:jc w:val="center"/>
              <w:rPr>
                <w:rFonts w:hint="eastAsia" w:ascii="宋体" w:hAnsi="宋体" w:eastAsia="宋体" w:cs="宋体"/>
                <w:b w:val="0"/>
                <w:bCs/>
                <w:color w:val="auto"/>
                <w:szCs w:val="21"/>
              </w:rPr>
            </w:pPr>
          </w:p>
        </w:tc>
        <w:tc>
          <w:tcPr>
            <w:tcW w:w="1062" w:type="pct"/>
            <w:vMerge w:val="continue"/>
            <w:vAlign w:val="center"/>
          </w:tcPr>
          <w:p w14:paraId="1E974853">
            <w:pPr>
              <w:keepNext w:val="0"/>
              <w:keepLines w:val="0"/>
              <w:suppressLineNumbers w:val="0"/>
              <w:spacing w:before="0" w:beforeAutospacing="0" w:after="0" w:afterAutospacing="0"/>
              <w:ind w:left="0" w:right="0"/>
              <w:jc w:val="center"/>
              <w:rPr>
                <w:rFonts w:hint="eastAsia" w:ascii="宋体" w:hAnsi="宋体" w:eastAsia="宋体" w:cs="宋体"/>
                <w:b w:val="0"/>
                <w:bCs/>
                <w:color w:val="auto"/>
                <w:szCs w:val="21"/>
              </w:rPr>
            </w:pPr>
          </w:p>
        </w:tc>
        <w:tc>
          <w:tcPr>
            <w:tcW w:w="3355" w:type="pct"/>
          </w:tcPr>
          <w:p w14:paraId="551E61C4">
            <w:pPr>
              <w:keepNext w:val="0"/>
              <w:keepLines w:val="0"/>
              <w:suppressLineNumbers w:val="0"/>
              <w:spacing w:before="0" w:beforeAutospacing="0" w:after="0" w:afterAutospacing="0"/>
              <w:ind w:left="0" w:right="0"/>
              <w:rPr>
                <w:rFonts w:hint="eastAsia" w:ascii="宋体" w:hAnsi="宋体" w:eastAsia="宋体" w:cs="宋体"/>
                <w:b w:val="0"/>
                <w:bCs/>
                <w:color w:val="auto"/>
                <w:szCs w:val="21"/>
              </w:rPr>
            </w:pPr>
            <w:r>
              <w:rPr>
                <w:rFonts w:hint="eastAsia" w:ascii="宋体" w:hAnsi="宋体" w:eastAsia="宋体" w:cs="宋体"/>
                <w:b w:val="0"/>
                <w:bCs/>
                <w:color w:val="auto"/>
                <w:szCs w:val="21"/>
              </w:rPr>
              <w:t>1.2投标人必须承担的设备运输、安装调试、验收检测和提供设备操作说明书、图纸等其他类似的义务。</w:t>
            </w:r>
          </w:p>
        </w:tc>
      </w:tr>
      <w:tr w14:paraId="5E27F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82" w:type="pct"/>
            <w:vMerge w:val="continue"/>
            <w:vAlign w:val="center"/>
          </w:tcPr>
          <w:p w14:paraId="42CE0CBD">
            <w:pPr>
              <w:keepNext w:val="0"/>
              <w:keepLines w:val="0"/>
              <w:suppressLineNumbers w:val="0"/>
              <w:spacing w:before="0" w:beforeAutospacing="0" w:after="0" w:afterAutospacing="0"/>
              <w:ind w:left="0" w:right="0"/>
              <w:jc w:val="center"/>
              <w:rPr>
                <w:rFonts w:hint="eastAsia" w:ascii="宋体" w:hAnsi="宋体" w:eastAsia="宋体" w:cs="宋体"/>
                <w:b w:val="0"/>
                <w:bCs/>
                <w:color w:val="auto"/>
                <w:szCs w:val="21"/>
              </w:rPr>
            </w:pPr>
          </w:p>
        </w:tc>
        <w:tc>
          <w:tcPr>
            <w:tcW w:w="1062" w:type="pct"/>
            <w:vMerge w:val="continue"/>
            <w:vAlign w:val="center"/>
          </w:tcPr>
          <w:p w14:paraId="1385F70F">
            <w:pPr>
              <w:keepNext w:val="0"/>
              <w:keepLines w:val="0"/>
              <w:suppressLineNumbers w:val="0"/>
              <w:spacing w:before="0" w:beforeAutospacing="0" w:after="0" w:afterAutospacing="0"/>
              <w:ind w:left="0" w:right="0"/>
              <w:jc w:val="center"/>
              <w:rPr>
                <w:rFonts w:hint="eastAsia" w:ascii="宋体" w:hAnsi="宋体" w:eastAsia="宋体" w:cs="宋体"/>
                <w:b w:val="0"/>
                <w:bCs/>
                <w:color w:val="auto"/>
                <w:szCs w:val="21"/>
              </w:rPr>
            </w:pPr>
          </w:p>
        </w:tc>
        <w:tc>
          <w:tcPr>
            <w:tcW w:w="3355" w:type="pct"/>
          </w:tcPr>
          <w:p w14:paraId="186AAA92">
            <w:pPr>
              <w:keepNext w:val="0"/>
              <w:keepLines w:val="0"/>
              <w:suppressLineNumbers w:val="0"/>
              <w:spacing w:before="0" w:beforeAutospacing="0" w:after="0" w:afterAutospacing="0"/>
              <w:ind w:left="0" w:right="0"/>
              <w:rPr>
                <w:rFonts w:hint="eastAsia" w:ascii="宋体" w:hAnsi="宋体" w:eastAsia="宋体" w:cs="宋体"/>
                <w:b w:val="0"/>
                <w:bCs/>
                <w:color w:val="auto"/>
              </w:rPr>
            </w:pPr>
            <w:r>
              <w:rPr>
                <w:rFonts w:hint="eastAsia" w:ascii="宋体" w:hAnsi="宋体" w:eastAsia="宋体" w:cs="宋体"/>
                <w:b w:val="0"/>
                <w:bCs/>
                <w:color w:val="auto"/>
                <w:lang w:val="en-US" w:eastAsia="zh-CN"/>
              </w:rPr>
              <w:t>★</w:t>
            </w:r>
            <w:r>
              <w:rPr>
                <w:rFonts w:hint="eastAsia" w:ascii="宋体" w:hAnsi="宋体" w:eastAsia="宋体" w:cs="宋体"/>
                <w:b w:val="0"/>
                <w:bCs/>
                <w:color w:val="auto"/>
              </w:rPr>
              <w:t>1.3签订合同后15天（日历日）内交货。</w:t>
            </w:r>
          </w:p>
        </w:tc>
      </w:tr>
      <w:tr w14:paraId="25495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82" w:type="pct"/>
            <w:vMerge w:val="restart"/>
            <w:vAlign w:val="center"/>
          </w:tcPr>
          <w:p w14:paraId="75515968">
            <w:pPr>
              <w:keepNext w:val="0"/>
              <w:keepLines w:val="0"/>
              <w:suppressLineNumbers w:val="0"/>
              <w:spacing w:before="0" w:beforeAutospacing="0" w:after="0" w:afterAutospacing="0"/>
              <w:ind w:left="0" w:right="0"/>
              <w:jc w:val="center"/>
              <w:rPr>
                <w:rFonts w:hint="eastAsia" w:ascii="宋体" w:hAnsi="宋体" w:eastAsia="宋体" w:cs="宋体"/>
                <w:b w:val="0"/>
                <w:bCs/>
                <w:color w:val="auto"/>
                <w:szCs w:val="21"/>
              </w:rPr>
            </w:pPr>
            <w:r>
              <w:rPr>
                <w:rFonts w:hint="eastAsia" w:ascii="宋体" w:hAnsi="宋体" w:eastAsia="宋体" w:cs="宋体"/>
                <w:b w:val="0"/>
                <w:bCs/>
                <w:color w:val="auto"/>
                <w:szCs w:val="21"/>
              </w:rPr>
              <w:t>2</w:t>
            </w:r>
          </w:p>
        </w:tc>
        <w:tc>
          <w:tcPr>
            <w:tcW w:w="1062" w:type="pct"/>
            <w:vMerge w:val="restart"/>
            <w:vAlign w:val="center"/>
          </w:tcPr>
          <w:p w14:paraId="406C2833">
            <w:pPr>
              <w:keepNext w:val="0"/>
              <w:keepLines w:val="0"/>
              <w:suppressLineNumbers w:val="0"/>
              <w:spacing w:before="0" w:beforeAutospacing="0" w:after="0" w:afterAutospacing="0"/>
              <w:ind w:left="0" w:right="0"/>
              <w:jc w:val="center"/>
              <w:rPr>
                <w:rFonts w:hint="eastAsia" w:ascii="宋体" w:hAnsi="宋体" w:eastAsia="宋体" w:cs="宋体"/>
                <w:b w:val="0"/>
                <w:bCs/>
                <w:color w:val="auto"/>
                <w:szCs w:val="21"/>
              </w:rPr>
            </w:pPr>
            <w:r>
              <w:rPr>
                <w:rFonts w:hint="eastAsia" w:ascii="宋体" w:hAnsi="宋体" w:eastAsia="宋体" w:cs="宋体"/>
                <w:b w:val="0"/>
                <w:bCs/>
                <w:color w:val="auto"/>
                <w:szCs w:val="21"/>
              </w:rPr>
              <w:t>关于验收</w:t>
            </w:r>
          </w:p>
        </w:tc>
        <w:tc>
          <w:tcPr>
            <w:tcW w:w="3355" w:type="pct"/>
          </w:tcPr>
          <w:p w14:paraId="23CAF0F7">
            <w:pPr>
              <w:keepNext w:val="0"/>
              <w:keepLines w:val="0"/>
              <w:suppressLineNumbers w:val="0"/>
              <w:spacing w:before="0" w:beforeAutospacing="0" w:after="0" w:afterAutospacing="0" w:line="340" w:lineRule="exact"/>
              <w:ind w:left="0" w:right="0"/>
              <w:rPr>
                <w:rFonts w:hint="eastAsia" w:ascii="宋体" w:hAnsi="宋体" w:eastAsia="宋体" w:cs="宋体"/>
                <w:b w:val="0"/>
                <w:bCs/>
                <w:color w:val="auto"/>
                <w:szCs w:val="21"/>
              </w:rPr>
            </w:pPr>
            <w:r>
              <w:rPr>
                <w:rFonts w:hint="eastAsia" w:ascii="宋体" w:hAnsi="宋体" w:eastAsia="宋体" w:cs="宋体"/>
                <w:b w:val="0"/>
                <w:bCs/>
                <w:color w:val="auto"/>
                <w:szCs w:val="21"/>
              </w:rPr>
              <w:t>2.1投标人货物经过双方检验认可后，签署验收报告，产品保修期自验收合格之日起算，由投标人提供产品保修文件。</w:t>
            </w:r>
          </w:p>
        </w:tc>
      </w:tr>
      <w:tr w14:paraId="0EB0F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82" w:type="pct"/>
            <w:vMerge w:val="continue"/>
            <w:vAlign w:val="center"/>
          </w:tcPr>
          <w:p w14:paraId="01EBBE96">
            <w:pPr>
              <w:keepNext w:val="0"/>
              <w:keepLines w:val="0"/>
              <w:suppressLineNumbers w:val="0"/>
              <w:spacing w:before="0" w:beforeAutospacing="0" w:after="0" w:afterAutospacing="0"/>
              <w:ind w:left="0" w:right="0"/>
              <w:jc w:val="center"/>
              <w:rPr>
                <w:rFonts w:hint="eastAsia" w:ascii="宋体" w:hAnsi="宋体" w:eastAsia="宋体" w:cs="宋体"/>
                <w:b w:val="0"/>
                <w:bCs/>
                <w:color w:val="auto"/>
                <w:szCs w:val="21"/>
              </w:rPr>
            </w:pPr>
          </w:p>
        </w:tc>
        <w:tc>
          <w:tcPr>
            <w:tcW w:w="1062" w:type="pct"/>
            <w:vMerge w:val="continue"/>
            <w:vAlign w:val="center"/>
          </w:tcPr>
          <w:p w14:paraId="72A9A9B7">
            <w:pPr>
              <w:keepNext w:val="0"/>
              <w:keepLines w:val="0"/>
              <w:suppressLineNumbers w:val="0"/>
              <w:spacing w:before="0" w:beforeAutospacing="0" w:after="0" w:afterAutospacing="0"/>
              <w:ind w:left="0" w:right="0"/>
              <w:jc w:val="center"/>
              <w:rPr>
                <w:rFonts w:hint="eastAsia" w:ascii="宋体" w:hAnsi="宋体" w:eastAsia="宋体" w:cs="宋体"/>
                <w:b w:val="0"/>
                <w:bCs/>
                <w:color w:val="auto"/>
                <w:szCs w:val="21"/>
              </w:rPr>
            </w:pPr>
          </w:p>
        </w:tc>
        <w:tc>
          <w:tcPr>
            <w:tcW w:w="3355" w:type="pct"/>
          </w:tcPr>
          <w:p w14:paraId="0253DFAF">
            <w:pPr>
              <w:keepNext w:val="0"/>
              <w:keepLines w:val="0"/>
              <w:suppressLineNumbers w:val="0"/>
              <w:spacing w:before="0" w:beforeAutospacing="0" w:after="0" w:afterAutospacing="0" w:line="340" w:lineRule="exact"/>
              <w:ind w:left="0" w:right="0"/>
              <w:rPr>
                <w:rFonts w:hint="eastAsia" w:ascii="宋体" w:hAnsi="宋体" w:eastAsia="宋体" w:cs="宋体"/>
                <w:b w:val="0"/>
                <w:bCs/>
                <w:color w:val="auto"/>
                <w:szCs w:val="21"/>
              </w:rPr>
            </w:pPr>
            <w:r>
              <w:rPr>
                <w:rFonts w:hint="eastAsia" w:ascii="宋体" w:hAnsi="宋体" w:eastAsia="宋体" w:cs="宋体"/>
                <w:b w:val="0"/>
                <w:bCs/>
                <w:color w:val="auto"/>
                <w:szCs w:val="21"/>
              </w:rPr>
              <w:t>2.2当满足以下条件时，采购人才向中标人签发货物验收报告：</w:t>
            </w:r>
          </w:p>
          <w:p w14:paraId="66B8EC9A">
            <w:pPr>
              <w:keepNext w:val="0"/>
              <w:keepLines w:val="0"/>
              <w:suppressLineNumbers w:val="0"/>
              <w:tabs>
                <w:tab w:val="left" w:pos="1260"/>
              </w:tabs>
              <w:spacing w:before="0" w:beforeAutospacing="0" w:after="0" w:afterAutospacing="0" w:line="340" w:lineRule="exact"/>
              <w:ind w:left="0" w:right="0"/>
              <w:rPr>
                <w:rFonts w:hint="eastAsia" w:ascii="宋体" w:hAnsi="宋体" w:eastAsia="宋体" w:cs="宋体"/>
                <w:b w:val="0"/>
                <w:bCs/>
                <w:color w:val="auto"/>
                <w:szCs w:val="21"/>
              </w:rPr>
            </w:pPr>
            <w:r>
              <w:rPr>
                <w:rFonts w:hint="eastAsia" w:ascii="宋体" w:hAnsi="宋体" w:eastAsia="宋体" w:cs="宋体"/>
                <w:b w:val="0"/>
                <w:bCs/>
                <w:color w:val="auto"/>
                <w:szCs w:val="21"/>
              </w:rPr>
              <w:t>a、中标人已按照合同规定提供了全部产品及完整的技术资料。</w:t>
            </w:r>
          </w:p>
          <w:p w14:paraId="5F59BA58">
            <w:pPr>
              <w:keepNext w:val="0"/>
              <w:keepLines w:val="0"/>
              <w:suppressLineNumbers w:val="0"/>
              <w:tabs>
                <w:tab w:val="left" w:pos="1260"/>
              </w:tabs>
              <w:spacing w:before="0" w:beforeAutospacing="0" w:after="0" w:afterAutospacing="0" w:line="340" w:lineRule="exact"/>
              <w:ind w:left="0" w:right="0"/>
              <w:rPr>
                <w:rFonts w:hint="eastAsia" w:ascii="宋体" w:hAnsi="宋体" w:eastAsia="宋体" w:cs="宋体"/>
                <w:b w:val="0"/>
                <w:bCs/>
                <w:color w:val="auto"/>
                <w:szCs w:val="21"/>
              </w:rPr>
            </w:pPr>
            <w:r>
              <w:rPr>
                <w:rFonts w:hint="eastAsia" w:ascii="宋体" w:hAnsi="宋体" w:eastAsia="宋体" w:cs="宋体"/>
                <w:b w:val="0"/>
                <w:bCs/>
                <w:color w:val="auto"/>
                <w:szCs w:val="21"/>
              </w:rPr>
              <w:t>b、货物符合招标文件技术规格书的要求，性能满足要求。</w:t>
            </w:r>
          </w:p>
          <w:p w14:paraId="7B058F03">
            <w:pPr>
              <w:keepNext w:val="0"/>
              <w:keepLines w:val="0"/>
              <w:suppressLineNumbers w:val="0"/>
              <w:tabs>
                <w:tab w:val="left" w:pos="1260"/>
              </w:tabs>
              <w:spacing w:before="0" w:beforeAutospacing="0" w:after="0" w:afterAutospacing="0" w:line="340" w:lineRule="exact"/>
              <w:ind w:left="0" w:right="0"/>
              <w:rPr>
                <w:rFonts w:hint="eastAsia" w:ascii="宋体" w:hAnsi="宋体" w:eastAsia="宋体" w:cs="宋体"/>
                <w:b w:val="0"/>
                <w:bCs/>
                <w:color w:val="auto"/>
                <w:szCs w:val="21"/>
              </w:rPr>
            </w:pPr>
            <w:r>
              <w:rPr>
                <w:rFonts w:hint="eastAsia" w:ascii="宋体" w:hAnsi="宋体" w:eastAsia="宋体" w:cs="宋体"/>
                <w:b w:val="0"/>
                <w:bCs/>
                <w:color w:val="auto"/>
                <w:szCs w:val="21"/>
              </w:rPr>
              <w:t>c、货物具备产品合格证。</w:t>
            </w:r>
          </w:p>
        </w:tc>
      </w:tr>
      <w:tr w14:paraId="43BAF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82" w:type="pct"/>
            <w:vMerge w:val="restart"/>
            <w:vAlign w:val="center"/>
          </w:tcPr>
          <w:p w14:paraId="5BDAF1E0">
            <w:pPr>
              <w:keepNext w:val="0"/>
              <w:keepLines w:val="0"/>
              <w:suppressLineNumbers w:val="0"/>
              <w:spacing w:before="0" w:beforeAutospacing="0" w:after="0" w:afterAutospacing="0"/>
              <w:ind w:left="0" w:right="0"/>
              <w:jc w:val="center"/>
              <w:rPr>
                <w:rFonts w:hint="eastAsia" w:ascii="宋体" w:hAnsi="宋体" w:eastAsia="宋体" w:cs="宋体"/>
                <w:b w:val="0"/>
                <w:bCs/>
                <w:color w:val="auto"/>
                <w:szCs w:val="21"/>
              </w:rPr>
            </w:pPr>
            <w:r>
              <w:rPr>
                <w:rFonts w:hint="eastAsia" w:ascii="宋体" w:hAnsi="宋体" w:eastAsia="宋体" w:cs="宋体"/>
                <w:b w:val="0"/>
                <w:bCs/>
                <w:color w:val="auto"/>
                <w:szCs w:val="21"/>
              </w:rPr>
              <w:t>3</w:t>
            </w:r>
          </w:p>
        </w:tc>
        <w:tc>
          <w:tcPr>
            <w:tcW w:w="1062" w:type="pct"/>
            <w:vMerge w:val="restart"/>
            <w:vAlign w:val="center"/>
          </w:tcPr>
          <w:p w14:paraId="0999625C">
            <w:pPr>
              <w:keepNext w:val="0"/>
              <w:keepLines w:val="0"/>
              <w:suppressLineNumbers w:val="0"/>
              <w:spacing w:before="0" w:beforeAutospacing="0" w:after="0" w:afterAutospacing="0"/>
              <w:ind w:left="0" w:right="0"/>
              <w:jc w:val="center"/>
              <w:rPr>
                <w:rFonts w:hint="eastAsia" w:ascii="宋体" w:hAnsi="宋体" w:eastAsia="宋体" w:cs="宋体"/>
                <w:b w:val="0"/>
                <w:bCs/>
                <w:color w:val="auto"/>
                <w:szCs w:val="21"/>
              </w:rPr>
            </w:pPr>
            <w:r>
              <w:rPr>
                <w:rFonts w:hint="eastAsia" w:ascii="宋体" w:hAnsi="宋体" w:eastAsia="宋体" w:cs="宋体"/>
                <w:b w:val="0"/>
                <w:bCs/>
                <w:color w:val="auto"/>
                <w:szCs w:val="21"/>
              </w:rPr>
              <w:t>关于违约</w:t>
            </w:r>
          </w:p>
        </w:tc>
        <w:tc>
          <w:tcPr>
            <w:tcW w:w="3355" w:type="pct"/>
          </w:tcPr>
          <w:p w14:paraId="44132AFC">
            <w:pPr>
              <w:keepNext w:val="0"/>
              <w:keepLines w:val="0"/>
              <w:suppressLineNumbers w:val="0"/>
              <w:spacing w:before="0" w:beforeAutospacing="0" w:after="0" w:afterAutospacing="0"/>
              <w:ind w:left="0" w:right="0"/>
              <w:rPr>
                <w:rFonts w:hint="eastAsia" w:ascii="宋体" w:hAnsi="宋体" w:eastAsia="宋体" w:cs="宋体"/>
                <w:b w:val="0"/>
                <w:bCs/>
                <w:color w:val="auto"/>
                <w:szCs w:val="21"/>
              </w:rPr>
            </w:pPr>
            <w:r>
              <w:rPr>
                <w:rFonts w:hint="eastAsia" w:ascii="宋体" w:hAnsi="宋体" w:eastAsia="宋体" w:cs="宋体"/>
                <w:b w:val="0"/>
                <w:bCs/>
                <w:color w:val="auto"/>
                <w:szCs w:val="21"/>
              </w:rPr>
              <w:t>3.1中标人不能交货的，需偿付不能交货部分货款的</w:t>
            </w:r>
            <w:r>
              <w:rPr>
                <w:rFonts w:hint="eastAsia" w:ascii="宋体" w:hAnsi="宋体" w:eastAsia="宋体" w:cs="宋体"/>
                <w:b w:val="0"/>
                <w:bCs/>
                <w:color w:val="auto"/>
                <w:szCs w:val="21"/>
                <w:u w:val="single"/>
              </w:rPr>
              <w:t xml:space="preserve"> 10</w:t>
            </w:r>
            <w:r>
              <w:rPr>
                <w:rFonts w:hint="eastAsia" w:ascii="宋体" w:hAnsi="宋体" w:eastAsia="宋体" w:cs="宋体"/>
                <w:b w:val="0"/>
                <w:bCs/>
                <w:color w:val="auto"/>
                <w:szCs w:val="21"/>
              </w:rPr>
              <w:t>%的违约金并按主管部门相关规定处理。</w:t>
            </w:r>
          </w:p>
        </w:tc>
      </w:tr>
      <w:tr w14:paraId="3FAB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82" w:type="pct"/>
            <w:vMerge w:val="continue"/>
            <w:vAlign w:val="center"/>
          </w:tcPr>
          <w:p w14:paraId="5A48FB04">
            <w:pPr>
              <w:keepNext w:val="0"/>
              <w:keepLines w:val="0"/>
              <w:suppressLineNumbers w:val="0"/>
              <w:spacing w:before="0" w:beforeAutospacing="0" w:after="0" w:afterAutospacing="0"/>
              <w:ind w:left="0" w:right="0"/>
              <w:jc w:val="center"/>
              <w:rPr>
                <w:rFonts w:hint="eastAsia" w:ascii="宋体" w:hAnsi="宋体" w:eastAsia="宋体" w:cs="宋体"/>
                <w:b w:val="0"/>
                <w:bCs/>
                <w:color w:val="auto"/>
                <w:szCs w:val="21"/>
              </w:rPr>
            </w:pPr>
          </w:p>
        </w:tc>
        <w:tc>
          <w:tcPr>
            <w:tcW w:w="1062" w:type="pct"/>
            <w:vMerge w:val="continue"/>
            <w:vAlign w:val="center"/>
          </w:tcPr>
          <w:p w14:paraId="45FF90B9">
            <w:pPr>
              <w:keepNext w:val="0"/>
              <w:keepLines w:val="0"/>
              <w:suppressLineNumbers w:val="0"/>
              <w:spacing w:before="0" w:beforeAutospacing="0" w:after="0" w:afterAutospacing="0"/>
              <w:ind w:left="0" w:right="0"/>
              <w:jc w:val="center"/>
              <w:rPr>
                <w:rFonts w:hint="eastAsia" w:ascii="宋体" w:hAnsi="宋体" w:eastAsia="宋体" w:cs="宋体"/>
                <w:b w:val="0"/>
                <w:bCs/>
                <w:color w:val="auto"/>
                <w:szCs w:val="21"/>
              </w:rPr>
            </w:pPr>
          </w:p>
        </w:tc>
        <w:tc>
          <w:tcPr>
            <w:tcW w:w="3355" w:type="pct"/>
          </w:tcPr>
          <w:p w14:paraId="584941A6">
            <w:pPr>
              <w:keepNext w:val="0"/>
              <w:keepLines w:val="0"/>
              <w:suppressLineNumbers w:val="0"/>
              <w:spacing w:before="0" w:beforeAutospacing="0" w:after="0" w:afterAutospacing="0"/>
              <w:ind w:left="0" w:right="0"/>
              <w:rPr>
                <w:rFonts w:hint="eastAsia" w:ascii="宋体" w:hAnsi="宋体" w:eastAsia="宋体" w:cs="宋体"/>
                <w:b w:val="0"/>
                <w:bCs/>
                <w:color w:val="auto"/>
                <w:szCs w:val="21"/>
              </w:rPr>
            </w:pPr>
            <w:r>
              <w:rPr>
                <w:rFonts w:hint="eastAsia" w:ascii="宋体" w:hAnsi="宋体" w:eastAsia="宋体" w:cs="宋体"/>
                <w:b w:val="0"/>
                <w:bCs/>
                <w:color w:val="auto"/>
                <w:szCs w:val="21"/>
              </w:rPr>
              <w:t>3.2中标人逾期交货的，将被没收履约保证金并按主管部门相关规定处理。</w:t>
            </w:r>
          </w:p>
        </w:tc>
      </w:tr>
      <w:tr w14:paraId="1CEC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82" w:type="pct"/>
            <w:vMerge w:val="continue"/>
            <w:vAlign w:val="center"/>
          </w:tcPr>
          <w:p w14:paraId="5D8D284F">
            <w:pPr>
              <w:keepNext w:val="0"/>
              <w:keepLines w:val="0"/>
              <w:suppressLineNumbers w:val="0"/>
              <w:spacing w:before="0" w:beforeAutospacing="0" w:after="0" w:afterAutospacing="0"/>
              <w:ind w:left="0" w:right="0"/>
              <w:jc w:val="center"/>
              <w:rPr>
                <w:rFonts w:hint="eastAsia" w:ascii="宋体" w:hAnsi="宋体" w:eastAsia="宋体" w:cs="宋体"/>
                <w:b w:val="0"/>
                <w:bCs/>
                <w:color w:val="auto"/>
                <w:szCs w:val="21"/>
              </w:rPr>
            </w:pPr>
          </w:p>
        </w:tc>
        <w:tc>
          <w:tcPr>
            <w:tcW w:w="1062" w:type="pct"/>
            <w:vMerge w:val="continue"/>
            <w:vAlign w:val="center"/>
          </w:tcPr>
          <w:p w14:paraId="51341A3F">
            <w:pPr>
              <w:keepNext w:val="0"/>
              <w:keepLines w:val="0"/>
              <w:suppressLineNumbers w:val="0"/>
              <w:spacing w:before="0" w:beforeAutospacing="0" w:after="0" w:afterAutospacing="0"/>
              <w:ind w:left="0" w:right="0"/>
              <w:jc w:val="center"/>
              <w:rPr>
                <w:rFonts w:hint="eastAsia" w:ascii="宋体" w:hAnsi="宋体" w:eastAsia="宋体" w:cs="宋体"/>
                <w:b w:val="0"/>
                <w:bCs/>
                <w:color w:val="auto"/>
                <w:szCs w:val="21"/>
              </w:rPr>
            </w:pPr>
          </w:p>
        </w:tc>
        <w:tc>
          <w:tcPr>
            <w:tcW w:w="3355" w:type="pct"/>
          </w:tcPr>
          <w:p w14:paraId="6BCBAE13">
            <w:pPr>
              <w:keepNext w:val="0"/>
              <w:keepLines w:val="0"/>
              <w:suppressLineNumbers w:val="0"/>
              <w:spacing w:before="0" w:beforeAutospacing="0" w:after="0" w:afterAutospacing="0"/>
              <w:ind w:left="0" w:right="0"/>
              <w:rPr>
                <w:rFonts w:hint="eastAsia" w:ascii="宋体" w:hAnsi="宋体" w:eastAsia="宋体" w:cs="宋体"/>
                <w:b w:val="0"/>
                <w:bCs/>
                <w:color w:val="auto"/>
                <w:szCs w:val="21"/>
              </w:rPr>
            </w:pPr>
            <w:r>
              <w:rPr>
                <w:rFonts w:hint="eastAsia" w:ascii="宋体" w:hAnsi="宋体" w:eastAsia="宋体" w:cs="宋体"/>
                <w:b w:val="0"/>
                <w:bCs/>
                <w:color w:val="auto"/>
                <w:szCs w:val="21"/>
              </w:rPr>
              <w:t>3.3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r>
      <w:tr w14:paraId="25A7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82" w:type="pct"/>
            <w:vAlign w:val="center"/>
          </w:tcPr>
          <w:p w14:paraId="6D82F2CC">
            <w:pPr>
              <w:keepNext w:val="0"/>
              <w:keepLines w:val="0"/>
              <w:suppressLineNumbers w:val="0"/>
              <w:spacing w:before="0" w:beforeAutospacing="0" w:after="0" w:afterAutospacing="0"/>
              <w:ind w:left="0" w:right="0"/>
              <w:jc w:val="center"/>
              <w:rPr>
                <w:rFonts w:hint="eastAsia" w:ascii="宋体" w:hAnsi="宋体" w:eastAsia="宋体" w:cs="宋体"/>
                <w:b w:val="0"/>
                <w:bCs/>
                <w:color w:val="auto"/>
                <w:szCs w:val="21"/>
              </w:rPr>
            </w:pPr>
            <w:r>
              <w:rPr>
                <w:rFonts w:hint="eastAsia" w:ascii="宋体" w:hAnsi="宋体" w:eastAsia="宋体" w:cs="宋体"/>
                <w:b w:val="0"/>
                <w:bCs/>
                <w:color w:val="auto"/>
                <w:szCs w:val="21"/>
              </w:rPr>
              <w:t>4</w:t>
            </w:r>
          </w:p>
        </w:tc>
        <w:tc>
          <w:tcPr>
            <w:tcW w:w="1062" w:type="pct"/>
            <w:vAlign w:val="center"/>
          </w:tcPr>
          <w:p w14:paraId="5AD4452A">
            <w:pPr>
              <w:keepNext w:val="0"/>
              <w:keepLines w:val="0"/>
              <w:suppressLineNumbers w:val="0"/>
              <w:spacing w:before="0" w:beforeAutospacing="0" w:after="0" w:afterAutospacing="0"/>
              <w:ind w:left="0" w:right="0"/>
              <w:jc w:val="center"/>
              <w:rPr>
                <w:rFonts w:hint="eastAsia" w:ascii="宋体" w:hAnsi="宋体" w:eastAsia="宋体" w:cs="宋体"/>
                <w:b w:val="0"/>
                <w:bCs/>
                <w:color w:val="auto"/>
                <w:szCs w:val="21"/>
              </w:rPr>
            </w:pPr>
            <w:r>
              <w:rPr>
                <w:rFonts w:hint="eastAsia" w:ascii="宋体" w:hAnsi="宋体" w:eastAsia="宋体" w:cs="宋体"/>
                <w:b w:val="0"/>
                <w:bCs/>
                <w:color w:val="auto"/>
                <w:szCs w:val="21"/>
              </w:rPr>
              <w:t>关于付款</w:t>
            </w:r>
          </w:p>
        </w:tc>
        <w:tc>
          <w:tcPr>
            <w:tcW w:w="3355" w:type="pct"/>
          </w:tcPr>
          <w:p w14:paraId="172FC947">
            <w:pPr>
              <w:keepNext w:val="0"/>
              <w:keepLines w:val="0"/>
              <w:suppressLineNumbers w:val="0"/>
              <w:spacing w:before="0" w:beforeAutospacing="0" w:after="0" w:afterAutospacing="0"/>
              <w:ind w:left="0" w:right="0"/>
              <w:rPr>
                <w:rFonts w:hint="eastAsia" w:ascii="宋体" w:hAnsi="宋体" w:eastAsia="宋体" w:cs="宋体"/>
                <w:b w:val="0"/>
                <w:bCs/>
                <w:color w:val="auto"/>
                <w:szCs w:val="21"/>
                <w:lang w:eastAsia="zh-TW"/>
              </w:rPr>
            </w:pPr>
            <w:r>
              <w:rPr>
                <w:rFonts w:hint="eastAsia" w:ascii="宋体" w:hAnsi="宋体" w:eastAsia="宋体" w:cs="宋体"/>
                <w:b w:val="0"/>
                <w:bCs/>
                <w:color w:val="auto"/>
                <w:szCs w:val="21"/>
                <w:lang w:eastAsia="zh-TW"/>
              </w:rPr>
              <w:t>4.1中标人需在签订合同后1</w:t>
            </w:r>
            <w:r>
              <w:rPr>
                <w:rFonts w:hint="eastAsia" w:ascii="宋体" w:hAnsi="宋体" w:eastAsia="宋体" w:cs="宋体"/>
                <w:b w:val="0"/>
                <w:bCs/>
                <w:color w:val="auto"/>
                <w:szCs w:val="21"/>
              </w:rPr>
              <w:t>0</w:t>
            </w:r>
            <w:r>
              <w:rPr>
                <w:rFonts w:hint="eastAsia" w:ascii="宋体" w:hAnsi="宋体" w:eastAsia="宋体" w:cs="宋体"/>
                <w:b w:val="0"/>
                <w:bCs/>
                <w:color w:val="auto"/>
                <w:szCs w:val="21"/>
                <w:lang w:eastAsia="zh-TW"/>
              </w:rPr>
              <w:t>个工作日内以非现金形式支付合同总额的10%（如为中小企业：合同总额的5%）作为履约保证金给采购人，货到安装完成，经采购人验收合格且中标人提供全额增值税发票后，采购人向中标人一次性支付货款的100%；中标人履行完毕本合同全部义务后，中标人向采购人申请退回该履约保证金，采购人收到申请审核同意后，无息返还中标人的履约保证金。因中标人原因而未能达到本项目验收标准或验收不通过的，履约保证金不予退还。</w:t>
            </w:r>
          </w:p>
          <w:p w14:paraId="1F4966FD">
            <w:pPr>
              <w:keepNext w:val="0"/>
              <w:keepLines w:val="0"/>
              <w:suppressLineNumbers w:val="0"/>
              <w:spacing w:before="0" w:beforeAutospacing="0" w:after="0" w:afterAutospacing="0"/>
              <w:ind w:left="0" w:right="0"/>
              <w:rPr>
                <w:rFonts w:hint="eastAsia" w:ascii="宋体" w:hAnsi="宋体" w:eastAsia="宋体" w:cs="宋体"/>
                <w:b w:val="0"/>
                <w:bCs/>
                <w:color w:val="auto"/>
                <w:szCs w:val="21"/>
                <w:lang w:eastAsia="zh-TW"/>
              </w:rPr>
            </w:pPr>
            <w:r>
              <w:rPr>
                <w:rFonts w:hint="eastAsia" w:ascii="宋体" w:hAnsi="宋体" w:eastAsia="宋体" w:cs="宋体"/>
                <w:b w:val="0"/>
                <w:bCs/>
                <w:color w:val="auto"/>
                <w:szCs w:val="21"/>
                <w:lang w:eastAsia="zh-TW"/>
              </w:rPr>
              <w:t>4.2支付合同款项前，中标人需向采购人提供与支付金额相符的有效发票，且收款方、出具发票方、合同乙方均必须与中标人名称一致。</w:t>
            </w:r>
          </w:p>
          <w:p w14:paraId="3454C3C1">
            <w:pPr>
              <w:keepNext w:val="0"/>
              <w:keepLines w:val="0"/>
              <w:suppressLineNumbers w:val="0"/>
              <w:spacing w:before="0" w:beforeAutospacing="0" w:after="0" w:afterAutospacing="0"/>
              <w:ind w:left="0" w:right="0"/>
              <w:rPr>
                <w:rFonts w:hint="eastAsia" w:ascii="宋体" w:hAnsi="宋体" w:eastAsia="宋体" w:cs="宋体"/>
                <w:b w:val="0"/>
                <w:bCs/>
                <w:color w:val="auto"/>
                <w:szCs w:val="21"/>
              </w:rPr>
            </w:pPr>
            <w:r>
              <w:rPr>
                <w:rFonts w:hint="eastAsia" w:ascii="宋体" w:hAnsi="宋体" w:eastAsia="宋体" w:cs="宋体"/>
                <w:b w:val="0"/>
                <w:bCs/>
                <w:color w:val="auto"/>
                <w:szCs w:val="21"/>
              </w:rPr>
              <w:t>4.3违约责任：</w:t>
            </w:r>
            <w:r>
              <w:rPr>
                <w:rFonts w:hint="eastAsia" w:ascii="宋体" w:hAnsi="宋体" w:eastAsia="宋体" w:cs="宋体"/>
                <w:b w:val="0"/>
                <w:bCs/>
                <w:color w:val="auto"/>
                <w:szCs w:val="21"/>
                <w:lang w:eastAsia="zh-TW"/>
              </w:rPr>
              <w:t>采购人逾期</w:t>
            </w:r>
            <w:r>
              <w:rPr>
                <w:rFonts w:hint="eastAsia" w:ascii="宋体" w:hAnsi="宋体" w:eastAsia="宋体" w:cs="宋体"/>
                <w:b w:val="0"/>
                <w:bCs/>
                <w:color w:val="auto"/>
                <w:szCs w:val="21"/>
              </w:rPr>
              <w:t>支付合同款项</w:t>
            </w:r>
            <w:r>
              <w:rPr>
                <w:rFonts w:hint="eastAsia" w:ascii="宋体" w:hAnsi="宋体" w:eastAsia="宋体" w:cs="宋体"/>
                <w:b w:val="0"/>
                <w:bCs/>
                <w:color w:val="auto"/>
                <w:szCs w:val="21"/>
                <w:lang w:eastAsia="zh-TW"/>
              </w:rPr>
              <w:t>的，除应当</w:t>
            </w:r>
            <w:r>
              <w:rPr>
                <w:rFonts w:hint="eastAsia" w:ascii="宋体" w:hAnsi="宋体" w:eastAsia="宋体" w:cs="宋体"/>
                <w:b w:val="0"/>
                <w:bCs/>
                <w:color w:val="auto"/>
                <w:szCs w:val="21"/>
              </w:rPr>
              <w:t>支付合同款项</w:t>
            </w:r>
            <w:r>
              <w:rPr>
                <w:rFonts w:hint="eastAsia" w:ascii="宋体" w:hAnsi="宋体" w:eastAsia="宋体" w:cs="宋体"/>
                <w:b w:val="0"/>
                <w:bCs/>
                <w:color w:val="auto"/>
                <w:szCs w:val="21"/>
                <w:lang w:eastAsia="zh-TW"/>
              </w:rPr>
              <w:t>外，还应当每日按合同总价的3‰向</w:t>
            </w:r>
            <w:r>
              <w:rPr>
                <w:rFonts w:hint="eastAsia" w:ascii="宋体" w:hAnsi="宋体" w:eastAsia="宋体" w:cs="宋体"/>
                <w:b w:val="0"/>
                <w:bCs/>
                <w:color w:val="auto"/>
                <w:szCs w:val="21"/>
              </w:rPr>
              <w:t>中标人</w:t>
            </w:r>
            <w:r>
              <w:rPr>
                <w:rFonts w:hint="eastAsia" w:ascii="宋体" w:hAnsi="宋体" w:eastAsia="宋体" w:cs="宋体"/>
                <w:b w:val="0"/>
                <w:bCs/>
                <w:color w:val="auto"/>
                <w:szCs w:val="21"/>
                <w:lang w:eastAsia="zh-TW"/>
              </w:rPr>
              <w:t>偿付违约金，但因中标人自身原因导致无法及时</w:t>
            </w:r>
            <w:r>
              <w:rPr>
                <w:rFonts w:hint="eastAsia" w:ascii="宋体" w:hAnsi="宋体" w:eastAsia="宋体" w:cs="宋体"/>
                <w:b w:val="0"/>
                <w:bCs/>
                <w:color w:val="auto"/>
                <w:szCs w:val="21"/>
              </w:rPr>
              <w:t>支付</w:t>
            </w:r>
            <w:r>
              <w:rPr>
                <w:rFonts w:hint="eastAsia" w:ascii="宋体" w:hAnsi="宋体" w:eastAsia="宋体" w:cs="宋体"/>
                <w:b w:val="0"/>
                <w:bCs/>
                <w:color w:val="auto"/>
                <w:szCs w:val="21"/>
                <w:lang w:eastAsia="zh-TW"/>
              </w:rPr>
              <w:t>的除外</w:t>
            </w:r>
            <w:r>
              <w:rPr>
                <w:rFonts w:hint="eastAsia" w:ascii="宋体" w:hAnsi="宋体" w:eastAsia="宋体" w:cs="宋体"/>
                <w:b w:val="0"/>
                <w:bCs/>
                <w:color w:val="auto"/>
                <w:szCs w:val="21"/>
              </w:rPr>
              <w:t>。</w:t>
            </w:r>
          </w:p>
        </w:tc>
      </w:tr>
      <w:tr w14:paraId="3D2C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82" w:type="pct"/>
            <w:vAlign w:val="center"/>
          </w:tcPr>
          <w:p w14:paraId="3DC5A273">
            <w:pPr>
              <w:keepNext w:val="0"/>
              <w:keepLines w:val="0"/>
              <w:suppressLineNumbers w:val="0"/>
              <w:spacing w:before="0" w:beforeAutospacing="0" w:after="0" w:afterAutospacing="0"/>
              <w:ind w:left="0" w:right="0"/>
              <w:jc w:val="center"/>
              <w:rPr>
                <w:rFonts w:hint="eastAsia" w:ascii="宋体" w:hAnsi="宋体" w:eastAsia="宋体" w:cs="宋体"/>
                <w:b w:val="0"/>
                <w:bCs/>
                <w:color w:val="auto"/>
                <w:szCs w:val="21"/>
                <w:lang w:eastAsia="zh-CN"/>
              </w:rPr>
            </w:pPr>
            <w:r>
              <w:rPr>
                <w:rFonts w:hint="eastAsia" w:ascii="宋体" w:hAnsi="宋体" w:eastAsia="宋体" w:cs="宋体"/>
                <w:b w:val="0"/>
                <w:bCs/>
                <w:color w:val="auto"/>
                <w:szCs w:val="21"/>
                <w:lang w:val="en-US" w:eastAsia="zh-CN"/>
              </w:rPr>
              <w:t>5</w:t>
            </w:r>
          </w:p>
        </w:tc>
        <w:tc>
          <w:tcPr>
            <w:tcW w:w="1062" w:type="pct"/>
            <w:vAlign w:val="center"/>
          </w:tcPr>
          <w:p w14:paraId="7EDA3F8A">
            <w:pPr>
              <w:keepNext w:val="0"/>
              <w:keepLines w:val="0"/>
              <w:suppressLineNumbers w:val="0"/>
              <w:tabs>
                <w:tab w:val="left" w:pos="540"/>
              </w:tabs>
              <w:adjustRightInd w:val="0"/>
              <w:snapToGrid w:val="0"/>
              <w:spacing w:before="0" w:beforeAutospacing="0" w:after="0" w:afterAutospacing="0" w:line="360" w:lineRule="auto"/>
              <w:ind w:left="0" w:right="0"/>
              <w:jc w:val="center"/>
              <w:rPr>
                <w:rFonts w:hint="eastAsia" w:ascii="宋体" w:hAnsi="宋体" w:eastAsia="宋体" w:cs="宋体"/>
                <w:b w:val="0"/>
                <w:bCs/>
                <w:color w:val="auto"/>
                <w:szCs w:val="21"/>
              </w:rPr>
            </w:pPr>
            <w:r>
              <w:rPr>
                <w:rFonts w:hint="eastAsia" w:ascii="宋体" w:hAnsi="宋体" w:eastAsia="宋体" w:cs="宋体"/>
                <w:b w:val="0"/>
                <w:bCs/>
                <w:color w:val="auto"/>
                <w:szCs w:val="21"/>
              </w:rPr>
              <w:t>知识产权合规承诺</w:t>
            </w:r>
          </w:p>
        </w:tc>
        <w:tc>
          <w:tcPr>
            <w:tcW w:w="3355" w:type="pct"/>
          </w:tcPr>
          <w:p w14:paraId="41CCEB27">
            <w:pPr>
              <w:keepNext w:val="0"/>
              <w:keepLines w:val="0"/>
              <w:suppressLineNumbers w:val="0"/>
              <w:spacing w:before="0" w:beforeAutospacing="0" w:after="0" w:afterAutospacing="0"/>
              <w:ind w:left="0" w:right="0"/>
              <w:rPr>
                <w:rFonts w:hint="eastAsia" w:ascii="宋体" w:hAnsi="宋体" w:eastAsia="宋体" w:cs="宋体"/>
                <w:b w:val="0"/>
                <w:bCs/>
                <w:color w:val="auto"/>
                <w:kern w:val="0"/>
                <w:szCs w:val="21"/>
              </w:rPr>
            </w:pPr>
            <w:r>
              <w:rPr>
                <w:rFonts w:hint="eastAsia" w:ascii="宋体" w:hAnsi="宋体" w:eastAsia="宋体" w:cs="宋体"/>
                <w:b w:val="0"/>
                <w:bCs/>
                <w:color w:val="auto"/>
                <w:szCs w:val="21"/>
              </w:rPr>
              <w:t>★</w:t>
            </w:r>
            <w:r>
              <w:rPr>
                <w:rFonts w:hint="eastAsia" w:ascii="宋体" w:hAnsi="宋体" w:eastAsia="宋体" w:cs="宋体"/>
                <w:b w:val="0"/>
                <w:bCs/>
                <w:color w:val="auto"/>
                <w:kern w:val="0"/>
                <w:szCs w:val="21"/>
                <w:lang w:val="en-US" w:eastAsia="zh-CN" w:bidi="ar"/>
              </w:rPr>
              <w:t>5</w:t>
            </w:r>
            <w:r>
              <w:rPr>
                <w:rFonts w:hint="eastAsia" w:ascii="宋体" w:hAnsi="宋体" w:eastAsia="宋体" w:cs="宋体"/>
                <w:b w:val="0"/>
                <w:bCs/>
                <w:color w:val="auto"/>
                <w:kern w:val="0"/>
                <w:szCs w:val="21"/>
                <w:lang w:bidi="ar"/>
              </w:rPr>
              <w:t>.1中标人在履行合同的过程中不得侵犯他人知识产权，不得提供虚假知识产权申请材料或者违背知识产权合规性承诺，否则依法追究其违约等责任，并将其失信违法信息依法纳入公共信用信息系统。</w:t>
            </w:r>
          </w:p>
          <w:p w14:paraId="6D65FE6C">
            <w:pPr>
              <w:keepNext w:val="0"/>
              <w:keepLines w:val="0"/>
              <w:suppressLineNumbers w:val="0"/>
              <w:spacing w:before="0" w:beforeAutospacing="0" w:after="0" w:afterAutospacing="0"/>
              <w:ind w:left="0" w:right="0"/>
              <w:rPr>
                <w:rFonts w:hint="eastAsia" w:ascii="宋体" w:hAnsi="宋体" w:eastAsia="宋体" w:cs="宋体"/>
                <w:b w:val="0"/>
                <w:bCs/>
                <w:color w:val="auto"/>
                <w:kern w:val="0"/>
                <w:szCs w:val="21"/>
              </w:rPr>
            </w:pPr>
            <w:r>
              <w:rPr>
                <w:rFonts w:hint="eastAsia" w:ascii="宋体" w:hAnsi="宋体" w:eastAsia="宋体" w:cs="宋体"/>
                <w:b w:val="0"/>
                <w:bCs/>
                <w:color w:val="auto"/>
                <w:szCs w:val="21"/>
              </w:rPr>
              <w:t>★</w:t>
            </w:r>
            <w:r>
              <w:rPr>
                <w:rFonts w:hint="eastAsia" w:ascii="宋体" w:hAnsi="宋体" w:eastAsia="宋体" w:cs="宋体"/>
                <w:b w:val="0"/>
                <w:bCs/>
                <w:color w:val="auto"/>
                <w:kern w:val="0"/>
                <w:szCs w:val="21"/>
                <w:lang w:val="en-US" w:eastAsia="zh-CN" w:bidi="ar"/>
              </w:rPr>
              <w:t>5</w:t>
            </w:r>
            <w:r>
              <w:rPr>
                <w:rFonts w:hint="eastAsia" w:ascii="宋体" w:hAnsi="宋体" w:eastAsia="宋体" w:cs="宋体"/>
                <w:b w:val="0"/>
                <w:bCs/>
                <w:color w:val="auto"/>
                <w:kern w:val="0"/>
                <w:szCs w:val="21"/>
                <w:lang w:bidi="ar"/>
              </w:rPr>
              <w:t>.2中标人应保证采购人在使用该货物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14:paraId="378AEF0A">
            <w:pPr>
              <w:keepNext w:val="0"/>
              <w:keepLines w:val="0"/>
              <w:suppressLineNumbers w:val="0"/>
              <w:tabs>
                <w:tab w:val="left" w:pos="540"/>
              </w:tabs>
              <w:adjustRightInd w:val="0"/>
              <w:snapToGrid w:val="0"/>
              <w:spacing w:before="0" w:beforeAutospacing="0" w:after="0" w:afterAutospacing="0" w:line="360" w:lineRule="auto"/>
              <w:ind w:left="0" w:right="0"/>
              <w:rPr>
                <w:rFonts w:hint="eastAsia" w:ascii="宋体" w:hAnsi="宋体" w:eastAsia="宋体" w:cs="宋体"/>
                <w:b w:val="0"/>
                <w:bCs/>
                <w:color w:val="auto"/>
                <w:szCs w:val="21"/>
              </w:rPr>
            </w:pPr>
            <w:r>
              <w:rPr>
                <w:rFonts w:hint="eastAsia" w:ascii="宋体" w:hAnsi="宋体" w:eastAsia="宋体" w:cs="宋体"/>
                <w:b w:val="0"/>
                <w:bCs/>
                <w:color w:val="auto"/>
                <w:szCs w:val="21"/>
              </w:rPr>
              <w:t>★</w:t>
            </w:r>
            <w:r>
              <w:rPr>
                <w:rFonts w:hint="eastAsia" w:ascii="宋体" w:hAnsi="宋体" w:eastAsia="宋体" w:cs="宋体"/>
                <w:b w:val="0"/>
                <w:bCs/>
                <w:color w:val="auto"/>
                <w:kern w:val="0"/>
                <w:szCs w:val="21"/>
                <w:lang w:val="en-US" w:eastAsia="zh-CN" w:bidi="ar"/>
              </w:rPr>
              <w:t>5</w:t>
            </w:r>
            <w:r>
              <w:rPr>
                <w:rFonts w:hint="eastAsia" w:ascii="宋体" w:hAnsi="宋体" w:eastAsia="宋体" w:cs="宋体"/>
                <w:b w:val="0"/>
                <w:bCs/>
                <w:color w:val="auto"/>
                <w:kern w:val="0"/>
                <w:szCs w:val="21"/>
                <w:lang w:bidi="ar"/>
              </w:rPr>
              <w:t>.3中标人实施本项目所形成成果的知识产权归采购人所有，未经采购人许可，中标人不得随意使用。</w:t>
            </w:r>
          </w:p>
        </w:tc>
      </w:tr>
      <w:tr w14:paraId="3598E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82" w:type="pct"/>
            <w:vAlign w:val="center"/>
          </w:tcPr>
          <w:p w14:paraId="03475AB2">
            <w:pPr>
              <w:keepNext w:val="0"/>
              <w:keepLines w:val="0"/>
              <w:suppressLineNumbers w:val="0"/>
              <w:spacing w:before="0" w:beforeAutospacing="0" w:after="0" w:afterAutospacing="0"/>
              <w:ind w:left="0" w:right="0"/>
              <w:jc w:val="center"/>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6</w:t>
            </w:r>
          </w:p>
        </w:tc>
        <w:tc>
          <w:tcPr>
            <w:tcW w:w="1062" w:type="pct"/>
            <w:vAlign w:val="center"/>
          </w:tcPr>
          <w:p w14:paraId="161ECFDE">
            <w:pPr>
              <w:keepNext w:val="0"/>
              <w:keepLines w:val="0"/>
              <w:suppressLineNumbers w:val="0"/>
              <w:tabs>
                <w:tab w:val="left" w:pos="540"/>
              </w:tabs>
              <w:adjustRightInd w:val="0"/>
              <w:snapToGrid w:val="0"/>
              <w:spacing w:before="0" w:beforeAutospacing="0" w:after="0" w:afterAutospacing="0" w:line="360" w:lineRule="auto"/>
              <w:ind w:left="0" w:right="0"/>
              <w:jc w:val="center"/>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人员安排要求</w:t>
            </w:r>
          </w:p>
        </w:tc>
        <w:tc>
          <w:tcPr>
            <w:tcW w:w="3355" w:type="pct"/>
          </w:tcPr>
          <w:p w14:paraId="339E4FE0">
            <w:pPr>
              <w:keepNext w:val="0"/>
              <w:keepLines w:val="0"/>
              <w:suppressLineNumbers w:val="0"/>
              <w:tabs>
                <w:tab w:val="left" w:pos="540"/>
              </w:tabs>
              <w:adjustRightInd w:val="0"/>
              <w:snapToGrid w:val="0"/>
              <w:spacing w:before="0" w:beforeAutospacing="0" w:after="0" w:afterAutospacing="0" w:line="360" w:lineRule="auto"/>
              <w:ind w:left="0" w:right="0"/>
              <w:rPr>
                <w:rFonts w:hint="eastAsia" w:ascii="宋体" w:hAnsi="宋体" w:eastAsia="宋体" w:cs="宋体"/>
                <w:b w:val="0"/>
                <w:bCs/>
                <w:color w:val="auto"/>
                <w:kern w:val="0"/>
                <w:szCs w:val="21"/>
                <w:lang w:bidi="ar"/>
              </w:rPr>
            </w:pPr>
            <w:r>
              <w:rPr>
                <w:rFonts w:hint="eastAsia" w:ascii="宋体" w:hAnsi="宋体" w:eastAsia="宋体" w:cs="宋体"/>
                <w:b w:val="0"/>
                <w:bCs/>
                <w:color w:val="auto"/>
                <w:kern w:val="0"/>
                <w:szCs w:val="21"/>
                <w:lang w:val="en-US" w:eastAsia="zh-CN" w:bidi="ar"/>
              </w:rPr>
              <w:t>6.1</w:t>
            </w:r>
            <w:r>
              <w:rPr>
                <w:rFonts w:hint="eastAsia" w:ascii="宋体" w:hAnsi="宋体" w:eastAsia="宋体" w:cs="宋体"/>
                <w:b w:val="0"/>
                <w:bCs/>
                <w:color w:val="auto"/>
                <w:kern w:val="0"/>
                <w:szCs w:val="21"/>
                <w:lang w:bidi="ar"/>
              </w:rPr>
              <w:t>中标人须根据本项目的实际情况，为本项目指定合格的项目负责人，并配备足够人员和技术力量的专门团队，项目团队人员需具备项目相关的专业能力及工作经验，确保项目工作高质量完成。</w:t>
            </w:r>
          </w:p>
        </w:tc>
      </w:tr>
      <w:tr w14:paraId="0E321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82" w:type="pct"/>
            <w:vAlign w:val="center"/>
          </w:tcPr>
          <w:p w14:paraId="5AED86B9">
            <w:pPr>
              <w:keepNext w:val="0"/>
              <w:keepLines w:val="0"/>
              <w:suppressLineNumbers w:val="0"/>
              <w:spacing w:before="0" w:beforeAutospacing="0" w:after="0" w:afterAutospacing="0"/>
              <w:ind w:left="0" w:right="0"/>
              <w:jc w:val="center"/>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7</w:t>
            </w:r>
          </w:p>
        </w:tc>
        <w:tc>
          <w:tcPr>
            <w:tcW w:w="1062" w:type="pct"/>
            <w:vAlign w:val="center"/>
          </w:tcPr>
          <w:p w14:paraId="728B7177">
            <w:pPr>
              <w:keepNext w:val="0"/>
              <w:keepLines w:val="0"/>
              <w:suppressLineNumbers w:val="0"/>
              <w:tabs>
                <w:tab w:val="left" w:pos="540"/>
              </w:tabs>
              <w:adjustRightInd w:val="0"/>
              <w:snapToGrid w:val="0"/>
              <w:spacing w:before="0" w:beforeAutospacing="0" w:after="0" w:afterAutospacing="0" w:line="360" w:lineRule="auto"/>
              <w:ind w:left="0" w:right="0"/>
              <w:jc w:val="center"/>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报价要求</w:t>
            </w:r>
          </w:p>
        </w:tc>
        <w:tc>
          <w:tcPr>
            <w:tcW w:w="3355" w:type="pct"/>
          </w:tcPr>
          <w:p w14:paraId="558C623D">
            <w:pPr>
              <w:keepNext w:val="0"/>
              <w:keepLines w:val="0"/>
              <w:suppressLineNumbers w:val="0"/>
              <w:tabs>
                <w:tab w:val="left" w:pos="540"/>
              </w:tabs>
              <w:adjustRightInd w:val="0"/>
              <w:snapToGrid w:val="0"/>
              <w:spacing w:before="0" w:beforeAutospacing="0" w:after="0" w:afterAutospacing="0" w:line="360" w:lineRule="auto"/>
              <w:ind w:left="0" w:right="0"/>
              <w:rPr>
                <w:rFonts w:hint="eastAsia" w:ascii="宋体" w:hAnsi="宋体" w:eastAsia="宋体" w:cs="宋体"/>
                <w:b w:val="0"/>
                <w:bCs/>
                <w:color w:val="auto"/>
                <w:kern w:val="0"/>
                <w:szCs w:val="21"/>
                <w:lang w:val="en-US" w:eastAsia="zh-CN" w:bidi="ar"/>
              </w:rPr>
            </w:pPr>
            <w:r>
              <w:rPr>
                <w:rFonts w:hint="eastAsia" w:ascii="宋体" w:hAnsi="宋体" w:eastAsia="宋体" w:cs="宋体"/>
                <w:b w:val="0"/>
                <w:bCs/>
                <w:color w:val="auto"/>
                <w:kern w:val="0"/>
                <w:szCs w:val="21"/>
                <w:lang w:val="en-US" w:eastAsia="zh-CN" w:bidi="ar"/>
              </w:rPr>
              <w:t>7.1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4A63532">
            <w:pPr>
              <w:keepNext w:val="0"/>
              <w:keepLines w:val="0"/>
              <w:suppressLineNumbers w:val="0"/>
              <w:tabs>
                <w:tab w:val="left" w:pos="540"/>
              </w:tabs>
              <w:adjustRightInd w:val="0"/>
              <w:snapToGrid w:val="0"/>
              <w:spacing w:before="0" w:beforeAutospacing="0" w:after="0" w:afterAutospacing="0" w:line="360" w:lineRule="auto"/>
              <w:ind w:left="0" w:right="0"/>
              <w:rPr>
                <w:rFonts w:hint="eastAsia" w:ascii="宋体" w:hAnsi="宋体" w:eastAsia="宋体" w:cs="宋体"/>
                <w:b w:val="0"/>
                <w:bCs/>
                <w:color w:val="auto"/>
                <w:kern w:val="0"/>
                <w:szCs w:val="21"/>
                <w:lang w:val="en-US" w:eastAsia="zh-CN" w:bidi="ar"/>
              </w:rPr>
            </w:pPr>
            <w:r>
              <w:rPr>
                <w:rFonts w:hint="eastAsia" w:ascii="宋体" w:hAnsi="宋体" w:eastAsia="宋体" w:cs="宋体"/>
                <w:b w:val="0"/>
                <w:bCs/>
                <w:color w:val="auto"/>
                <w:kern w:val="0"/>
                <w:szCs w:val="21"/>
                <w:lang w:val="en-US" w:eastAsia="zh-CN" w:bidi="ar"/>
              </w:rPr>
              <w:t>7.2投标人的投标报价，应是本项目招标范围和招标文件及合同条款上所列的各项内容中所述的全部，不得以任何理由予以重复，并以投标人在投标文件中提出的综合单价或总价为依据。</w:t>
            </w:r>
          </w:p>
          <w:p w14:paraId="14C9C230">
            <w:pPr>
              <w:keepNext w:val="0"/>
              <w:keepLines w:val="0"/>
              <w:suppressLineNumbers w:val="0"/>
              <w:tabs>
                <w:tab w:val="left" w:pos="540"/>
              </w:tabs>
              <w:adjustRightInd w:val="0"/>
              <w:snapToGrid w:val="0"/>
              <w:spacing w:before="0" w:beforeAutospacing="0" w:after="0" w:afterAutospacing="0" w:line="360" w:lineRule="auto"/>
              <w:ind w:left="0" w:right="0"/>
              <w:rPr>
                <w:rFonts w:hint="eastAsia" w:ascii="宋体" w:hAnsi="宋体" w:eastAsia="宋体" w:cs="宋体"/>
                <w:b w:val="0"/>
                <w:bCs/>
                <w:color w:val="auto"/>
                <w:kern w:val="0"/>
                <w:szCs w:val="21"/>
                <w:lang w:val="en-US" w:eastAsia="zh-CN" w:bidi="ar"/>
              </w:rPr>
            </w:pPr>
            <w:r>
              <w:rPr>
                <w:rFonts w:hint="eastAsia" w:ascii="宋体" w:hAnsi="宋体" w:eastAsia="宋体" w:cs="宋体"/>
                <w:b w:val="0"/>
                <w:bCs/>
                <w:color w:val="auto"/>
                <w:kern w:val="0"/>
                <w:szCs w:val="21"/>
                <w:lang w:val="en-US" w:eastAsia="zh-CN" w:bidi="ar"/>
              </w:rPr>
              <w:t>7.3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6C9AA153">
            <w:pPr>
              <w:keepNext w:val="0"/>
              <w:keepLines w:val="0"/>
              <w:suppressLineNumbers w:val="0"/>
              <w:tabs>
                <w:tab w:val="left" w:pos="540"/>
              </w:tabs>
              <w:adjustRightInd w:val="0"/>
              <w:snapToGrid w:val="0"/>
              <w:spacing w:before="0" w:beforeAutospacing="0" w:after="0" w:afterAutospacing="0" w:line="360" w:lineRule="auto"/>
              <w:ind w:left="0" w:right="0"/>
              <w:rPr>
                <w:rFonts w:hint="eastAsia" w:ascii="宋体" w:hAnsi="宋体" w:eastAsia="宋体" w:cs="宋体"/>
                <w:b w:val="0"/>
                <w:bCs/>
                <w:color w:val="auto"/>
                <w:kern w:val="0"/>
                <w:szCs w:val="21"/>
                <w:lang w:val="en-US" w:eastAsia="zh-CN" w:bidi="ar"/>
              </w:rPr>
            </w:pPr>
            <w:r>
              <w:rPr>
                <w:rFonts w:hint="eastAsia" w:ascii="宋体" w:hAnsi="宋体" w:eastAsia="宋体" w:cs="宋体"/>
                <w:b w:val="0"/>
                <w:bCs/>
                <w:color w:val="auto"/>
                <w:kern w:val="0"/>
                <w:szCs w:val="21"/>
                <w:lang w:val="en-US" w:eastAsia="zh-CN" w:bidi="ar"/>
              </w:rPr>
              <w:t>7.4投标人应充分了解项目的位置、情况、道路及任何其它足以影响投标报价的情况，任何因忽视或误解项目情况而导致的索赔或服务期限延长申请将不获批准。</w:t>
            </w:r>
          </w:p>
          <w:p w14:paraId="22F6DF89">
            <w:pPr>
              <w:keepNext w:val="0"/>
              <w:keepLines w:val="0"/>
              <w:suppressLineNumbers w:val="0"/>
              <w:tabs>
                <w:tab w:val="left" w:pos="540"/>
              </w:tabs>
              <w:adjustRightInd w:val="0"/>
              <w:snapToGrid w:val="0"/>
              <w:spacing w:before="0" w:beforeAutospacing="0" w:after="0" w:afterAutospacing="0" w:line="360" w:lineRule="auto"/>
              <w:ind w:left="0" w:right="0"/>
              <w:rPr>
                <w:rFonts w:hint="eastAsia" w:ascii="宋体" w:hAnsi="宋体" w:eastAsia="宋体" w:cs="宋体"/>
                <w:b w:val="0"/>
                <w:bCs/>
                <w:color w:val="auto"/>
                <w:kern w:val="0"/>
                <w:szCs w:val="21"/>
                <w:lang w:val="en-US" w:eastAsia="zh-CN" w:bidi="ar"/>
              </w:rPr>
            </w:pPr>
            <w:r>
              <w:rPr>
                <w:rFonts w:hint="eastAsia" w:ascii="宋体" w:hAnsi="宋体" w:eastAsia="宋体" w:cs="宋体"/>
                <w:b w:val="0"/>
                <w:bCs/>
                <w:color w:val="auto"/>
                <w:kern w:val="0"/>
                <w:szCs w:val="21"/>
                <w:lang w:val="en-US" w:eastAsia="zh-CN" w:bidi="ar"/>
              </w:rPr>
              <w:t>7.5投标人不得期望通过索赔等方式获取补偿，否则，除可能遭到拒绝外，还可能将被作为不良行为记录在案，并可能影响其以后参加政府采购的项目投标。各投标人在投标报价时，应充分考虑投标报价的风险。</w:t>
            </w:r>
          </w:p>
          <w:p w14:paraId="0A90B1C6">
            <w:pPr>
              <w:keepNext w:val="0"/>
              <w:keepLines w:val="0"/>
              <w:suppressLineNumbers w:val="0"/>
              <w:tabs>
                <w:tab w:val="left" w:pos="540"/>
              </w:tabs>
              <w:adjustRightInd w:val="0"/>
              <w:snapToGrid w:val="0"/>
              <w:spacing w:before="0" w:beforeAutospacing="0" w:after="0" w:afterAutospacing="0" w:line="360" w:lineRule="auto"/>
              <w:ind w:left="0" w:right="0"/>
              <w:rPr>
                <w:rFonts w:hint="eastAsia" w:ascii="宋体" w:hAnsi="宋体" w:eastAsia="宋体" w:cs="宋体"/>
                <w:b w:val="0"/>
                <w:bCs/>
                <w:color w:val="auto"/>
                <w:kern w:val="0"/>
                <w:szCs w:val="21"/>
                <w:lang w:val="en-US" w:eastAsia="zh-CN" w:bidi="ar"/>
              </w:rPr>
            </w:pPr>
            <w:r>
              <w:rPr>
                <w:rFonts w:hint="eastAsia" w:ascii="宋体" w:hAnsi="宋体" w:eastAsia="宋体" w:cs="宋体"/>
                <w:b w:val="0"/>
                <w:bCs/>
                <w:color w:val="auto"/>
                <w:kern w:val="0"/>
                <w:szCs w:val="21"/>
                <w:lang w:val="en-US" w:eastAsia="zh-CN" w:bidi="ar"/>
              </w:rPr>
              <w:t>7.6投标人须考虑本项目在实施期间的一切可能产生的费用。在项目实施过程中，如项目工作范围发生变更，由中标人和采购人双方协商解决；其余情况下，投标总价均不予调整。</w:t>
            </w:r>
          </w:p>
        </w:tc>
      </w:tr>
    </w:tbl>
    <w:p w14:paraId="6DBA332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p>
    <w:sectPr>
      <w:footerReference r:id="rId5" w:type="first"/>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 Yb 2gj">
    <w:altName w:val="黑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2"/>
      <w:docPartObj>
        <w:docPartGallery w:val="autotext"/>
      </w:docPartObj>
    </w:sdtPr>
    <w:sdtContent>
      <w:p w14:paraId="6BF5143B">
        <w:pPr>
          <w:pStyle w:val="13"/>
          <w:jc w:val="center"/>
        </w:pPr>
        <w:r>
          <w:fldChar w:fldCharType="begin"/>
        </w:r>
        <w:r>
          <w:instrText xml:space="preserve"> PAGE   \* MERGEFORMAT </w:instrText>
        </w:r>
        <w:r>
          <w:fldChar w:fldCharType="separate"/>
        </w:r>
        <w:r>
          <w:rPr>
            <w:lang w:val="zh-CN"/>
          </w:rPr>
          <w:t>6</w:t>
        </w:r>
        <w:r>
          <w:rPr>
            <w:lang w:val="zh-CN"/>
          </w:rPr>
          <w:fldChar w:fldCharType="end"/>
        </w:r>
      </w:p>
    </w:sdtContent>
  </w:sdt>
  <w:p w14:paraId="04829997">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3"/>
      <w:docPartObj>
        <w:docPartGallery w:val="autotext"/>
      </w:docPartObj>
    </w:sdtPr>
    <w:sdtContent>
      <w:p w14:paraId="34D04A62">
        <w:pPr>
          <w:pStyle w:val="13"/>
          <w:jc w:val="center"/>
        </w:pPr>
      </w:p>
    </w:sdtContent>
  </w:sdt>
  <w:p w14:paraId="7FA61508">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786B8">
    <w:pPr>
      <w:pStyle w:val="14"/>
      <w:ind w:firstLine="450" w:firstLineChars="250"/>
      <w:jc w:val="left"/>
      <w:rPr>
        <w:rFonts w:hint="default" w:eastAsia="宋体"/>
        <w:lang w:val="en-US" w:eastAsia="zh-CN"/>
      </w:rPr>
    </w:pPr>
    <w:r>
      <w:rPr>
        <w:rFonts w:hint="eastAsia"/>
      </w:rPr>
      <w:t>项目名称：</w:t>
    </w:r>
    <w:r>
      <w:rPr>
        <w:rFonts w:hint="eastAsia" w:ascii="宋体" w:hAnsi="宋体"/>
        <w:b w:val="0"/>
        <w:bCs w:val="0"/>
        <w:lang w:eastAsia="zh-CN"/>
      </w:rPr>
      <w:t>射频控温热凝器采购项目</w:t>
    </w:r>
    <w:r>
      <w:rPr>
        <w:rFonts w:hint="eastAsia"/>
      </w:rPr>
      <w:t xml:space="preserve">  </w:t>
    </w:r>
    <w:r>
      <w:rPr>
        <w:rFonts w:hint="eastAsia"/>
        <w:lang w:val="en-US" w:eastAsia="zh-CN"/>
      </w:rPr>
      <w:t xml:space="preserve">        </w:t>
    </w:r>
    <w:r>
      <w:rPr>
        <w:rFonts w:hint="eastAsia"/>
      </w:rPr>
      <w:t xml:space="preserve">    项目编号：</w:t>
    </w:r>
    <w:r>
      <w:t>SZZZ202</w:t>
    </w:r>
    <w:r>
      <w:rPr>
        <w:rFonts w:hint="eastAsia"/>
        <w:lang w:val="en-US" w:eastAsia="zh-CN"/>
      </w:rPr>
      <w:t>2</w:t>
    </w:r>
    <w:r>
      <w:t>-</w:t>
    </w:r>
    <w:r>
      <w:rPr>
        <w:rFonts w:hint="eastAsia"/>
        <w:lang w:eastAsia="zh-CN"/>
      </w:rPr>
      <w:t>QA0</w:t>
    </w:r>
    <w:r>
      <w:rPr>
        <w:rFonts w:hint="eastAsia"/>
        <w:lang w:val="en-US" w:eastAsia="zh-CN"/>
      </w:rPr>
      <w:t>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E42CC"/>
    <w:multiLevelType w:val="multilevel"/>
    <w:tmpl w:val="062E42CC"/>
    <w:lvl w:ilvl="0" w:tentative="0">
      <w:start w:val="1"/>
      <w:numFmt w:val="bullet"/>
      <w:pStyle w:val="52"/>
      <w:lvlText w:val=""/>
      <w:lvlJc w:val="left"/>
      <w:pPr>
        <w:tabs>
          <w:tab w:val="left" w:pos="839"/>
        </w:tabs>
        <w:ind w:left="840" w:hanging="420"/>
      </w:pPr>
      <w:rPr>
        <w:rFonts w:hint="default" w:ascii="Wingdings" w:hAnsi="Wingdings"/>
      </w:rPr>
    </w:lvl>
    <w:lvl w:ilvl="1" w:tentative="0">
      <w:start w:val="1"/>
      <w:numFmt w:val="lowerLetter"/>
      <w:lvlText w:val="%2)"/>
      <w:lvlJc w:val="left"/>
      <w:pPr>
        <w:ind w:left="1260" w:hanging="420"/>
      </w:pPr>
      <w:rPr>
        <w:rFonts w:hint="default"/>
      </w:rPr>
    </w:lvl>
    <w:lvl w:ilvl="2" w:tentative="0">
      <w:start w:val="1"/>
      <w:numFmt w:val="lowerRoman"/>
      <w:lvlText w:val="%3."/>
      <w:lvlJc w:val="right"/>
      <w:pPr>
        <w:ind w:left="1680" w:hanging="420"/>
      </w:pPr>
      <w:rPr>
        <w:rFonts w:hint="default"/>
      </w:rPr>
    </w:lvl>
    <w:lvl w:ilvl="3" w:tentative="0">
      <w:start w:val="1"/>
      <w:numFmt w:val="decimal"/>
      <w:lvlText w:val="%4."/>
      <w:lvlJc w:val="left"/>
      <w:pPr>
        <w:ind w:left="2100" w:hanging="420"/>
      </w:pPr>
      <w:rPr>
        <w:rFonts w:hint="default"/>
      </w:rPr>
    </w:lvl>
    <w:lvl w:ilvl="4" w:tentative="0">
      <w:start w:val="1"/>
      <w:numFmt w:val="lowerLetter"/>
      <w:lvlText w:val="%5)"/>
      <w:lvlJc w:val="left"/>
      <w:pPr>
        <w:ind w:left="2520" w:hanging="420"/>
      </w:pPr>
      <w:rPr>
        <w:rFonts w:hint="default"/>
      </w:rPr>
    </w:lvl>
    <w:lvl w:ilvl="5" w:tentative="0">
      <w:start w:val="1"/>
      <w:numFmt w:val="lowerRoman"/>
      <w:lvlText w:val="%6."/>
      <w:lvlJc w:val="right"/>
      <w:pPr>
        <w:ind w:left="2940" w:hanging="420"/>
      </w:pPr>
      <w:rPr>
        <w:rFonts w:hint="default"/>
      </w:rPr>
    </w:lvl>
    <w:lvl w:ilvl="6" w:tentative="0">
      <w:start w:val="1"/>
      <w:numFmt w:val="decimal"/>
      <w:lvlText w:val="%7."/>
      <w:lvlJc w:val="left"/>
      <w:pPr>
        <w:ind w:left="3360" w:hanging="420"/>
      </w:pPr>
      <w:rPr>
        <w:rFonts w:hint="default"/>
      </w:rPr>
    </w:lvl>
    <w:lvl w:ilvl="7" w:tentative="0">
      <w:start w:val="1"/>
      <w:numFmt w:val="lowerLetter"/>
      <w:lvlText w:val="%8)"/>
      <w:lvlJc w:val="left"/>
      <w:pPr>
        <w:ind w:left="3780" w:hanging="420"/>
      </w:pPr>
      <w:rPr>
        <w:rFonts w:hint="default"/>
      </w:rPr>
    </w:lvl>
    <w:lvl w:ilvl="8" w:tentative="0">
      <w:start w:val="1"/>
      <w:numFmt w:val="lowerRoman"/>
      <w:lvlText w:val="%9."/>
      <w:lvlJc w:val="right"/>
      <w:pPr>
        <w:ind w:left="420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NiN2JjZGQwODQzNTVmMDg4ZGNmNzRhYmJlZDY2YTUifQ=="/>
  </w:docVars>
  <w:rsids>
    <w:rsidRoot w:val="00081812"/>
    <w:rsid w:val="00000DEE"/>
    <w:rsid w:val="00000F62"/>
    <w:rsid w:val="00000FB1"/>
    <w:rsid w:val="0000490F"/>
    <w:rsid w:val="00007ECB"/>
    <w:rsid w:val="00010E98"/>
    <w:rsid w:val="000111D4"/>
    <w:rsid w:val="0001133A"/>
    <w:rsid w:val="000159CF"/>
    <w:rsid w:val="000176BA"/>
    <w:rsid w:val="0002500E"/>
    <w:rsid w:val="0002675A"/>
    <w:rsid w:val="00027833"/>
    <w:rsid w:val="000309C1"/>
    <w:rsid w:val="00031BF4"/>
    <w:rsid w:val="00032DB0"/>
    <w:rsid w:val="0003579A"/>
    <w:rsid w:val="00036165"/>
    <w:rsid w:val="00037412"/>
    <w:rsid w:val="000375B9"/>
    <w:rsid w:val="00037D52"/>
    <w:rsid w:val="00050AB0"/>
    <w:rsid w:val="00050F57"/>
    <w:rsid w:val="0005394E"/>
    <w:rsid w:val="00053B8A"/>
    <w:rsid w:val="000550D9"/>
    <w:rsid w:val="00055193"/>
    <w:rsid w:val="00056E7C"/>
    <w:rsid w:val="000600D8"/>
    <w:rsid w:val="00060560"/>
    <w:rsid w:val="000614D2"/>
    <w:rsid w:val="0006220B"/>
    <w:rsid w:val="00063194"/>
    <w:rsid w:val="0006778F"/>
    <w:rsid w:val="000679AB"/>
    <w:rsid w:val="00072F2B"/>
    <w:rsid w:val="00075875"/>
    <w:rsid w:val="00076401"/>
    <w:rsid w:val="000771B0"/>
    <w:rsid w:val="00080FB8"/>
    <w:rsid w:val="00081812"/>
    <w:rsid w:val="00081C0F"/>
    <w:rsid w:val="000851F4"/>
    <w:rsid w:val="00086549"/>
    <w:rsid w:val="000875D3"/>
    <w:rsid w:val="00094345"/>
    <w:rsid w:val="00094CF9"/>
    <w:rsid w:val="000A02CF"/>
    <w:rsid w:val="000A103E"/>
    <w:rsid w:val="000A2045"/>
    <w:rsid w:val="000B12D8"/>
    <w:rsid w:val="000B3159"/>
    <w:rsid w:val="000B44BC"/>
    <w:rsid w:val="000B7A52"/>
    <w:rsid w:val="000C05F3"/>
    <w:rsid w:val="000C2FC4"/>
    <w:rsid w:val="000C4E01"/>
    <w:rsid w:val="000C7610"/>
    <w:rsid w:val="000C7E05"/>
    <w:rsid w:val="000D1227"/>
    <w:rsid w:val="000D16E0"/>
    <w:rsid w:val="000D3053"/>
    <w:rsid w:val="000D3DAD"/>
    <w:rsid w:val="000D4339"/>
    <w:rsid w:val="000D4C91"/>
    <w:rsid w:val="000D6CAD"/>
    <w:rsid w:val="000D74FE"/>
    <w:rsid w:val="000E1731"/>
    <w:rsid w:val="000E2AAA"/>
    <w:rsid w:val="000E41B3"/>
    <w:rsid w:val="000E647C"/>
    <w:rsid w:val="000E6F68"/>
    <w:rsid w:val="000F4536"/>
    <w:rsid w:val="000F47BD"/>
    <w:rsid w:val="000F5214"/>
    <w:rsid w:val="000F5791"/>
    <w:rsid w:val="001017A2"/>
    <w:rsid w:val="0010276A"/>
    <w:rsid w:val="001036FB"/>
    <w:rsid w:val="0010378A"/>
    <w:rsid w:val="00103A07"/>
    <w:rsid w:val="00103BD6"/>
    <w:rsid w:val="00103D0B"/>
    <w:rsid w:val="00103E57"/>
    <w:rsid w:val="00105AE0"/>
    <w:rsid w:val="001071FF"/>
    <w:rsid w:val="001075BE"/>
    <w:rsid w:val="0011046C"/>
    <w:rsid w:val="0011120F"/>
    <w:rsid w:val="00112047"/>
    <w:rsid w:val="001120AB"/>
    <w:rsid w:val="00113460"/>
    <w:rsid w:val="00113EC5"/>
    <w:rsid w:val="0011733C"/>
    <w:rsid w:val="001206C4"/>
    <w:rsid w:val="00120905"/>
    <w:rsid w:val="00120A80"/>
    <w:rsid w:val="00120DDA"/>
    <w:rsid w:val="00122482"/>
    <w:rsid w:val="001224CA"/>
    <w:rsid w:val="001235DF"/>
    <w:rsid w:val="001253C1"/>
    <w:rsid w:val="001300A8"/>
    <w:rsid w:val="001307EF"/>
    <w:rsid w:val="00130FFD"/>
    <w:rsid w:val="00131B9B"/>
    <w:rsid w:val="00132409"/>
    <w:rsid w:val="00132477"/>
    <w:rsid w:val="00134941"/>
    <w:rsid w:val="00135348"/>
    <w:rsid w:val="0013568E"/>
    <w:rsid w:val="0013577A"/>
    <w:rsid w:val="0013596A"/>
    <w:rsid w:val="001451A4"/>
    <w:rsid w:val="0015310D"/>
    <w:rsid w:val="0015356C"/>
    <w:rsid w:val="00155BE9"/>
    <w:rsid w:val="0015652F"/>
    <w:rsid w:val="0016076C"/>
    <w:rsid w:val="001618C7"/>
    <w:rsid w:val="00165708"/>
    <w:rsid w:val="00166E7A"/>
    <w:rsid w:val="001713CD"/>
    <w:rsid w:val="00174A8D"/>
    <w:rsid w:val="00176A0E"/>
    <w:rsid w:val="0018134E"/>
    <w:rsid w:val="00182643"/>
    <w:rsid w:val="001830D7"/>
    <w:rsid w:val="00185010"/>
    <w:rsid w:val="001850C4"/>
    <w:rsid w:val="001906D1"/>
    <w:rsid w:val="0019175D"/>
    <w:rsid w:val="00192E27"/>
    <w:rsid w:val="00194B76"/>
    <w:rsid w:val="00197685"/>
    <w:rsid w:val="0019777D"/>
    <w:rsid w:val="001A0D90"/>
    <w:rsid w:val="001A0EB6"/>
    <w:rsid w:val="001A1302"/>
    <w:rsid w:val="001A4995"/>
    <w:rsid w:val="001A529F"/>
    <w:rsid w:val="001B026C"/>
    <w:rsid w:val="001B0736"/>
    <w:rsid w:val="001B14D5"/>
    <w:rsid w:val="001B4B65"/>
    <w:rsid w:val="001B4C23"/>
    <w:rsid w:val="001C0532"/>
    <w:rsid w:val="001C0CCF"/>
    <w:rsid w:val="001C1FFB"/>
    <w:rsid w:val="001D3874"/>
    <w:rsid w:val="001D6198"/>
    <w:rsid w:val="001D6B2F"/>
    <w:rsid w:val="001D6CCA"/>
    <w:rsid w:val="001D7A7C"/>
    <w:rsid w:val="001E1BC7"/>
    <w:rsid w:val="001E398A"/>
    <w:rsid w:val="001E3C4F"/>
    <w:rsid w:val="001E4745"/>
    <w:rsid w:val="001E48C9"/>
    <w:rsid w:val="001E5169"/>
    <w:rsid w:val="001E60D1"/>
    <w:rsid w:val="001E6EA6"/>
    <w:rsid w:val="001E7031"/>
    <w:rsid w:val="001F0977"/>
    <w:rsid w:val="001F2061"/>
    <w:rsid w:val="001F259A"/>
    <w:rsid w:val="001F2D31"/>
    <w:rsid w:val="001F3E52"/>
    <w:rsid w:val="001F52C4"/>
    <w:rsid w:val="001F5A31"/>
    <w:rsid w:val="00201022"/>
    <w:rsid w:val="00204553"/>
    <w:rsid w:val="00207834"/>
    <w:rsid w:val="00211E1C"/>
    <w:rsid w:val="002131F0"/>
    <w:rsid w:val="002134C1"/>
    <w:rsid w:val="00213858"/>
    <w:rsid w:val="002140DF"/>
    <w:rsid w:val="002151EE"/>
    <w:rsid w:val="00215F43"/>
    <w:rsid w:val="00216C79"/>
    <w:rsid w:val="002172FA"/>
    <w:rsid w:val="00223218"/>
    <w:rsid w:val="00223C0E"/>
    <w:rsid w:val="002244FB"/>
    <w:rsid w:val="0022493F"/>
    <w:rsid w:val="002259B7"/>
    <w:rsid w:val="00226BD7"/>
    <w:rsid w:val="00230218"/>
    <w:rsid w:val="002304B2"/>
    <w:rsid w:val="00234AB5"/>
    <w:rsid w:val="00235A7C"/>
    <w:rsid w:val="00235E71"/>
    <w:rsid w:val="002366EC"/>
    <w:rsid w:val="00240B70"/>
    <w:rsid w:val="00241247"/>
    <w:rsid w:val="00241A35"/>
    <w:rsid w:val="00244EDA"/>
    <w:rsid w:val="002463C2"/>
    <w:rsid w:val="0024707D"/>
    <w:rsid w:val="00251EE6"/>
    <w:rsid w:val="00252A0E"/>
    <w:rsid w:val="00256F3C"/>
    <w:rsid w:val="002579AC"/>
    <w:rsid w:val="0026095A"/>
    <w:rsid w:val="00261E10"/>
    <w:rsid w:val="00262836"/>
    <w:rsid w:val="00266448"/>
    <w:rsid w:val="002666B6"/>
    <w:rsid w:val="00267F2E"/>
    <w:rsid w:val="00270AB4"/>
    <w:rsid w:val="0027125F"/>
    <w:rsid w:val="0027386D"/>
    <w:rsid w:val="00273CE7"/>
    <w:rsid w:val="00280004"/>
    <w:rsid w:val="00280295"/>
    <w:rsid w:val="00281900"/>
    <w:rsid w:val="00282D0F"/>
    <w:rsid w:val="00284440"/>
    <w:rsid w:val="00285487"/>
    <w:rsid w:val="00290049"/>
    <w:rsid w:val="0029092A"/>
    <w:rsid w:val="00290A37"/>
    <w:rsid w:val="00291A31"/>
    <w:rsid w:val="0029352A"/>
    <w:rsid w:val="00293E95"/>
    <w:rsid w:val="00294665"/>
    <w:rsid w:val="00297D1B"/>
    <w:rsid w:val="002A06F5"/>
    <w:rsid w:val="002A3990"/>
    <w:rsid w:val="002A3CF6"/>
    <w:rsid w:val="002A5275"/>
    <w:rsid w:val="002A78DB"/>
    <w:rsid w:val="002B11F2"/>
    <w:rsid w:val="002C12B1"/>
    <w:rsid w:val="002C3E2A"/>
    <w:rsid w:val="002C54D8"/>
    <w:rsid w:val="002C5F7F"/>
    <w:rsid w:val="002D285F"/>
    <w:rsid w:val="002D51A5"/>
    <w:rsid w:val="002D6413"/>
    <w:rsid w:val="002D78BD"/>
    <w:rsid w:val="002D7BEA"/>
    <w:rsid w:val="002E071E"/>
    <w:rsid w:val="002E23B1"/>
    <w:rsid w:val="002E3E90"/>
    <w:rsid w:val="002E3F94"/>
    <w:rsid w:val="002E4814"/>
    <w:rsid w:val="002E5B12"/>
    <w:rsid w:val="002E6738"/>
    <w:rsid w:val="002F0946"/>
    <w:rsid w:val="002F0E71"/>
    <w:rsid w:val="002F30E6"/>
    <w:rsid w:val="002F49D2"/>
    <w:rsid w:val="002F5D8F"/>
    <w:rsid w:val="002F5DF7"/>
    <w:rsid w:val="003007E9"/>
    <w:rsid w:val="00300F63"/>
    <w:rsid w:val="00302A03"/>
    <w:rsid w:val="00303151"/>
    <w:rsid w:val="0030484B"/>
    <w:rsid w:val="00305E56"/>
    <w:rsid w:val="00306415"/>
    <w:rsid w:val="00312539"/>
    <w:rsid w:val="00312A7C"/>
    <w:rsid w:val="00315ABB"/>
    <w:rsid w:val="003165DD"/>
    <w:rsid w:val="00320E9C"/>
    <w:rsid w:val="00321AB6"/>
    <w:rsid w:val="00321C69"/>
    <w:rsid w:val="00324BEB"/>
    <w:rsid w:val="00325DC4"/>
    <w:rsid w:val="0032699D"/>
    <w:rsid w:val="00331CBE"/>
    <w:rsid w:val="00331F0C"/>
    <w:rsid w:val="003344DE"/>
    <w:rsid w:val="0033607F"/>
    <w:rsid w:val="003366C3"/>
    <w:rsid w:val="0033717B"/>
    <w:rsid w:val="00341029"/>
    <w:rsid w:val="00341DF6"/>
    <w:rsid w:val="00342E35"/>
    <w:rsid w:val="0034412F"/>
    <w:rsid w:val="003467AA"/>
    <w:rsid w:val="00347DED"/>
    <w:rsid w:val="00350427"/>
    <w:rsid w:val="00351589"/>
    <w:rsid w:val="0035266A"/>
    <w:rsid w:val="003533CB"/>
    <w:rsid w:val="00354170"/>
    <w:rsid w:val="00357198"/>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0059"/>
    <w:rsid w:val="00371507"/>
    <w:rsid w:val="00373358"/>
    <w:rsid w:val="003734A9"/>
    <w:rsid w:val="003749D0"/>
    <w:rsid w:val="00375504"/>
    <w:rsid w:val="00380BF7"/>
    <w:rsid w:val="003817C2"/>
    <w:rsid w:val="003821BD"/>
    <w:rsid w:val="003961A8"/>
    <w:rsid w:val="00397B90"/>
    <w:rsid w:val="003A0AF8"/>
    <w:rsid w:val="003A12B6"/>
    <w:rsid w:val="003A2361"/>
    <w:rsid w:val="003A3825"/>
    <w:rsid w:val="003A3C1C"/>
    <w:rsid w:val="003A45DB"/>
    <w:rsid w:val="003A6687"/>
    <w:rsid w:val="003B0701"/>
    <w:rsid w:val="003B09EB"/>
    <w:rsid w:val="003B1F2D"/>
    <w:rsid w:val="003B2517"/>
    <w:rsid w:val="003B3548"/>
    <w:rsid w:val="003B43AA"/>
    <w:rsid w:val="003B480F"/>
    <w:rsid w:val="003B72A9"/>
    <w:rsid w:val="003B73C7"/>
    <w:rsid w:val="003C007A"/>
    <w:rsid w:val="003C09AC"/>
    <w:rsid w:val="003C3302"/>
    <w:rsid w:val="003C34EB"/>
    <w:rsid w:val="003C450F"/>
    <w:rsid w:val="003C49B8"/>
    <w:rsid w:val="003C5421"/>
    <w:rsid w:val="003C5430"/>
    <w:rsid w:val="003C73B6"/>
    <w:rsid w:val="003D00F6"/>
    <w:rsid w:val="003D4C25"/>
    <w:rsid w:val="003D6A99"/>
    <w:rsid w:val="003D7227"/>
    <w:rsid w:val="003D76AD"/>
    <w:rsid w:val="003E21AD"/>
    <w:rsid w:val="003E2E33"/>
    <w:rsid w:val="003E35A8"/>
    <w:rsid w:val="003E6702"/>
    <w:rsid w:val="003E7DA3"/>
    <w:rsid w:val="003F2113"/>
    <w:rsid w:val="003F35A5"/>
    <w:rsid w:val="003F3EE1"/>
    <w:rsid w:val="003F54E0"/>
    <w:rsid w:val="003F5A49"/>
    <w:rsid w:val="003F68EA"/>
    <w:rsid w:val="003F7B83"/>
    <w:rsid w:val="00400065"/>
    <w:rsid w:val="00414963"/>
    <w:rsid w:val="00415251"/>
    <w:rsid w:val="0041630C"/>
    <w:rsid w:val="004168DC"/>
    <w:rsid w:val="00416F7A"/>
    <w:rsid w:val="0042116F"/>
    <w:rsid w:val="00421DAD"/>
    <w:rsid w:val="004222E0"/>
    <w:rsid w:val="00422693"/>
    <w:rsid w:val="00422A55"/>
    <w:rsid w:val="00422C44"/>
    <w:rsid w:val="0042569B"/>
    <w:rsid w:val="0042757A"/>
    <w:rsid w:val="00427866"/>
    <w:rsid w:val="004278A7"/>
    <w:rsid w:val="0043223F"/>
    <w:rsid w:val="004338CE"/>
    <w:rsid w:val="00435AA6"/>
    <w:rsid w:val="004430A5"/>
    <w:rsid w:val="0044367E"/>
    <w:rsid w:val="004443E7"/>
    <w:rsid w:val="004501AD"/>
    <w:rsid w:val="00450263"/>
    <w:rsid w:val="0045273A"/>
    <w:rsid w:val="00453647"/>
    <w:rsid w:val="00454FF9"/>
    <w:rsid w:val="00457E2E"/>
    <w:rsid w:val="00460AA2"/>
    <w:rsid w:val="00462399"/>
    <w:rsid w:val="004625C3"/>
    <w:rsid w:val="00465C8A"/>
    <w:rsid w:val="00466085"/>
    <w:rsid w:val="0046668A"/>
    <w:rsid w:val="00466DE8"/>
    <w:rsid w:val="00476772"/>
    <w:rsid w:val="004807D8"/>
    <w:rsid w:val="004858C4"/>
    <w:rsid w:val="0048606B"/>
    <w:rsid w:val="00486360"/>
    <w:rsid w:val="004870E5"/>
    <w:rsid w:val="00487AC8"/>
    <w:rsid w:val="00490108"/>
    <w:rsid w:val="00492994"/>
    <w:rsid w:val="00492ED3"/>
    <w:rsid w:val="00492EE9"/>
    <w:rsid w:val="0049371D"/>
    <w:rsid w:val="0049518C"/>
    <w:rsid w:val="00496E36"/>
    <w:rsid w:val="004A008B"/>
    <w:rsid w:val="004A2A14"/>
    <w:rsid w:val="004A3574"/>
    <w:rsid w:val="004A3D8F"/>
    <w:rsid w:val="004A3ED8"/>
    <w:rsid w:val="004A44E9"/>
    <w:rsid w:val="004A4D27"/>
    <w:rsid w:val="004A760C"/>
    <w:rsid w:val="004B3011"/>
    <w:rsid w:val="004B3C41"/>
    <w:rsid w:val="004B3E4E"/>
    <w:rsid w:val="004B5B22"/>
    <w:rsid w:val="004B5B8D"/>
    <w:rsid w:val="004B702D"/>
    <w:rsid w:val="004B7A5D"/>
    <w:rsid w:val="004C01E3"/>
    <w:rsid w:val="004C0510"/>
    <w:rsid w:val="004C1824"/>
    <w:rsid w:val="004C1F8C"/>
    <w:rsid w:val="004C27A2"/>
    <w:rsid w:val="004C2C97"/>
    <w:rsid w:val="004C3BFC"/>
    <w:rsid w:val="004C4655"/>
    <w:rsid w:val="004C5A96"/>
    <w:rsid w:val="004C71FD"/>
    <w:rsid w:val="004D21F9"/>
    <w:rsid w:val="004D2D87"/>
    <w:rsid w:val="004D3C88"/>
    <w:rsid w:val="004D3EFD"/>
    <w:rsid w:val="004D6C39"/>
    <w:rsid w:val="004E0D3B"/>
    <w:rsid w:val="004E30ED"/>
    <w:rsid w:val="004E4D52"/>
    <w:rsid w:val="004E6514"/>
    <w:rsid w:val="004F0013"/>
    <w:rsid w:val="004F037B"/>
    <w:rsid w:val="004F1964"/>
    <w:rsid w:val="004F1E55"/>
    <w:rsid w:val="004F2741"/>
    <w:rsid w:val="004F2C86"/>
    <w:rsid w:val="004F4A43"/>
    <w:rsid w:val="004F57EA"/>
    <w:rsid w:val="004F5A1F"/>
    <w:rsid w:val="0050673A"/>
    <w:rsid w:val="00507910"/>
    <w:rsid w:val="005115F1"/>
    <w:rsid w:val="00513405"/>
    <w:rsid w:val="00517508"/>
    <w:rsid w:val="00524AB5"/>
    <w:rsid w:val="00530955"/>
    <w:rsid w:val="00530EBB"/>
    <w:rsid w:val="00531594"/>
    <w:rsid w:val="005339CE"/>
    <w:rsid w:val="0053469D"/>
    <w:rsid w:val="0053608D"/>
    <w:rsid w:val="00536394"/>
    <w:rsid w:val="00536771"/>
    <w:rsid w:val="0054086A"/>
    <w:rsid w:val="00541912"/>
    <w:rsid w:val="00541962"/>
    <w:rsid w:val="00542267"/>
    <w:rsid w:val="00544A1E"/>
    <w:rsid w:val="005454F7"/>
    <w:rsid w:val="00545A1D"/>
    <w:rsid w:val="00546FF3"/>
    <w:rsid w:val="00547A36"/>
    <w:rsid w:val="00552EA1"/>
    <w:rsid w:val="0055628A"/>
    <w:rsid w:val="00556603"/>
    <w:rsid w:val="00562A80"/>
    <w:rsid w:val="005659BA"/>
    <w:rsid w:val="00571031"/>
    <w:rsid w:val="00571D74"/>
    <w:rsid w:val="00574D07"/>
    <w:rsid w:val="00581D61"/>
    <w:rsid w:val="00583965"/>
    <w:rsid w:val="0058457D"/>
    <w:rsid w:val="00584C51"/>
    <w:rsid w:val="0059165F"/>
    <w:rsid w:val="00594812"/>
    <w:rsid w:val="00597492"/>
    <w:rsid w:val="005977CD"/>
    <w:rsid w:val="005A198A"/>
    <w:rsid w:val="005A2D99"/>
    <w:rsid w:val="005A556A"/>
    <w:rsid w:val="005A657A"/>
    <w:rsid w:val="005B1387"/>
    <w:rsid w:val="005B39F5"/>
    <w:rsid w:val="005B3CF3"/>
    <w:rsid w:val="005B6672"/>
    <w:rsid w:val="005B67E4"/>
    <w:rsid w:val="005B7AB9"/>
    <w:rsid w:val="005C038C"/>
    <w:rsid w:val="005C1F40"/>
    <w:rsid w:val="005C26E6"/>
    <w:rsid w:val="005C297C"/>
    <w:rsid w:val="005C50DE"/>
    <w:rsid w:val="005C669E"/>
    <w:rsid w:val="005C6BAF"/>
    <w:rsid w:val="005C79AB"/>
    <w:rsid w:val="005D0E62"/>
    <w:rsid w:val="005D120E"/>
    <w:rsid w:val="005E0B51"/>
    <w:rsid w:val="005E3AA1"/>
    <w:rsid w:val="005E3DDF"/>
    <w:rsid w:val="005E5481"/>
    <w:rsid w:val="005E5539"/>
    <w:rsid w:val="005E6047"/>
    <w:rsid w:val="005F13C2"/>
    <w:rsid w:val="005F37DF"/>
    <w:rsid w:val="005F3B95"/>
    <w:rsid w:val="005F559B"/>
    <w:rsid w:val="00600A83"/>
    <w:rsid w:val="00600F48"/>
    <w:rsid w:val="006013DE"/>
    <w:rsid w:val="00601E13"/>
    <w:rsid w:val="006025E7"/>
    <w:rsid w:val="00602A6E"/>
    <w:rsid w:val="00606E51"/>
    <w:rsid w:val="006110AC"/>
    <w:rsid w:val="0061385D"/>
    <w:rsid w:val="00614ECA"/>
    <w:rsid w:val="00615303"/>
    <w:rsid w:val="006163F2"/>
    <w:rsid w:val="00622721"/>
    <w:rsid w:val="0062393E"/>
    <w:rsid w:val="00624117"/>
    <w:rsid w:val="00624500"/>
    <w:rsid w:val="00626FA9"/>
    <w:rsid w:val="00627FC7"/>
    <w:rsid w:val="00630A1C"/>
    <w:rsid w:val="00632887"/>
    <w:rsid w:val="00634058"/>
    <w:rsid w:val="00634059"/>
    <w:rsid w:val="006340B5"/>
    <w:rsid w:val="00635984"/>
    <w:rsid w:val="00636C5D"/>
    <w:rsid w:val="00640096"/>
    <w:rsid w:val="00641597"/>
    <w:rsid w:val="0064227E"/>
    <w:rsid w:val="00645DC0"/>
    <w:rsid w:val="00653A3C"/>
    <w:rsid w:val="00660043"/>
    <w:rsid w:val="0067037C"/>
    <w:rsid w:val="006705E0"/>
    <w:rsid w:val="0067192F"/>
    <w:rsid w:val="0067283C"/>
    <w:rsid w:val="00673498"/>
    <w:rsid w:val="00673BA6"/>
    <w:rsid w:val="0067485A"/>
    <w:rsid w:val="00674B85"/>
    <w:rsid w:val="006755C2"/>
    <w:rsid w:val="0067661F"/>
    <w:rsid w:val="00680CAD"/>
    <w:rsid w:val="00681F30"/>
    <w:rsid w:val="00682B9C"/>
    <w:rsid w:val="00683D71"/>
    <w:rsid w:val="00683EB7"/>
    <w:rsid w:val="006857DF"/>
    <w:rsid w:val="0068713A"/>
    <w:rsid w:val="006907D5"/>
    <w:rsid w:val="00690FBE"/>
    <w:rsid w:val="00691E45"/>
    <w:rsid w:val="0069583C"/>
    <w:rsid w:val="00697BC5"/>
    <w:rsid w:val="006A535A"/>
    <w:rsid w:val="006A7A1E"/>
    <w:rsid w:val="006B752A"/>
    <w:rsid w:val="006B797B"/>
    <w:rsid w:val="006B7F97"/>
    <w:rsid w:val="006C1097"/>
    <w:rsid w:val="006C3937"/>
    <w:rsid w:val="006C57C7"/>
    <w:rsid w:val="006C5E75"/>
    <w:rsid w:val="006C7615"/>
    <w:rsid w:val="006D0B4B"/>
    <w:rsid w:val="006D0B9C"/>
    <w:rsid w:val="006D0CD7"/>
    <w:rsid w:val="006D0DE8"/>
    <w:rsid w:val="006D125F"/>
    <w:rsid w:val="006D5AD5"/>
    <w:rsid w:val="006D609F"/>
    <w:rsid w:val="006E0808"/>
    <w:rsid w:val="006E0C83"/>
    <w:rsid w:val="006E0F6E"/>
    <w:rsid w:val="006E26F4"/>
    <w:rsid w:val="006E3ACC"/>
    <w:rsid w:val="006E561B"/>
    <w:rsid w:val="006E7E40"/>
    <w:rsid w:val="006F0048"/>
    <w:rsid w:val="006F1F29"/>
    <w:rsid w:val="006F6DFA"/>
    <w:rsid w:val="00701BFA"/>
    <w:rsid w:val="007031AC"/>
    <w:rsid w:val="007045A7"/>
    <w:rsid w:val="007056CF"/>
    <w:rsid w:val="00706C72"/>
    <w:rsid w:val="007101BF"/>
    <w:rsid w:val="00710E18"/>
    <w:rsid w:val="00711D73"/>
    <w:rsid w:val="00712437"/>
    <w:rsid w:val="00712AB9"/>
    <w:rsid w:val="00712FBB"/>
    <w:rsid w:val="007202B8"/>
    <w:rsid w:val="007204CB"/>
    <w:rsid w:val="007234AB"/>
    <w:rsid w:val="00723F16"/>
    <w:rsid w:val="007264E7"/>
    <w:rsid w:val="00731470"/>
    <w:rsid w:val="0073473A"/>
    <w:rsid w:val="00734C96"/>
    <w:rsid w:val="00734FEE"/>
    <w:rsid w:val="00737D97"/>
    <w:rsid w:val="007421A3"/>
    <w:rsid w:val="007458E4"/>
    <w:rsid w:val="007516CF"/>
    <w:rsid w:val="00753B18"/>
    <w:rsid w:val="00755A42"/>
    <w:rsid w:val="00757231"/>
    <w:rsid w:val="00761B09"/>
    <w:rsid w:val="0076307E"/>
    <w:rsid w:val="00765D7F"/>
    <w:rsid w:val="00772F41"/>
    <w:rsid w:val="0077521B"/>
    <w:rsid w:val="007811AB"/>
    <w:rsid w:val="00785AEF"/>
    <w:rsid w:val="00785E4F"/>
    <w:rsid w:val="0078680E"/>
    <w:rsid w:val="007928C7"/>
    <w:rsid w:val="00793E36"/>
    <w:rsid w:val="00794D26"/>
    <w:rsid w:val="007A0AF9"/>
    <w:rsid w:val="007A1673"/>
    <w:rsid w:val="007A47D0"/>
    <w:rsid w:val="007A538E"/>
    <w:rsid w:val="007A7D08"/>
    <w:rsid w:val="007B0FAF"/>
    <w:rsid w:val="007B2F12"/>
    <w:rsid w:val="007B58FB"/>
    <w:rsid w:val="007B6079"/>
    <w:rsid w:val="007B6A98"/>
    <w:rsid w:val="007B7EE3"/>
    <w:rsid w:val="007C035E"/>
    <w:rsid w:val="007C0EC0"/>
    <w:rsid w:val="007C1898"/>
    <w:rsid w:val="007C6BBE"/>
    <w:rsid w:val="007C75FA"/>
    <w:rsid w:val="007D00B9"/>
    <w:rsid w:val="007D4329"/>
    <w:rsid w:val="007D4552"/>
    <w:rsid w:val="007D57B6"/>
    <w:rsid w:val="007D759B"/>
    <w:rsid w:val="007E1CC4"/>
    <w:rsid w:val="007E2D0F"/>
    <w:rsid w:val="007E2D1B"/>
    <w:rsid w:val="007E3507"/>
    <w:rsid w:val="007E377A"/>
    <w:rsid w:val="007E422B"/>
    <w:rsid w:val="007F139E"/>
    <w:rsid w:val="007F5B57"/>
    <w:rsid w:val="0080097C"/>
    <w:rsid w:val="00801B99"/>
    <w:rsid w:val="00803317"/>
    <w:rsid w:val="008036E6"/>
    <w:rsid w:val="008050C5"/>
    <w:rsid w:val="00812D80"/>
    <w:rsid w:val="00814E6B"/>
    <w:rsid w:val="00816305"/>
    <w:rsid w:val="0082240A"/>
    <w:rsid w:val="00822F18"/>
    <w:rsid w:val="008237AE"/>
    <w:rsid w:val="00830F5F"/>
    <w:rsid w:val="00831DA8"/>
    <w:rsid w:val="008338E9"/>
    <w:rsid w:val="0083456A"/>
    <w:rsid w:val="00837E5D"/>
    <w:rsid w:val="008400A9"/>
    <w:rsid w:val="00844881"/>
    <w:rsid w:val="00845DA7"/>
    <w:rsid w:val="0085078C"/>
    <w:rsid w:val="00851111"/>
    <w:rsid w:val="0085139E"/>
    <w:rsid w:val="00851BAA"/>
    <w:rsid w:val="00854839"/>
    <w:rsid w:val="00860209"/>
    <w:rsid w:val="00861447"/>
    <w:rsid w:val="00862F1A"/>
    <w:rsid w:val="008636CF"/>
    <w:rsid w:val="00863E78"/>
    <w:rsid w:val="0086541B"/>
    <w:rsid w:val="008659ED"/>
    <w:rsid w:val="00867868"/>
    <w:rsid w:val="00867964"/>
    <w:rsid w:val="00871FDA"/>
    <w:rsid w:val="00875E76"/>
    <w:rsid w:val="008760F4"/>
    <w:rsid w:val="00876C9B"/>
    <w:rsid w:val="00880E46"/>
    <w:rsid w:val="00884EE0"/>
    <w:rsid w:val="00885021"/>
    <w:rsid w:val="008857F3"/>
    <w:rsid w:val="0089097C"/>
    <w:rsid w:val="008913F6"/>
    <w:rsid w:val="008915C8"/>
    <w:rsid w:val="00891BB5"/>
    <w:rsid w:val="0089442D"/>
    <w:rsid w:val="008978BC"/>
    <w:rsid w:val="008A00DE"/>
    <w:rsid w:val="008A1135"/>
    <w:rsid w:val="008A5579"/>
    <w:rsid w:val="008B23ED"/>
    <w:rsid w:val="008B3CF6"/>
    <w:rsid w:val="008B6E3E"/>
    <w:rsid w:val="008C22C3"/>
    <w:rsid w:val="008C2872"/>
    <w:rsid w:val="008C4E93"/>
    <w:rsid w:val="008C5331"/>
    <w:rsid w:val="008D1C6E"/>
    <w:rsid w:val="008D487D"/>
    <w:rsid w:val="008D589B"/>
    <w:rsid w:val="008D5F36"/>
    <w:rsid w:val="008D6F39"/>
    <w:rsid w:val="008D74D8"/>
    <w:rsid w:val="008E0196"/>
    <w:rsid w:val="008E4A5E"/>
    <w:rsid w:val="008E4EA6"/>
    <w:rsid w:val="008E5BEA"/>
    <w:rsid w:val="008E61CF"/>
    <w:rsid w:val="008E66A7"/>
    <w:rsid w:val="008E7B94"/>
    <w:rsid w:val="008F0027"/>
    <w:rsid w:val="008F13F4"/>
    <w:rsid w:val="008F2248"/>
    <w:rsid w:val="008F429A"/>
    <w:rsid w:val="008F4885"/>
    <w:rsid w:val="008F69B0"/>
    <w:rsid w:val="008F6DFC"/>
    <w:rsid w:val="00900FA9"/>
    <w:rsid w:val="0090175B"/>
    <w:rsid w:val="0090254E"/>
    <w:rsid w:val="0090397D"/>
    <w:rsid w:val="00903B8A"/>
    <w:rsid w:val="009071AD"/>
    <w:rsid w:val="00911D77"/>
    <w:rsid w:val="00914D80"/>
    <w:rsid w:val="00915C0A"/>
    <w:rsid w:val="00916C61"/>
    <w:rsid w:val="00920BE6"/>
    <w:rsid w:val="00920D54"/>
    <w:rsid w:val="00922E91"/>
    <w:rsid w:val="009253A2"/>
    <w:rsid w:val="009260F9"/>
    <w:rsid w:val="009328BD"/>
    <w:rsid w:val="0093469C"/>
    <w:rsid w:val="009360EA"/>
    <w:rsid w:val="00940D53"/>
    <w:rsid w:val="00942081"/>
    <w:rsid w:val="009447BD"/>
    <w:rsid w:val="00944876"/>
    <w:rsid w:val="00945F75"/>
    <w:rsid w:val="00950D6C"/>
    <w:rsid w:val="00952B8F"/>
    <w:rsid w:val="00953321"/>
    <w:rsid w:val="00955935"/>
    <w:rsid w:val="00956877"/>
    <w:rsid w:val="009574EE"/>
    <w:rsid w:val="00957C3F"/>
    <w:rsid w:val="009630AF"/>
    <w:rsid w:val="00964F16"/>
    <w:rsid w:val="0096690F"/>
    <w:rsid w:val="0096729D"/>
    <w:rsid w:val="00970692"/>
    <w:rsid w:val="00971686"/>
    <w:rsid w:val="00973845"/>
    <w:rsid w:val="009743E5"/>
    <w:rsid w:val="0097620C"/>
    <w:rsid w:val="0097647D"/>
    <w:rsid w:val="00983A52"/>
    <w:rsid w:val="00984B13"/>
    <w:rsid w:val="00986AE7"/>
    <w:rsid w:val="00987773"/>
    <w:rsid w:val="00987A32"/>
    <w:rsid w:val="00993600"/>
    <w:rsid w:val="0099428B"/>
    <w:rsid w:val="00997D11"/>
    <w:rsid w:val="009A0A96"/>
    <w:rsid w:val="009A1D8B"/>
    <w:rsid w:val="009A2498"/>
    <w:rsid w:val="009A271D"/>
    <w:rsid w:val="009A44F9"/>
    <w:rsid w:val="009A64A6"/>
    <w:rsid w:val="009A70D5"/>
    <w:rsid w:val="009B10B0"/>
    <w:rsid w:val="009B2507"/>
    <w:rsid w:val="009B2E8E"/>
    <w:rsid w:val="009B3004"/>
    <w:rsid w:val="009B348C"/>
    <w:rsid w:val="009B5293"/>
    <w:rsid w:val="009B6EAF"/>
    <w:rsid w:val="009B7712"/>
    <w:rsid w:val="009C0636"/>
    <w:rsid w:val="009C08BA"/>
    <w:rsid w:val="009C4B87"/>
    <w:rsid w:val="009C6F32"/>
    <w:rsid w:val="009C797B"/>
    <w:rsid w:val="009D02E8"/>
    <w:rsid w:val="009D0C05"/>
    <w:rsid w:val="009D2987"/>
    <w:rsid w:val="009D4274"/>
    <w:rsid w:val="009D461F"/>
    <w:rsid w:val="009D5D74"/>
    <w:rsid w:val="009D622C"/>
    <w:rsid w:val="009E1268"/>
    <w:rsid w:val="009E5716"/>
    <w:rsid w:val="009E61F7"/>
    <w:rsid w:val="009E708C"/>
    <w:rsid w:val="009E7B3D"/>
    <w:rsid w:val="009E7BE7"/>
    <w:rsid w:val="009E7EB2"/>
    <w:rsid w:val="009F145D"/>
    <w:rsid w:val="009F17D1"/>
    <w:rsid w:val="009F7CAB"/>
    <w:rsid w:val="00A00D15"/>
    <w:rsid w:val="00A011F7"/>
    <w:rsid w:val="00A02E6E"/>
    <w:rsid w:val="00A03F22"/>
    <w:rsid w:val="00A05B28"/>
    <w:rsid w:val="00A064C9"/>
    <w:rsid w:val="00A0662C"/>
    <w:rsid w:val="00A12624"/>
    <w:rsid w:val="00A1407B"/>
    <w:rsid w:val="00A14B13"/>
    <w:rsid w:val="00A14B40"/>
    <w:rsid w:val="00A15BF3"/>
    <w:rsid w:val="00A17FEB"/>
    <w:rsid w:val="00A20772"/>
    <w:rsid w:val="00A214C8"/>
    <w:rsid w:val="00A21567"/>
    <w:rsid w:val="00A215C7"/>
    <w:rsid w:val="00A223D3"/>
    <w:rsid w:val="00A24B13"/>
    <w:rsid w:val="00A30451"/>
    <w:rsid w:val="00A3148A"/>
    <w:rsid w:val="00A31B46"/>
    <w:rsid w:val="00A324AB"/>
    <w:rsid w:val="00A34E09"/>
    <w:rsid w:val="00A34F55"/>
    <w:rsid w:val="00A35B35"/>
    <w:rsid w:val="00A4004C"/>
    <w:rsid w:val="00A44A6C"/>
    <w:rsid w:val="00A44E5B"/>
    <w:rsid w:val="00A45819"/>
    <w:rsid w:val="00A4687A"/>
    <w:rsid w:val="00A46D17"/>
    <w:rsid w:val="00A47C08"/>
    <w:rsid w:val="00A52F47"/>
    <w:rsid w:val="00A54695"/>
    <w:rsid w:val="00A54D83"/>
    <w:rsid w:val="00A61176"/>
    <w:rsid w:val="00A61F5C"/>
    <w:rsid w:val="00A63384"/>
    <w:rsid w:val="00A71631"/>
    <w:rsid w:val="00A71754"/>
    <w:rsid w:val="00A717E7"/>
    <w:rsid w:val="00A71EDB"/>
    <w:rsid w:val="00A74152"/>
    <w:rsid w:val="00A76A28"/>
    <w:rsid w:val="00A81A62"/>
    <w:rsid w:val="00A8284E"/>
    <w:rsid w:val="00A82DC6"/>
    <w:rsid w:val="00A83243"/>
    <w:rsid w:val="00A83CC9"/>
    <w:rsid w:val="00A8789C"/>
    <w:rsid w:val="00A90111"/>
    <w:rsid w:val="00A91528"/>
    <w:rsid w:val="00A95196"/>
    <w:rsid w:val="00A9738A"/>
    <w:rsid w:val="00AA1EFF"/>
    <w:rsid w:val="00AA5115"/>
    <w:rsid w:val="00AA70DF"/>
    <w:rsid w:val="00AA7241"/>
    <w:rsid w:val="00AB14C7"/>
    <w:rsid w:val="00AB2264"/>
    <w:rsid w:val="00AB4E47"/>
    <w:rsid w:val="00AB67F7"/>
    <w:rsid w:val="00AC0715"/>
    <w:rsid w:val="00AC146C"/>
    <w:rsid w:val="00AC1BA8"/>
    <w:rsid w:val="00AC1F76"/>
    <w:rsid w:val="00AC2615"/>
    <w:rsid w:val="00AC5AB5"/>
    <w:rsid w:val="00AC64D8"/>
    <w:rsid w:val="00AD0AF6"/>
    <w:rsid w:val="00AD12D2"/>
    <w:rsid w:val="00AD1729"/>
    <w:rsid w:val="00AD1C00"/>
    <w:rsid w:val="00AD2774"/>
    <w:rsid w:val="00AD3BAE"/>
    <w:rsid w:val="00AD5261"/>
    <w:rsid w:val="00AE2CB2"/>
    <w:rsid w:val="00AE357A"/>
    <w:rsid w:val="00AE38B2"/>
    <w:rsid w:val="00AE5A4E"/>
    <w:rsid w:val="00AE76F9"/>
    <w:rsid w:val="00AF1F8B"/>
    <w:rsid w:val="00AF4117"/>
    <w:rsid w:val="00AF4295"/>
    <w:rsid w:val="00AF4B9E"/>
    <w:rsid w:val="00AF6636"/>
    <w:rsid w:val="00B11692"/>
    <w:rsid w:val="00B14116"/>
    <w:rsid w:val="00B1486E"/>
    <w:rsid w:val="00B159E2"/>
    <w:rsid w:val="00B15BDD"/>
    <w:rsid w:val="00B20443"/>
    <w:rsid w:val="00B214AB"/>
    <w:rsid w:val="00B22EB9"/>
    <w:rsid w:val="00B259CE"/>
    <w:rsid w:val="00B25B50"/>
    <w:rsid w:val="00B26510"/>
    <w:rsid w:val="00B30680"/>
    <w:rsid w:val="00B31DD7"/>
    <w:rsid w:val="00B32CAF"/>
    <w:rsid w:val="00B33432"/>
    <w:rsid w:val="00B336D5"/>
    <w:rsid w:val="00B35F18"/>
    <w:rsid w:val="00B3657C"/>
    <w:rsid w:val="00B42372"/>
    <w:rsid w:val="00B423A4"/>
    <w:rsid w:val="00B437D6"/>
    <w:rsid w:val="00B4446B"/>
    <w:rsid w:val="00B445C1"/>
    <w:rsid w:val="00B523FB"/>
    <w:rsid w:val="00B5525E"/>
    <w:rsid w:val="00B57726"/>
    <w:rsid w:val="00B63604"/>
    <w:rsid w:val="00B63CFC"/>
    <w:rsid w:val="00B63FA9"/>
    <w:rsid w:val="00B650CC"/>
    <w:rsid w:val="00B663D5"/>
    <w:rsid w:val="00B7078F"/>
    <w:rsid w:val="00B71457"/>
    <w:rsid w:val="00B73394"/>
    <w:rsid w:val="00B750BF"/>
    <w:rsid w:val="00B75217"/>
    <w:rsid w:val="00B75366"/>
    <w:rsid w:val="00B81AFD"/>
    <w:rsid w:val="00B83085"/>
    <w:rsid w:val="00B85442"/>
    <w:rsid w:val="00B85BF4"/>
    <w:rsid w:val="00B91090"/>
    <w:rsid w:val="00B926B7"/>
    <w:rsid w:val="00B94A3A"/>
    <w:rsid w:val="00B95094"/>
    <w:rsid w:val="00BB0F96"/>
    <w:rsid w:val="00BB12EA"/>
    <w:rsid w:val="00BB2F95"/>
    <w:rsid w:val="00BC2829"/>
    <w:rsid w:val="00BC4096"/>
    <w:rsid w:val="00BC60A9"/>
    <w:rsid w:val="00BC65BA"/>
    <w:rsid w:val="00BD55FE"/>
    <w:rsid w:val="00BE0383"/>
    <w:rsid w:val="00BE07A0"/>
    <w:rsid w:val="00BE0C7C"/>
    <w:rsid w:val="00BE1C3A"/>
    <w:rsid w:val="00BE70FF"/>
    <w:rsid w:val="00BF1079"/>
    <w:rsid w:val="00BF2768"/>
    <w:rsid w:val="00BF5859"/>
    <w:rsid w:val="00BF6DFF"/>
    <w:rsid w:val="00C00048"/>
    <w:rsid w:val="00C00239"/>
    <w:rsid w:val="00C012B8"/>
    <w:rsid w:val="00C11842"/>
    <w:rsid w:val="00C12994"/>
    <w:rsid w:val="00C1363B"/>
    <w:rsid w:val="00C14D24"/>
    <w:rsid w:val="00C1538F"/>
    <w:rsid w:val="00C15926"/>
    <w:rsid w:val="00C16139"/>
    <w:rsid w:val="00C17609"/>
    <w:rsid w:val="00C177ED"/>
    <w:rsid w:val="00C2265C"/>
    <w:rsid w:val="00C24E8F"/>
    <w:rsid w:val="00C25AB2"/>
    <w:rsid w:val="00C278A9"/>
    <w:rsid w:val="00C30985"/>
    <w:rsid w:val="00C3350C"/>
    <w:rsid w:val="00C33BB9"/>
    <w:rsid w:val="00C3464B"/>
    <w:rsid w:val="00C35140"/>
    <w:rsid w:val="00C35A34"/>
    <w:rsid w:val="00C367F2"/>
    <w:rsid w:val="00C3715A"/>
    <w:rsid w:val="00C3717F"/>
    <w:rsid w:val="00C408DA"/>
    <w:rsid w:val="00C421FF"/>
    <w:rsid w:val="00C425BE"/>
    <w:rsid w:val="00C44F2B"/>
    <w:rsid w:val="00C545D3"/>
    <w:rsid w:val="00C54A8C"/>
    <w:rsid w:val="00C5675C"/>
    <w:rsid w:val="00C61233"/>
    <w:rsid w:val="00C61911"/>
    <w:rsid w:val="00C627D8"/>
    <w:rsid w:val="00C62EB5"/>
    <w:rsid w:val="00C65EB9"/>
    <w:rsid w:val="00C718D9"/>
    <w:rsid w:val="00C72850"/>
    <w:rsid w:val="00C73632"/>
    <w:rsid w:val="00C75175"/>
    <w:rsid w:val="00C7543D"/>
    <w:rsid w:val="00C759F9"/>
    <w:rsid w:val="00C75CB7"/>
    <w:rsid w:val="00C777E7"/>
    <w:rsid w:val="00C81E92"/>
    <w:rsid w:val="00C82A83"/>
    <w:rsid w:val="00C91F28"/>
    <w:rsid w:val="00C92ED2"/>
    <w:rsid w:val="00C93239"/>
    <w:rsid w:val="00C94BF8"/>
    <w:rsid w:val="00C94F86"/>
    <w:rsid w:val="00CA180E"/>
    <w:rsid w:val="00CA23F1"/>
    <w:rsid w:val="00CA4DB3"/>
    <w:rsid w:val="00CA574E"/>
    <w:rsid w:val="00CA69FF"/>
    <w:rsid w:val="00CA7FEE"/>
    <w:rsid w:val="00CB0CBA"/>
    <w:rsid w:val="00CB11FA"/>
    <w:rsid w:val="00CC0F98"/>
    <w:rsid w:val="00CC1F38"/>
    <w:rsid w:val="00CC4D3B"/>
    <w:rsid w:val="00CC6328"/>
    <w:rsid w:val="00CC69B1"/>
    <w:rsid w:val="00CC7D94"/>
    <w:rsid w:val="00CD0996"/>
    <w:rsid w:val="00CD17D9"/>
    <w:rsid w:val="00CD218F"/>
    <w:rsid w:val="00CD417B"/>
    <w:rsid w:val="00CD4EA9"/>
    <w:rsid w:val="00CE0A40"/>
    <w:rsid w:val="00CE0C33"/>
    <w:rsid w:val="00CE2480"/>
    <w:rsid w:val="00CE3871"/>
    <w:rsid w:val="00CE39D5"/>
    <w:rsid w:val="00CE52D0"/>
    <w:rsid w:val="00CE7671"/>
    <w:rsid w:val="00CF1043"/>
    <w:rsid w:val="00CF1336"/>
    <w:rsid w:val="00CF2265"/>
    <w:rsid w:val="00CF38DA"/>
    <w:rsid w:val="00CF6B12"/>
    <w:rsid w:val="00CF6CA8"/>
    <w:rsid w:val="00CF797E"/>
    <w:rsid w:val="00CF7AF4"/>
    <w:rsid w:val="00CF7C9B"/>
    <w:rsid w:val="00D01079"/>
    <w:rsid w:val="00D02059"/>
    <w:rsid w:val="00D03B55"/>
    <w:rsid w:val="00D04D65"/>
    <w:rsid w:val="00D10FDF"/>
    <w:rsid w:val="00D15CC8"/>
    <w:rsid w:val="00D20615"/>
    <w:rsid w:val="00D206F9"/>
    <w:rsid w:val="00D20796"/>
    <w:rsid w:val="00D238ED"/>
    <w:rsid w:val="00D2538D"/>
    <w:rsid w:val="00D268C9"/>
    <w:rsid w:val="00D26D00"/>
    <w:rsid w:val="00D301ED"/>
    <w:rsid w:val="00D313B0"/>
    <w:rsid w:val="00D319D4"/>
    <w:rsid w:val="00D36569"/>
    <w:rsid w:val="00D36FBF"/>
    <w:rsid w:val="00D40062"/>
    <w:rsid w:val="00D405E7"/>
    <w:rsid w:val="00D4133A"/>
    <w:rsid w:val="00D440FF"/>
    <w:rsid w:val="00D44DD1"/>
    <w:rsid w:val="00D50BC2"/>
    <w:rsid w:val="00D515C2"/>
    <w:rsid w:val="00D51801"/>
    <w:rsid w:val="00D5622E"/>
    <w:rsid w:val="00D570CE"/>
    <w:rsid w:val="00D66F14"/>
    <w:rsid w:val="00D679C1"/>
    <w:rsid w:val="00D67A9D"/>
    <w:rsid w:val="00D7638B"/>
    <w:rsid w:val="00D76DCC"/>
    <w:rsid w:val="00D77028"/>
    <w:rsid w:val="00D77D9E"/>
    <w:rsid w:val="00D81C8D"/>
    <w:rsid w:val="00D81D6D"/>
    <w:rsid w:val="00D8340F"/>
    <w:rsid w:val="00D86400"/>
    <w:rsid w:val="00D867D6"/>
    <w:rsid w:val="00D868DE"/>
    <w:rsid w:val="00D90503"/>
    <w:rsid w:val="00D94A33"/>
    <w:rsid w:val="00D97FE0"/>
    <w:rsid w:val="00DA1C78"/>
    <w:rsid w:val="00DA6875"/>
    <w:rsid w:val="00DB0107"/>
    <w:rsid w:val="00DB0B44"/>
    <w:rsid w:val="00DB18E3"/>
    <w:rsid w:val="00DB297D"/>
    <w:rsid w:val="00DB4314"/>
    <w:rsid w:val="00DB6163"/>
    <w:rsid w:val="00DB66A1"/>
    <w:rsid w:val="00DB75D0"/>
    <w:rsid w:val="00DB7C7C"/>
    <w:rsid w:val="00DC0A19"/>
    <w:rsid w:val="00DC0C8E"/>
    <w:rsid w:val="00DC1BE6"/>
    <w:rsid w:val="00DC68AF"/>
    <w:rsid w:val="00DD1317"/>
    <w:rsid w:val="00DD2426"/>
    <w:rsid w:val="00DD2F1D"/>
    <w:rsid w:val="00DD3ACE"/>
    <w:rsid w:val="00DD60CF"/>
    <w:rsid w:val="00DE02C0"/>
    <w:rsid w:val="00DE0C01"/>
    <w:rsid w:val="00DE3797"/>
    <w:rsid w:val="00DE4E97"/>
    <w:rsid w:val="00DE5AB2"/>
    <w:rsid w:val="00DE671D"/>
    <w:rsid w:val="00DF4497"/>
    <w:rsid w:val="00DF44DC"/>
    <w:rsid w:val="00DF4E4D"/>
    <w:rsid w:val="00DF715B"/>
    <w:rsid w:val="00E00C09"/>
    <w:rsid w:val="00E01840"/>
    <w:rsid w:val="00E03760"/>
    <w:rsid w:val="00E03EFD"/>
    <w:rsid w:val="00E0764D"/>
    <w:rsid w:val="00E0782E"/>
    <w:rsid w:val="00E10D0C"/>
    <w:rsid w:val="00E10E49"/>
    <w:rsid w:val="00E1639B"/>
    <w:rsid w:val="00E16966"/>
    <w:rsid w:val="00E16B58"/>
    <w:rsid w:val="00E173A4"/>
    <w:rsid w:val="00E1777D"/>
    <w:rsid w:val="00E20B76"/>
    <w:rsid w:val="00E21B6D"/>
    <w:rsid w:val="00E22996"/>
    <w:rsid w:val="00E31245"/>
    <w:rsid w:val="00E319E4"/>
    <w:rsid w:val="00E34FE8"/>
    <w:rsid w:val="00E377D4"/>
    <w:rsid w:val="00E406E1"/>
    <w:rsid w:val="00E4111A"/>
    <w:rsid w:val="00E418B7"/>
    <w:rsid w:val="00E419D1"/>
    <w:rsid w:val="00E41A8F"/>
    <w:rsid w:val="00E47A9E"/>
    <w:rsid w:val="00E52810"/>
    <w:rsid w:val="00E536A2"/>
    <w:rsid w:val="00E56F5D"/>
    <w:rsid w:val="00E60A9C"/>
    <w:rsid w:val="00E61924"/>
    <w:rsid w:val="00E61E2A"/>
    <w:rsid w:val="00E62870"/>
    <w:rsid w:val="00E63015"/>
    <w:rsid w:val="00E6532F"/>
    <w:rsid w:val="00E70E68"/>
    <w:rsid w:val="00E7106D"/>
    <w:rsid w:val="00E7401E"/>
    <w:rsid w:val="00E762FB"/>
    <w:rsid w:val="00E808E3"/>
    <w:rsid w:val="00E817C5"/>
    <w:rsid w:val="00E81DDF"/>
    <w:rsid w:val="00E82791"/>
    <w:rsid w:val="00E8332D"/>
    <w:rsid w:val="00E85DFB"/>
    <w:rsid w:val="00E85F74"/>
    <w:rsid w:val="00E865C1"/>
    <w:rsid w:val="00E87CCD"/>
    <w:rsid w:val="00E87EBC"/>
    <w:rsid w:val="00E90614"/>
    <w:rsid w:val="00E92C08"/>
    <w:rsid w:val="00E94054"/>
    <w:rsid w:val="00E9426D"/>
    <w:rsid w:val="00E947D0"/>
    <w:rsid w:val="00E94B32"/>
    <w:rsid w:val="00E94F48"/>
    <w:rsid w:val="00E95122"/>
    <w:rsid w:val="00E95A5B"/>
    <w:rsid w:val="00EA02B6"/>
    <w:rsid w:val="00EA0BAE"/>
    <w:rsid w:val="00EA1009"/>
    <w:rsid w:val="00EA1F39"/>
    <w:rsid w:val="00EA328C"/>
    <w:rsid w:val="00EA50FC"/>
    <w:rsid w:val="00EA6123"/>
    <w:rsid w:val="00EB170B"/>
    <w:rsid w:val="00EB290D"/>
    <w:rsid w:val="00EB474C"/>
    <w:rsid w:val="00EB5517"/>
    <w:rsid w:val="00EB632A"/>
    <w:rsid w:val="00EC36BC"/>
    <w:rsid w:val="00ED18AF"/>
    <w:rsid w:val="00ED2203"/>
    <w:rsid w:val="00ED2569"/>
    <w:rsid w:val="00ED25B1"/>
    <w:rsid w:val="00ED3109"/>
    <w:rsid w:val="00ED621F"/>
    <w:rsid w:val="00ED7FAF"/>
    <w:rsid w:val="00EE0104"/>
    <w:rsid w:val="00EE07DA"/>
    <w:rsid w:val="00EE2AD2"/>
    <w:rsid w:val="00EE324B"/>
    <w:rsid w:val="00EE56CB"/>
    <w:rsid w:val="00EE6B8D"/>
    <w:rsid w:val="00EE6C48"/>
    <w:rsid w:val="00EF0079"/>
    <w:rsid w:val="00EF4E25"/>
    <w:rsid w:val="00EF5AEB"/>
    <w:rsid w:val="00EF5E4C"/>
    <w:rsid w:val="00EF6B7E"/>
    <w:rsid w:val="00F03DD9"/>
    <w:rsid w:val="00F06A8A"/>
    <w:rsid w:val="00F0761C"/>
    <w:rsid w:val="00F1054C"/>
    <w:rsid w:val="00F11975"/>
    <w:rsid w:val="00F1246B"/>
    <w:rsid w:val="00F243C8"/>
    <w:rsid w:val="00F25F70"/>
    <w:rsid w:val="00F26D6A"/>
    <w:rsid w:val="00F304A9"/>
    <w:rsid w:val="00F30688"/>
    <w:rsid w:val="00F30C1A"/>
    <w:rsid w:val="00F33F84"/>
    <w:rsid w:val="00F34FB2"/>
    <w:rsid w:val="00F35A11"/>
    <w:rsid w:val="00F400ED"/>
    <w:rsid w:val="00F420CC"/>
    <w:rsid w:val="00F43840"/>
    <w:rsid w:val="00F43BBA"/>
    <w:rsid w:val="00F45E41"/>
    <w:rsid w:val="00F50479"/>
    <w:rsid w:val="00F507CD"/>
    <w:rsid w:val="00F52083"/>
    <w:rsid w:val="00F53C91"/>
    <w:rsid w:val="00F56191"/>
    <w:rsid w:val="00F56E87"/>
    <w:rsid w:val="00F61FC5"/>
    <w:rsid w:val="00F64BB0"/>
    <w:rsid w:val="00F6546C"/>
    <w:rsid w:val="00F709AA"/>
    <w:rsid w:val="00F73E51"/>
    <w:rsid w:val="00F75244"/>
    <w:rsid w:val="00F801B9"/>
    <w:rsid w:val="00F8304C"/>
    <w:rsid w:val="00F85A8C"/>
    <w:rsid w:val="00F86E62"/>
    <w:rsid w:val="00F915F1"/>
    <w:rsid w:val="00F91721"/>
    <w:rsid w:val="00F920ED"/>
    <w:rsid w:val="00F95601"/>
    <w:rsid w:val="00F957DB"/>
    <w:rsid w:val="00FA5879"/>
    <w:rsid w:val="00FA58E9"/>
    <w:rsid w:val="00FA5CFA"/>
    <w:rsid w:val="00FB04D2"/>
    <w:rsid w:val="00FB0604"/>
    <w:rsid w:val="00FB209F"/>
    <w:rsid w:val="00FB6215"/>
    <w:rsid w:val="00FB6448"/>
    <w:rsid w:val="00FD0668"/>
    <w:rsid w:val="00FD2335"/>
    <w:rsid w:val="00FD2AED"/>
    <w:rsid w:val="00FD739B"/>
    <w:rsid w:val="00FD784E"/>
    <w:rsid w:val="00FE0A74"/>
    <w:rsid w:val="00FE0E36"/>
    <w:rsid w:val="00FE2790"/>
    <w:rsid w:val="00FE4D23"/>
    <w:rsid w:val="00FE639A"/>
    <w:rsid w:val="00FE6EA5"/>
    <w:rsid w:val="00FE76EB"/>
    <w:rsid w:val="00FE7BE9"/>
    <w:rsid w:val="00FF344D"/>
    <w:rsid w:val="00FF366D"/>
    <w:rsid w:val="00FF401B"/>
    <w:rsid w:val="00FF463F"/>
    <w:rsid w:val="00FF55FB"/>
    <w:rsid w:val="00FF5C61"/>
    <w:rsid w:val="00FF7F98"/>
    <w:rsid w:val="016D0AE4"/>
    <w:rsid w:val="0173558A"/>
    <w:rsid w:val="018B513A"/>
    <w:rsid w:val="01C55CBC"/>
    <w:rsid w:val="02021905"/>
    <w:rsid w:val="020C2A3C"/>
    <w:rsid w:val="02347182"/>
    <w:rsid w:val="0256505D"/>
    <w:rsid w:val="02840791"/>
    <w:rsid w:val="02873BB9"/>
    <w:rsid w:val="02C35A8C"/>
    <w:rsid w:val="02F32FFC"/>
    <w:rsid w:val="02F33C8E"/>
    <w:rsid w:val="02F4124E"/>
    <w:rsid w:val="0312709C"/>
    <w:rsid w:val="032D650E"/>
    <w:rsid w:val="03315E11"/>
    <w:rsid w:val="03483348"/>
    <w:rsid w:val="035319A4"/>
    <w:rsid w:val="0363259C"/>
    <w:rsid w:val="03646924"/>
    <w:rsid w:val="03A13EF0"/>
    <w:rsid w:val="03E80C4F"/>
    <w:rsid w:val="03FC0559"/>
    <w:rsid w:val="03FC5AE5"/>
    <w:rsid w:val="04447FB3"/>
    <w:rsid w:val="045E7583"/>
    <w:rsid w:val="04722D72"/>
    <w:rsid w:val="047D4AC7"/>
    <w:rsid w:val="04EB042F"/>
    <w:rsid w:val="053A3164"/>
    <w:rsid w:val="054D2B00"/>
    <w:rsid w:val="055052D8"/>
    <w:rsid w:val="0596101C"/>
    <w:rsid w:val="0598128A"/>
    <w:rsid w:val="05FD2B10"/>
    <w:rsid w:val="061614DB"/>
    <w:rsid w:val="063D115E"/>
    <w:rsid w:val="063E2346"/>
    <w:rsid w:val="066F0F41"/>
    <w:rsid w:val="06741ABD"/>
    <w:rsid w:val="067B3C14"/>
    <w:rsid w:val="068C79F0"/>
    <w:rsid w:val="069570A1"/>
    <w:rsid w:val="06B11E4C"/>
    <w:rsid w:val="06C158EB"/>
    <w:rsid w:val="06CC1C4B"/>
    <w:rsid w:val="06F32700"/>
    <w:rsid w:val="06F832D7"/>
    <w:rsid w:val="077A3CEC"/>
    <w:rsid w:val="07B0770E"/>
    <w:rsid w:val="07D27EA8"/>
    <w:rsid w:val="08363DD4"/>
    <w:rsid w:val="085812C8"/>
    <w:rsid w:val="08622C24"/>
    <w:rsid w:val="08653728"/>
    <w:rsid w:val="08BF40AC"/>
    <w:rsid w:val="090C4E18"/>
    <w:rsid w:val="098470A4"/>
    <w:rsid w:val="09B43E53"/>
    <w:rsid w:val="0A2006DF"/>
    <w:rsid w:val="0A3D734D"/>
    <w:rsid w:val="0A4831D0"/>
    <w:rsid w:val="0A483924"/>
    <w:rsid w:val="0B071D3B"/>
    <w:rsid w:val="0B267E65"/>
    <w:rsid w:val="0B435506"/>
    <w:rsid w:val="0B4D6655"/>
    <w:rsid w:val="0B500328"/>
    <w:rsid w:val="0B5218A1"/>
    <w:rsid w:val="0B5E2329"/>
    <w:rsid w:val="0BDA5E91"/>
    <w:rsid w:val="0BF267F0"/>
    <w:rsid w:val="0C01398D"/>
    <w:rsid w:val="0C4C7929"/>
    <w:rsid w:val="0C853010"/>
    <w:rsid w:val="0CAF6800"/>
    <w:rsid w:val="0D3606B5"/>
    <w:rsid w:val="0D426F90"/>
    <w:rsid w:val="0D5A6454"/>
    <w:rsid w:val="0D5D20E6"/>
    <w:rsid w:val="0D8C3BEB"/>
    <w:rsid w:val="0D9A50E8"/>
    <w:rsid w:val="0DB8556E"/>
    <w:rsid w:val="0E124C7E"/>
    <w:rsid w:val="0E1518A1"/>
    <w:rsid w:val="0E1B3AE0"/>
    <w:rsid w:val="0E285C93"/>
    <w:rsid w:val="0E2F5830"/>
    <w:rsid w:val="0E3C5C14"/>
    <w:rsid w:val="0E7E2229"/>
    <w:rsid w:val="0ECC7937"/>
    <w:rsid w:val="0EE22579"/>
    <w:rsid w:val="0F622805"/>
    <w:rsid w:val="0F987405"/>
    <w:rsid w:val="0FDC42A7"/>
    <w:rsid w:val="10367123"/>
    <w:rsid w:val="10417984"/>
    <w:rsid w:val="10895666"/>
    <w:rsid w:val="1090553E"/>
    <w:rsid w:val="10AF63B7"/>
    <w:rsid w:val="10E02E12"/>
    <w:rsid w:val="10E943BC"/>
    <w:rsid w:val="118F7CFF"/>
    <w:rsid w:val="1197619F"/>
    <w:rsid w:val="11FF19BD"/>
    <w:rsid w:val="12426DD2"/>
    <w:rsid w:val="12A70E1F"/>
    <w:rsid w:val="12AF0CEE"/>
    <w:rsid w:val="12B72FCD"/>
    <w:rsid w:val="12D524C3"/>
    <w:rsid w:val="12D6271E"/>
    <w:rsid w:val="130518A2"/>
    <w:rsid w:val="130D6092"/>
    <w:rsid w:val="133A0200"/>
    <w:rsid w:val="135950FD"/>
    <w:rsid w:val="136B50CE"/>
    <w:rsid w:val="137E6912"/>
    <w:rsid w:val="13842C16"/>
    <w:rsid w:val="13B660AC"/>
    <w:rsid w:val="13B758FF"/>
    <w:rsid w:val="13C5743C"/>
    <w:rsid w:val="13D029CA"/>
    <w:rsid w:val="14725BD8"/>
    <w:rsid w:val="14A423A8"/>
    <w:rsid w:val="14E32A08"/>
    <w:rsid w:val="14E62BA3"/>
    <w:rsid w:val="15151870"/>
    <w:rsid w:val="1517224A"/>
    <w:rsid w:val="157D01C2"/>
    <w:rsid w:val="159B7C4F"/>
    <w:rsid w:val="15B57EA4"/>
    <w:rsid w:val="15C947BC"/>
    <w:rsid w:val="15E74C42"/>
    <w:rsid w:val="165226A8"/>
    <w:rsid w:val="165A2530"/>
    <w:rsid w:val="16AD5139"/>
    <w:rsid w:val="17083EDC"/>
    <w:rsid w:val="17147CB9"/>
    <w:rsid w:val="17233A58"/>
    <w:rsid w:val="174C4B7F"/>
    <w:rsid w:val="177158A7"/>
    <w:rsid w:val="17E42C71"/>
    <w:rsid w:val="18043C32"/>
    <w:rsid w:val="180B4D7E"/>
    <w:rsid w:val="180E3144"/>
    <w:rsid w:val="181007CF"/>
    <w:rsid w:val="182857AC"/>
    <w:rsid w:val="184A1286"/>
    <w:rsid w:val="18A06742"/>
    <w:rsid w:val="1929079B"/>
    <w:rsid w:val="19314B52"/>
    <w:rsid w:val="193843DE"/>
    <w:rsid w:val="19483C4A"/>
    <w:rsid w:val="19595E57"/>
    <w:rsid w:val="196533B7"/>
    <w:rsid w:val="197C1A0D"/>
    <w:rsid w:val="19B47531"/>
    <w:rsid w:val="19EF2318"/>
    <w:rsid w:val="19FB70C4"/>
    <w:rsid w:val="1A4D0B70"/>
    <w:rsid w:val="1A6D0A09"/>
    <w:rsid w:val="1A6D6BAE"/>
    <w:rsid w:val="1A7840BB"/>
    <w:rsid w:val="1A7F6325"/>
    <w:rsid w:val="1A895970"/>
    <w:rsid w:val="1A8D4D62"/>
    <w:rsid w:val="1AC467AA"/>
    <w:rsid w:val="1B787B31"/>
    <w:rsid w:val="1BD21EF1"/>
    <w:rsid w:val="1C1C260C"/>
    <w:rsid w:val="1C3D60E3"/>
    <w:rsid w:val="1C7238D5"/>
    <w:rsid w:val="1C840525"/>
    <w:rsid w:val="1C84143D"/>
    <w:rsid w:val="1C8B701C"/>
    <w:rsid w:val="1C977472"/>
    <w:rsid w:val="1CF163A7"/>
    <w:rsid w:val="1D1A3062"/>
    <w:rsid w:val="1D23178A"/>
    <w:rsid w:val="1D3C5EE1"/>
    <w:rsid w:val="1D4666A1"/>
    <w:rsid w:val="1D473226"/>
    <w:rsid w:val="1D4A4435"/>
    <w:rsid w:val="1D546098"/>
    <w:rsid w:val="1DA75A48"/>
    <w:rsid w:val="1E635786"/>
    <w:rsid w:val="1E9E7418"/>
    <w:rsid w:val="1EC52E72"/>
    <w:rsid w:val="1EC91BF5"/>
    <w:rsid w:val="1ECD49B8"/>
    <w:rsid w:val="1EF831D2"/>
    <w:rsid w:val="1F562B02"/>
    <w:rsid w:val="1FDA25D0"/>
    <w:rsid w:val="1FE049EE"/>
    <w:rsid w:val="20194A40"/>
    <w:rsid w:val="203B529E"/>
    <w:rsid w:val="204469BC"/>
    <w:rsid w:val="20524E44"/>
    <w:rsid w:val="20844494"/>
    <w:rsid w:val="20863AF3"/>
    <w:rsid w:val="209B2E36"/>
    <w:rsid w:val="20D61200"/>
    <w:rsid w:val="210E7527"/>
    <w:rsid w:val="2146615C"/>
    <w:rsid w:val="21587A1D"/>
    <w:rsid w:val="21651998"/>
    <w:rsid w:val="221A39C9"/>
    <w:rsid w:val="22271A7E"/>
    <w:rsid w:val="22334F35"/>
    <w:rsid w:val="22551AD5"/>
    <w:rsid w:val="226371B8"/>
    <w:rsid w:val="226C59F0"/>
    <w:rsid w:val="22B440FE"/>
    <w:rsid w:val="22D24D60"/>
    <w:rsid w:val="23060D8C"/>
    <w:rsid w:val="234611FA"/>
    <w:rsid w:val="23485551"/>
    <w:rsid w:val="237467A2"/>
    <w:rsid w:val="239A18B2"/>
    <w:rsid w:val="23CD7DA1"/>
    <w:rsid w:val="23FA5FEA"/>
    <w:rsid w:val="241C7A13"/>
    <w:rsid w:val="244D65B8"/>
    <w:rsid w:val="248E2DE1"/>
    <w:rsid w:val="249809B4"/>
    <w:rsid w:val="24CA4117"/>
    <w:rsid w:val="24D64A43"/>
    <w:rsid w:val="24FD50EE"/>
    <w:rsid w:val="25347747"/>
    <w:rsid w:val="25697422"/>
    <w:rsid w:val="256A4E4D"/>
    <w:rsid w:val="25875AFA"/>
    <w:rsid w:val="25897AC4"/>
    <w:rsid w:val="259E376E"/>
    <w:rsid w:val="25DD571A"/>
    <w:rsid w:val="25F74A2E"/>
    <w:rsid w:val="262E0970"/>
    <w:rsid w:val="26483950"/>
    <w:rsid w:val="268F2EB8"/>
    <w:rsid w:val="26B01932"/>
    <w:rsid w:val="26D27C2D"/>
    <w:rsid w:val="27280C17"/>
    <w:rsid w:val="273864DE"/>
    <w:rsid w:val="275D4D64"/>
    <w:rsid w:val="276E51C4"/>
    <w:rsid w:val="276F7EC0"/>
    <w:rsid w:val="27C13000"/>
    <w:rsid w:val="2849353B"/>
    <w:rsid w:val="28642907"/>
    <w:rsid w:val="286940D9"/>
    <w:rsid w:val="286D5F65"/>
    <w:rsid w:val="28997FF9"/>
    <w:rsid w:val="28ED2118"/>
    <w:rsid w:val="290D7B43"/>
    <w:rsid w:val="29A0418A"/>
    <w:rsid w:val="29E33C4B"/>
    <w:rsid w:val="29F30D4C"/>
    <w:rsid w:val="2A261D85"/>
    <w:rsid w:val="2A344CC5"/>
    <w:rsid w:val="2AA0533E"/>
    <w:rsid w:val="2B4512B9"/>
    <w:rsid w:val="2B51698E"/>
    <w:rsid w:val="2B6761B2"/>
    <w:rsid w:val="2BC21530"/>
    <w:rsid w:val="2BDC1AD4"/>
    <w:rsid w:val="2C062A3B"/>
    <w:rsid w:val="2CBA2FB1"/>
    <w:rsid w:val="2D030DB2"/>
    <w:rsid w:val="2D3F4D6F"/>
    <w:rsid w:val="2D6A1F89"/>
    <w:rsid w:val="2DD1218E"/>
    <w:rsid w:val="2DF53F49"/>
    <w:rsid w:val="2E1343CF"/>
    <w:rsid w:val="2E1819E5"/>
    <w:rsid w:val="2E2B2D7C"/>
    <w:rsid w:val="2EA01DE3"/>
    <w:rsid w:val="2EA663FE"/>
    <w:rsid w:val="2EB24CE0"/>
    <w:rsid w:val="2EC7265D"/>
    <w:rsid w:val="2EF27956"/>
    <w:rsid w:val="2F0F4239"/>
    <w:rsid w:val="2FA920B8"/>
    <w:rsid w:val="2FC418D8"/>
    <w:rsid w:val="2FE52A7E"/>
    <w:rsid w:val="300E7950"/>
    <w:rsid w:val="304C61CA"/>
    <w:rsid w:val="307329D5"/>
    <w:rsid w:val="307C4E72"/>
    <w:rsid w:val="30A74C5B"/>
    <w:rsid w:val="30B01B4A"/>
    <w:rsid w:val="30D20571"/>
    <w:rsid w:val="310F3573"/>
    <w:rsid w:val="317821EF"/>
    <w:rsid w:val="31E4090D"/>
    <w:rsid w:val="31FD161E"/>
    <w:rsid w:val="32153857"/>
    <w:rsid w:val="32794A1C"/>
    <w:rsid w:val="327D4BC1"/>
    <w:rsid w:val="328775B4"/>
    <w:rsid w:val="330723DC"/>
    <w:rsid w:val="337E0C62"/>
    <w:rsid w:val="33CF0D98"/>
    <w:rsid w:val="346A7BCF"/>
    <w:rsid w:val="348A193A"/>
    <w:rsid w:val="349D42F5"/>
    <w:rsid w:val="35415CC5"/>
    <w:rsid w:val="354C1656"/>
    <w:rsid w:val="356814A4"/>
    <w:rsid w:val="357A2F85"/>
    <w:rsid w:val="358337C3"/>
    <w:rsid w:val="358A766C"/>
    <w:rsid w:val="359B703E"/>
    <w:rsid w:val="35D958F9"/>
    <w:rsid w:val="360B1E2F"/>
    <w:rsid w:val="360C5343"/>
    <w:rsid w:val="360D7D52"/>
    <w:rsid w:val="36176A26"/>
    <w:rsid w:val="362E7FFA"/>
    <w:rsid w:val="36315D3A"/>
    <w:rsid w:val="366157C4"/>
    <w:rsid w:val="366D4898"/>
    <w:rsid w:val="367B2569"/>
    <w:rsid w:val="36AE1139"/>
    <w:rsid w:val="36AF31C8"/>
    <w:rsid w:val="36C23C6D"/>
    <w:rsid w:val="370074BA"/>
    <w:rsid w:val="37045804"/>
    <w:rsid w:val="378679C0"/>
    <w:rsid w:val="37A367C3"/>
    <w:rsid w:val="37D77D6E"/>
    <w:rsid w:val="37E30F28"/>
    <w:rsid w:val="3835795C"/>
    <w:rsid w:val="384E78A9"/>
    <w:rsid w:val="385B37C8"/>
    <w:rsid w:val="386B35B8"/>
    <w:rsid w:val="387C313D"/>
    <w:rsid w:val="38A36E8B"/>
    <w:rsid w:val="38A94FE7"/>
    <w:rsid w:val="38B236C7"/>
    <w:rsid w:val="38D736B9"/>
    <w:rsid w:val="38ED560D"/>
    <w:rsid w:val="39335925"/>
    <w:rsid w:val="393C6ED0"/>
    <w:rsid w:val="39B00F52"/>
    <w:rsid w:val="39CC10E9"/>
    <w:rsid w:val="39D26841"/>
    <w:rsid w:val="39D81877"/>
    <w:rsid w:val="39EE04F3"/>
    <w:rsid w:val="3A5902A4"/>
    <w:rsid w:val="3A655FB2"/>
    <w:rsid w:val="3A6B2F3C"/>
    <w:rsid w:val="3A742699"/>
    <w:rsid w:val="3A7F400B"/>
    <w:rsid w:val="3AAD08CD"/>
    <w:rsid w:val="3B61579D"/>
    <w:rsid w:val="3B6E4235"/>
    <w:rsid w:val="3BA7084C"/>
    <w:rsid w:val="3BCA3066"/>
    <w:rsid w:val="3C01771B"/>
    <w:rsid w:val="3C764097"/>
    <w:rsid w:val="3CA55B29"/>
    <w:rsid w:val="3CB21A52"/>
    <w:rsid w:val="3CC35212"/>
    <w:rsid w:val="3CD84EB3"/>
    <w:rsid w:val="3D000214"/>
    <w:rsid w:val="3D0072B8"/>
    <w:rsid w:val="3D0173C5"/>
    <w:rsid w:val="3D1E72DC"/>
    <w:rsid w:val="3D332398"/>
    <w:rsid w:val="3DE83833"/>
    <w:rsid w:val="3E104487"/>
    <w:rsid w:val="3E465B7C"/>
    <w:rsid w:val="3E4660FB"/>
    <w:rsid w:val="3E734A16"/>
    <w:rsid w:val="3E752DDF"/>
    <w:rsid w:val="3E92628C"/>
    <w:rsid w:val="3EF728D5"/>
    <w:rsid w:val="3F877A39"/>
    <w:rsid w:val="40093884"/>
    <w:rsid w:val="400D176C"/>
    <w:rsid w:val="401D2E8B"/>
    <w:rsid w:val="40251D40"/>
    <w:rsid w:val="406366DD"/>
    <w:rsid w:val="40DF6392"/>
    <w:rsid w:val="41887122"/>
    <w:rsid w:val="418F7312"/>
    <w:rsid w:val="41AC096A"/>
    <w:rsid w:val="41BB295C"/>
    <w:rsid w:val="41E974C9"/>
    <w:rsid w:val="42593309"/>
    <w:rsid w:val="425F29E4"/>
    <w:rsid w:val="42BB2A00"/>
    <w:rsid w:val="42CF1A6D"/>
    <w:rsid w:val="42D9578F"/>
    <w:rsid w:val="42FB3958"/>
    <w:rsid w:val="433504EC"/>
    <w:rsid w:val="434F4957"/>
    <w:rsid w:val="435E59BE"/>
    <w:rsid w:val="4362385A"/>
    <w:rsid w:val="43CE580F"/>
    <w:rsid w:val="4401783A"/>
    <w:rsid w:val="440A4948"/>
    <w:rsid w:val="44406889"/>
    <w:rsid w:val="44550E45"/>
    <w:rsid w:val="44931781"/>
    <w:rsid w:val="44B94D9B"/>
    <w:rsid w:val="45196317"/>
    <w:rsid w:val="452C3A1D"/>
    <w:rsid w:val="454D74A9"/>
    <w:rsid w:val="45E004FC"/>
    <w:rsid w:val="45E138F4"/>
    <w:rsid w:val="46547D5A"/>
    <w:rsid w:val="46AE6F33"/>
    <w:rsid w:val="46B1432D"/>
    <w:rsid w:val="47046B53"/>
    <w:rsid w:val="47376F28"/>
    <w:rsid w:val="47CC6923"/>
    <w:rsid w:val="480E207F"/>
    <w:rsid w:val="480F6038"/>
    <w:rsid w:val="48576465"/>
    <w:rsid w:val="48FC2DB1"/>
    <w:rsid w:val="49522D5E"/>
    <w:rsid w:val="49A02651"/>
    <w:rsid w:val="49C47659"/>
    <w:rsid w:val="49DF11B1"/>
    <w:rsid w:val="49EB7B56"/>
    <w:rsid w:val="4A2B5779"/>
    <w:rsid w:val="4A450EF1"/>
    <w:rsid w:val="4A5D5D84"/>
    <w:rsid w:val="4A88006B"/>
    <w:rsid w:val="4A9401EE"/>
    <w:rsid w:val="4A9F52A4"/>
    <w:rsid w:val="4AD351BA"/>
    <w:rsid w:val="4B050259"/>
    <w:rsid w:val="4B0557AD"/>
    <w:rsid w:val="4B06733D"/>
    <w:rsid w:val="4B0B4954"/>
    <w:rsid w:val="4B6F670D"/>
    <w:rsid w:val="4B730369"/>
    <w:rsid w:val="4BAB27B1"/>
    <w:rsid w:val="4BB26B7D"/>
    <w:rsid w:val="4BD935B2"/>
    <w:rsid w:val="4C420357"/>
    <w:rsid w:val="4C420BC6"/>
    <w:rsid w:val="4C5C2F8D"/>
    <w:rsid w:val="4C8F4AEF"/>
    <w:rsid w:val="4CAD2284"/>
    <w:rsid w:val="4CBF59B7"/>
    <w:rsid w:val="4DBF37D4"/>
    <w:rsid w:val="4DFF1E22"/>
    <w:rsid w:val="4E04701D"/>
    <w:rsid w:val="4E0F02B7"/>
    <w:rsid w:val="4E19737E"/>
    <w:rsid w:val="4E6E2FB5"/>
    <w:rsid w:val="4E8D38D2"/>
    <w:rsid w:val="4EB175DB"/>
    <w:rsid w:val="4EBA414E"/>
    <w:rsid w:val="4F5662D3"/>
    <w:rsid w:val="4F5A491C"/>
    <w:rsid w:val="500E28C5"/>
    <w:rsid w:val="50606A7D"/>
    <w:rsid w:val="50A62A29"/>
    <w:rsid w:val="50D61B66"/>
    <w:rsid w:val="50E06415"/>
    <w:rsid w:val="50EF617E"/>
    <w:rsid w:val="511C715A"/>
    <w:rsid w:val="51207AE6"/>
    <w:rsid w:val="513A03FE"/>
    <w:rsid w:val="5153495F"/>
    <w:rsid w:val="51547B32"/>
    <w:rsid w:val="519A7131"/>
    <w:rsid w:val="51C0603E"/>
    <w:rsid w:val="5218720A"/>
    <w:rsid w:val="521E46DD"/>
    <w:rsid w:val="52217827"/>
    <w:rsid w:val="52412A09"/>
    <w:rsid w:val="52445A58"/>
    <w:rsid w:val="524B13D8"/>
    <w:rsid w:val="5266074B"/>
    <w:rsid w:val="52727066"/>
    <w:rsid w:val="527F3531"/>
    <w:rsid w:val="52B86C7A"/>
    <w:rsid w:val="52D715BF"/>
    <w:rsid w:val="53675712"/>
    <w:rsid w:val="536F3457"/>
    <w:rsid w:val="537155BE"/>
    <w:rsid w:val="537B63EF"/>
    <w:rsid w:val="53D61885"/>
    <w:rsid w:val="53DF24DA"/>
    <w:rsid w:val="543A1E06"/>
    <w:rsid w:val="54417169"/>
    <w:rsid w:val="54444075"/>
    <w:rsid w:val="54482775"/>
    <w:rsid w:val="54CA7B59"/>
    <w:rsid w:val="54D45954"/>
    <w:rsid w:val="54FD4609"/>
    <w:rsid w:val="55030E5B"/>
    <w:rsid w:val="550D3B58"/>
    <w:rsid w:val="555A1BA0"/>
    <w:rsid w:val="55810253"/>
    <w:rsid w:val="55CA674D"/>
    <w:rsid w:val="55D02697"/>
    <w:rsid w:val="55DA64AD"/>
    <w:rsid w:val="55F76BEE"/>
    <w:rsid w:val="561A081A"/>
    <w:rsid w:val="561D19DF"/>
    <w:rsid w:val="56292132"/>
    <w:rsid w:val="56307F1D"/>
    <w:rsid w:val="56B850C9"/>
    <w:rsid w:val="56C02A96"/>
    <w:rsid w:val="56CF0F2B"/>
    <w:rsid w:val="56DD7F5E"/>
    <w:rsid w:val="56F73FDE"/>
    <w:rsid w:val="57032983"/>
    <w:rsid w:val="572A285B"/>
    <w:rsid w:val="57527466"/>
    <w:rsid w:val="576D24F2"/>
    <w:rsid w:val="57A51C8C"/>
    <w:rsid w:val="57A5783A"/>
    <w:rsid w:val="57EF4246"/>
    <w:rsid w:val="5832685C"/>
    <w:rsid w:val="584568AC"/>
    <w:rsid w:val="58824ACC"/>
    <w:rsid w:val="589200EC"/>
    <w:rsid w:val="58A91476"/>
    <w:rsid w:val="58B3435E"/>
    <w:rsid w:val="590D7131"/>
    <w:rsid w:val="591253D6"/>
    <w:rsid w:val="594B37F1"/>
    <w:rsid w:val="596F2552"/>
    <w:rsid w:val="599E5578"/>
    <w:rsid w:val="59AB0C98"/>
    <w:rsid w:val="59C37040"/>
    <w:rsid w:val="59CB0374"/>
    <w:rsid w:val="59DE0CA7"/>
    <w:rsid w:val="5A1A3741"/>
    <w:rsid w:val="5A7616BE"/>
    <w:rsid w:val="5A770749"/>
    <w:rsid w:val="5A861ABD"/>
    <w:rsid w:val="5A8F20BE"/>
    <w:rsid w:val="5AA837AC"/>
    <w:rsid w:val="5AB67D0C"/>
    <w:rsid w:val="5ABE59E9"/>
    <w:rsid w:val="5AC4067B"/>
    <w:rsid w:val="5ADF6E56"/>
    <w:rsid w:val="5B0116C7"/>
    <w:rsid w:val="5B1F3B03"/>
    <w:rsid w:val="5B380C90"/>
    <w:rsid w:val="5B6363EB"/>
    <w:rsid w:val="5B7D338F"/>
    <w:rsid w:val="5B9F14C4"/>
    <w:rsid w:val="5BA1276A"/>
    <w:rsid w:val="5BA57C0C"/>
    <w:rsid w:val="5C234513"/>
    <w:rsid w:val="5C425CFC"/>
    <w:rsid w:val="5C462667"/>
    <w:rsid w:val="5C4F6BD1"/>
    <w:rsid w:val="5C7E21D6"/>
    <w:rsid w:val="5C910A31"/>
    <w:rsid w:val="5C9367F6"/>
    <w:rsid w:val="5CB77CFA"/>
    <w:rsid w:val="5D214E4E"/>
    <w:rsid w:val="5D611272"/>
    <w:rsid w:val="5D630DB1"/>
    <w:rsid w:val="5D9562FF"/>
    <w:rsid w:val="5DAB0B66"/>
    <w:rsid w:val="5DDE6F83"/>
    <w:rsid w:val="5DF146B7"/>
    <w:rsid w:val="5E16050E"/>
    <w:rsid w:val="5E327DFC"/>
    <w:rsid w:val="5E4D122B"/>
    <w:rsid w:val="5E8425FB"/>
    <w:rsid w:val="5E9F11E3"/>
    <w:rsid w:val="5EF336FC"/>
    <w:rsid w:val="5F01627C"/>
    <w:rsid w:val="5F074FDA"/>
    <w:rsid w:val="5F35068C"/>
    <w:rsid w:val="5F405E81"/>
    <w:rsid w:val="5F4C0C3F"/>
    <w:rsid w:val="60A76A75"/>
    <w:rsid w:val="60A90CC5"/>
    <w:rsid w:val="61241947"/>
    <w:rsid w:val="612E6AAD"/>
    <w:rsid w:val="61633FDA"/>
    <w:rsid w:val="616A7D2F"/>
    <w:rsid w:val="61745166"/>
    <w:rsid w:val="61974113"/>
    <w:rsid w:val="61C64A0E"/>
    <w:rsid w:val="61F40A0D"/>
    <w:rsid w:val="62173786"/>
    <w:rsid w:val="621C2B4B"/>
    <w:rsid w:val="62404A8B"/>
    <w:rsid w:val="6241261C"/>
    <w:rsid w:val="62420210"/>
    <w:rsid w:val="62611DB0"/>
    <w:rsid w:val="62662018"/>
    <w:rsid w:val="62B47326"/>
    <w:rsid w:val="62EE553D"/>
    <w:rsid w:val="6300421A"/>
    <w:rsid w:val="630901A6"/>
    <w:rsid w:val="632C0E07"/>
    <w:rsid w:val="6349725C"/>
    <w:rsid w:val="63865AC3"/>
    <w:rsid w:val="638A4820"/>
    <w:rsid w:val="63931D5D"/>
    <w:rsid w:val="639E415F"/>
    <w:rsid w:val="63A27AA9"/>
    <w:rsid w:val="64035650"/>
    <w:rsid w:val="644A2A60"/>
    <w:rsid w:val="64812DEB"/>
    <w:rsid w:val="64CB0227"/>
    <w:rsid w:val="656138C5"/>
    <w:rsid w:val="65942779"/>
    <w:rsid w:val="663C677D"/>
    <w:rsid w:val="66987842"/>
    <w:rsid w:val="66A001EE"/>
    <w:rsid w:val="66B206ED"/>
    <w:rsid w:val="66EF4ABB"/>
    <w:rsid w:val="67CC59E3"/>
    <w:rsid w:val="68264A5A"/>
    <w:rsid w:val="685B20EE"/>
    <w:rsid w:val="68907DEF"/>
    <w:rsid w:val="68E93DF6"/>
    <w:rsid w:val="690359D6"/>
    <w:rsid w:val="691427CE"/>
    <w:rsid w:val="69826F10"/>
    <w:rsid w:val="6992118F"/>
    <w:rsid w:val="699A6627"/>
    <w:rsid w:val="69C96D41"/>
    <w:rsid w:val="69F04850"/>
    <w:rsid w:val="6A087A2A"/>
    <w:rsid w:val="6A2A2395"/>
    <w:rsid w:val="6A435043"/>
    <w:rsid w:val="6A5E2F38"/>
    <w:rsid w:val="6AF52ECD"/>
    <w:rsid w:val="6B113469"/>
    <w:rsid w:val="6B2A277C"/>
    <w:rsid w:val="6B43383E"/>
    <w:rsid w:val="6B8D6867"/>
    <w:rsid w:val="6B8D71AD"/>
    <w:rsid w:val="6BAA5F82"/>
    <w:rsid w:val="6BAE515B"/>
    <w:rsid w:val="6BFE1359"/>
    <w:rsid w:val="6D0D4104"/>
    <w:rsid w:val="6D264A09"/>
    <w:rsid w:val="6D285EEE"/>
    <w:rsid w:val="6D3A4256"/>
    <w:rsid w:val="6D912FC0"/>
    <w:rsid w:val="6DAB2AD4"/>
    <w:rsid w:val="6DB4632D"/>
    <w:rsid w:val="6DDE162C"/>
    <w:rsid w:val="6E1172F4"/>
    <w:rsid w:val="6E196680"/>
    <w:rsid w:val="6E380D0C"/>
    <w:rsid w:val="6E9B061F"/>
    <w:rsid w:val="6EC647D7"/>
    <w:rsid w:val="6ED919F6"/>
    <w:rsid w:val="6EDE3796"/>
    <w:rsid w:val="6EF410D7"/>
    <w:rsid w:val="6EFA4214"/>
    <w:rsid w:val="6F5153EC"/>
    <w:rsid w:val="6FC84312"/>
    <w:rsid w:val="6FE605C4"/>
    <w:rsid w:val="70265F41"/>
    <w:rsid w:val="703B2D36"/>
    <w:rsid w:val="70673123"/>
    <w:rsid w:val="706C3BCA"/>
    <w:rsid w:val="70A34986"/>
    <w:rsid w:val="70B704DA"/>
    <w:rsid w:val="70FA674D"/>
    <w:rsid w:val="710B069E"/>
    <w:rsid w:val="714844A1"/>
    <w:rsid w:val="714C17A4"/>
    <w:rsid w:val="7161057A"/>
    <w:rsid w:val="71793B16"/>
    <w:rsid w:val="71A12B08"/>
    <w:rsid w:val="71AF4994"/>
    <w:rsid w:val="71FD4F1A"/>
    <w:rsid w:val="722975D2"/>
    <w:rsid w:val="72457E9C"/>
    <w:rsid w:val="7270316B"/>
    <w:rsid w:val="72757CAB"/>
    <w:rsid w:val="727C248C"/>
    <w:rsid w:val="73264FA6"/>
    <w:rsid w:val="734B2C0B"/>
    <w:rsid w:val="73824F7C"/>
    <w:rsid w:val="739648B7"/>
    <w:rsid w:val="73B37F21"/>
    <w:rsid w:val="73EF00BF"/>
    <w:rsid w:val="7406050A"/>
    <w:rsid w:val="7420296E"/>
    <w:rsid w:val="74746816"/>
    <w:rsid w:val="74747483"/>
    <w:rsid w:val="74CE0C97"/>
    <w:rsid w:val="752306D3"/>
    <w:rsid w:val="752537A3"/>
    <w:rsid w:val="758111EB"/>
    <w:rsid w:val="759676DE"/>
    <w:rsid w:val="75D23344"/>
    <w:rsid w:val="75D60E9A"/>
    <w:rsid w:val="75E579CC"/>
    <w:rsid w:val="76184CE8"/>
    <w:rsid w:val="76525E43"/>
    <w:rsid w:val="76783713"/>
    <w:rsid w:val="76BB7D9C"/>
    <w:rsid w:val="76D46753"/>
    <w:rsid w:val="76FF4ABD"/>
    <w:rsid w:val="77257A51"/>
    <w:rsid w:val="77813724"/>
    <w:rsid w:val="778E6FF9"/>
    <w:rsid w:val="77BC650A"/>
    <w:rsid w:val="77D50689"/>
    <w:rsid w:val="781A4D46"/>
    <w:rsid w:val="782E006B"/>
    <w:rsid w:val="786A240A"/>
    <w:rsid w:val="78827754"/>
    <w:rsid w:val="7892370F"/>
    <w:rsid w:val="789B5F87"/>
    <w:rsid w:val="78F02F79"/>
    <w:rsid w:val="79086F68"/>
    <w:rsid w:val="792E05AF"/>
    <w:rsid w:val="79C678D4"/>
    <w:rsid w:val="79EE1860"/>
    <w:rsid w:val="7A08012D"/>
    <w:rsid w:val="7B036820"/>
    <w:rsid w:val="7B08205F"/>
    <w:rsid w:val="7B4927AB"/>
    <w:rsid w:val="7BFF157E"/>
    <w:rsid w:val="7C391482"/>
    <w:rsid w:val="7C5036C5"/>
    <w:rsid w:val="7C611615"/>
    <w:rsid w:val="7C9932A4"/>
    <w:rsid w:val="7CA943D8"/>
    <w:rsid w:val="7CF0563E"/>
    <w:rsid w:val="7D060CAB"/>
    <w:rsid w:val="7D0B50EE"/>
    <w:rsid w:val="7D7942E8"/>
    <w:rsid w:val="7D9552CA"/>
    <w:rsid w:val="7DF42BD8"/>
    <w:rsid w:val="7E255143"/>
    <w:rsid w:val="7E7200FE"/>
    <w:rsid w:val="7EA46823"/>
    <w:rsid w:val="7EE46AA6"/>
    <w:rsid w:val="7EEA05E4"/>
    <w:rsid w:val="7EED5B43"/>
    <w:rsid w:val="7F402117"/>
    <w:rsid w:val="7F5B6A68"/>
    <w:rsid w:val="7F871130"/>
    <w:rsid w:val="7F907C00"/>
    <w:rsid w:val="7FA51F7A"/>
    <w:rsid w:val="7FC97A14"/>
    <w:rsid w:val="7FF64583"/>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3"/>
    <w:autoRedefine/>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38"/>
    <w:autoRedefine/>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40"/>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Cambria" w:hAnsi="Cambria"/>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4"/>
    <w:autoRedefine/>
    <w:unhideWhenUsed/>
    <w:qFormat/>
    <w:uiPriority w:val="99"/>
    <w:pPr>
      <w:jc w:val="left"/>
    </w:pPr>
  </w:style>
  <w:style w:type="paragraph" w:styleId="7">
    <w:name w:val="Body Text"/>
    <w:basedOn w:val="1"/>
    <w:next w:val="8"/>
    <w:autoRedefine/>
    <w:qFormat/>
    <w:uiPriority w:val="0"/>
    <w:pPr>
      <w:spacing w:after="120"/>
    </w:pPr>
  </w:style>
  <w:style w:type="paragraph" w:customStyle="1" w:styleId="8">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9">
    <w:name w:val="Body Text Indent"/>
    <w:basedOn w:val="1"/>
    <w:autoRedefine/>
    <w:unhideWhenUsed/>
    <w:qFormat/>
    <w:uiPriority w:val="99"/>
    <w:pPr>
      <w:spacing w:after="120"/>
      <w:ind w:left="420" w:leftChars="200"/>
    </w:pPr>
  </w:style>
  <w:style w:type="paragraph" w:styleId="10">
    <w:name w:val="Plain Text"/>
    <w:basedOn w:val="1"/>
    <w:link w:val="37"/>
    <w:autoRedefine/>
    <w:qFormat/>
    <w:uiPriority w:val="0"/>
    <w:rPr>
      <w:rFonts w:ascii="宋体" w:hAnsi="Courier New" w:eastAsiaTheme="minorEastAsia" w:cstheme="minorBidi"/>
    </w:rPr>
  </w:style>
  <w:style w:type="paragraph" w:styleId="11">
    <w:name w:val="Date"/>
    <w:basedOn w:val="1"/>
    <w:next w:val="1"/>
    <w:link w:val="29"/>
    <w:autoRedefine/>
    <w:qFormat/>
    <w:uiPriority w:val="0"/>
    <w:rPr>
      <w:rFonts w:ascii="宋体" w:hAnsi="Courier New"/>
      <w:kern w:val="0"/>
      <w:sz w:val="32"/>
      <w:szCs w:val="20"/>
    </w:rPr>
  </w:style>
  <w:style w:type="paragraph" w:styleId="12">
    <w:name w:val="Balloon Text"/>
    <w:basedOn w:val="1"/>
    <w:link w:val="30"/>
    <w:autoRedefine/>
    <w:semiHidden/>
    <w:unhideWhenUsed/>
    <w:qFormat/>
    <w:uiPriority w:val="99"/>
    <w:rPr>
      <w:sz w:val="18"/>
      <w:szCs w:val="18"/>
    </w:rPr>
  </w:style>
  <w:style w:type="paragraph" w:styleId="13">
    <w:name w:val="footer"/>
    <w:basedOn w:val="1"/>
    <w:link w:val="32"/>
    <w:autoRedefine/>
    <w:unhideWhenUsed/>
    <w:qFormat/>
    <w:uiPriority w:val="99"/>
    <w:pPr>
      <w:tabs>
        <w:tab w:val="center" w:pos="4153"/>
        <w:tab w:val="right" w:pos="8306"/>
      </w:tabs>
      <w:snapToGrid w:val="0"/>
      <w:jc w:val="left"/>
    </w:pPr>
    <w:rPr>
      <w:sz w:val="18"/>
      <w:szCs w:val="18"/>
    </w:rPr>
  </w:style>
  <w:style w:type="paragraph" w:styleId="14">
    <w:name w:val="header"/>
    <w:basedOn w:val="1"/>
    <w:link w:val="3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semiHidden/>
    <w:qFormat/>
    <w:uiPriority w:val="0"/>
    <w:pPr>
      <w:tabs>
        <w:tab w:val="right" w:leader="dot" w:pos="8296"/>
      </w:tabs>
      <w:ind w:left="210"/>
      <w:jc w:val="left"/>
    </w:pPr>
    <w:rPr>
      <w:smallCaps/>
    </w:rPr>
  </w:style>
  <w:style w:type="paragraph" w:styleId="16">
    <w:name w:val="Body Text 2"/>
    <w:basedOn w:val="1"/>
    <w:qFormat/>
    <w:uiPriority w:val="0"/>
    <w:pPr>
      <w:spacing w:line="360" w:lineRule="auto"/>
    </w:pPr>
    <w:rPr>
      <w:sz w:val="24"/>
    </w:rPr>
  </w:style>
  <w:style w:type="paragraph" w:styleId="17">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18">
    <w:name w:val="annotation subject"/>
    <w:basedOn w:val="6"/>
    <w:next w:val="6"/>
    <w:link w:val="35"/>
    <w:autoRedefine/>
    <w:semiHidden/>
    <w:unhideWhenUsed/>
    <w:qFormat/>
    <w:uiPriority w:val="99"/>
    <w:rPr>
      <w:b/>
      <w:bCs/>
    </w:rPr>
  </w:style>
  <w:style w:type="paragraph" w:styleId="19">
    <w:name w:val="Body Text First Indent 2"/>
    <w:basedOn w:val="9"/>
    <w:autoRedefine/>
    <w:qFormat/>
    <w:uiPriority w:val="0"/>
    <w:pPr>
      <w:ind w:firstLine="420" w:firstLineChars="200"/>
    </w:pPr>
    <w:rPr>
      <w:szCs w:val="24"/>
    </w:rPr>
  </w:style>
  <w:style w:type="table" w:styleId="21">
    <w:name w:val="Table Grid"/>
    <w:basedOn w:val="20"/>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Strong"/>
    <w:qFormat/>
    <w:uiPriority w:val="0"/>
    <w:rPr>
      <w:rFonts w:ascii="Times New Roman" w:hAnsi="Times New Roman" w:eastAsia="宋体" w:cs="Times New Roman"/>
      <w:b/>
      <w:bCs/>
    </w:rPr>
  </w:style>
  <w:style w:type="character" w:styleId="24">
    <w:name w:val="page number"/>
    <w:basedOn w:val="22"/>
    <w:qFormat/>
    <w:uiPriority w:val="0"/>
  </w:style>
  <w:style w:type="character" w:styleId="25">
    <w:name w:val="Hyperlink"/>
    <w:autoRedefine/>
    <w:qFormat/>
    <w:uiPriority w:val="99"/>
    <w:rPr>
      <w:color w:val="0000FF"/>
      <w:u w:val="single"/>
    </w:rPr>
  </w:style>
  <w:style w:type="character" w:styleId="26">
    <w:name w:val="annotation reference"/>
    <w:basedOn w:val="22"/>
    <w:autoRedefine/>
    <w:semiHidden/>
    <w:unhideWhenUsed/>
    <w:qFormat/>
    <w:uiPriority w:val="99"/>
    <w:rPr>
      <w:sz w:val="21"/>
      <w:szCs w:val="21"/>
    </w:rPr>
  </w:style>
  <w:style w:type="paragraph" w:customStyle="1" w:styleId="27">
    <w:name w:val="表格文字"/>
    <w:basedOn w:val="1"/>
    <w:autoRedefine/>
    <w:qFormat/>
    <w:uiPriority w:val="0"/>
    <w:pPr>
      <w:spacing w:before="25" w:after="25" w:line="240" w:lineRule="auto"/>
      <w:ind w:firstLine="0"/>
      <w:jc w:val="left"/>
    </w:pPr>
    <w:rPr>
      <w:bCs/>
      <w:spacing w:val="10"/>
      <w:kern w:val="0"/>
      <w:sz w:val="24"/>
    </w:rPr>
  </w:style>
  <w:style w:type="character" w:customStyle="1" w:styleId="28">
    <w:name w:val="日期 Char"/>
    <w:basedOn w:val="22"/>
    <w:link w:val="11"/>
    <w:autoRedefine/>
    <w:qFormat/>
    <w:uiPriority w:val="0"/>
    <w:rPr>
      <w:rFonts w:ascii="宋体" w:hAnsi="Courier New" w:eastAsia="宋体" w:cs="Times New Roman"/>
      <w:kern w:val="0"/>
      <w:sz w:val="32"/>
      <w:szCs w:val="20"/>
    </w:rPr>
  </w:style>
  <w:style w:type="character" w:customStyle="1" w:styleId="29">
    <w:name w:val="日期 Char1"/>
    <w:basedOn w:val="22"/>
    <w:link w:val="11"/>
    <w:autoRedefine/>
    <w:semiHidden/>
    <w:qFormat/>
    <w:uiPriority w:val="99"/>
    <w:rPr>
      <w:rFonts w:ascii="Calibri" w:hAnsi="Calibri" w:eastAsia="宋体" w:cs="Times New Roman"/>
    </w:rPr>
  </w:style>
  <w:style w:type="character" w:customStyle="1" w:styleId="30">
    <w:name w:val="批注框文本 Char"/>
    <w:basedOn w:val="22"/>
    <w:link w:val="12"/>
    <w:autoRedefine/>
    <w:semiHidden/>
    <w:qFormat/>
    <w:uiPriority w:val="99"/>
    <w:rPr>
      <w:rFonts w:ascii="Calibri" w:hAnsi="Calibri" w:eastAsia="宋体" w:cs="Times New Roman"/>
      <w:sz w:val="18"/>
      <w:szCs w:val="18"/>
    </w:rPr>
  </w:style>
  <w:style w:type="character" w:customStyle="1" w:styleId="31">
    <w:name w:val="页眉 Char"/>
    <w:basedOn w:val="22"/>
    <w:link w:val="14"/>
    <w:autoRedefine/>
    <w:semiHidden/>
    <w:qFormat/>
    <w:uiPriority w:val="99"/>
    <w:rPr>
      <w:rFonts w:ascii="Calibri" w:hAnsi="Calibri" w:eastAsia="宋体" w:cs="Times New Roman"/>
      <w:sz w:val="18"/>
      <w:szCs w:val="18"/>
    </w:rPr>
  </w:style>
  <w:style w:type="character" w:customStyle="1" w:styleId="32">
    <w:name w:val="页脚 Char"/>
    <w:basedOn w:val="22"/>
    <w:link w:val="13"/>
    <w:autoRedefine/>
    <w:qFormat/>
    <w:uiPriority w:val="99"/>
    <w:rPr>
      <w:rFonts w:ascii="Calibri" w:hAnsi="Calibri" w:eastAsia="宋体" w:cs="Times New Roman"/>
      <w:sz w:val="18"/>
      <w:szCs w:val="18"/>
    </w:rPr>
  </w:style>
  <w:style w:type="character" w:customStyle="1" w:styleId="33">
    <w:name w:val="标题 1 Char"/>
    <w:basedOn w:val="22"/>
    <w:link w:val="2"/>
    <w:autoRedefine/>
    <w:qFormat/>
    <w:uiPriority w:val="0"/>
    <w:rPr>
      <w:rFonts w:ascii="宋体" w:hAnsi="Calibri" w:eastAsia="宋体" w:cs="Times New Roman"/>
      <w:color w:val="000000"/>
      <w:sz w:val="28"/>
      <w:szCs w:val="20"/>
    </w:rPr>
  </w:style>
  <w:style w:type="character" w:customStyle="1" w:styleId="34">
    <w:name w:val="批注文字 Char"/>
    <w:basedOn w:val="22"/>
    <w:link w:val="6"/>
    <w:autoRedefine/>
    <w:qFormat/>
    <w:uiPriority w:val="99"/>
    <w:rPr>
      <w:rFonts w:ascii="Calibri" w:hAnsi="Calibri" w:eastAsia="宋体" w:cs="Times New Roman"/>
    </w:rPr>
  </w:style>
  <w:style w:type="character" w:customStyle="1" w:styleId="35">
    <w:name w:val="批注主题 Char"/>
    <w:basedOn w:val="34"/>
    <w:link w:val="18"/>
    <w:autoRedefine/>
    <w:semiHidden/>
    <w:qFormat/>
    <w:uiPriority w:val="99"/>
    <w:rPr>
      <w:b/>
      <w:bCs/>
    </w:rPr>
  </w:style>
  <w:style w:type="character" w:customStyle="1" w:styleId="36">
    <w:name w:val="纯文本 Char"/>
    <w:link w:val="10"/>
    <w:autoRedefine/>
    <w:qFormat/>
    <w:uiPriority w:val="0"/>
    <w:rPr>
      <w:rFonts w:ascii="宋体" w:hAnsi="Courier New"/>
    </w:rPr>
  </w:style>
  <w:style w:type="character" w:customStyle="1" w:styleId="37">
    <w:name w:val="纯文本 Char1"/>
    <w:basedOn w:val="22"/>
    <w:link w:val="10"/>
    <w:autoRedefine/>
    <w:semiHidden/>
    <w:qFormat/>
    <w:uiPriority w:val="99"/>
    <w:rPr>
      <w:rFonts w:ascii="宋体" w:hAnsi="Courier New" w:eastAsia="宋体" w:cs="Courier New"/>
      <w:szCs w:val="21"/>
    </w:rPr>
  </w:style>
  <w:style w:type="character" w:customStyle="1" w:styleId="38">
    <w:name w:val="标题 2 Char"/>
    <w:basedOn w:val="22"/>
    <w:link w:val="3"/>
    <w:autoRedefine/>
    <w:qFormat/>
    <w:uiPriority w:val="0"/>
    <w:rPr>
      <w:rFonts w:ascii="Arial" w:hAnsi="Arial" w:eastAsia="宋体" w:cs="Times New Roman"/>
      <w:b/>
      <w:bCs/>
      <w:sz w:val="32"/>
      <w:szCs w:val="32"/>
    </w:rPr>
  </w:style>
  <w:style w:type="paragraph" w:styleId="39">
    <w:name w:val="List Paragraph"/>
    <w:basedOn w:val="1"/>
    <w:autoRedefine/>
    <w:qFormat/>
    <w:uiPriority w:val="34"/>
    <w:pPr>
      <w:ind w:firstLine="420" w:firstLineChars="200"/>
    </w:pPr>
  </w:style>
  <w:style w:type="character" w:customStyle="1" w:styleId="40">
    <w:name w:val="标题 3 Char"/>
    <w:basedOn w:val="22"/>
    <w:link w:val="4"/>
    <w:autoRedefine/>
    <w:semiHidden/>
    <w:qFormat/>
    <w:uiPriority w:val="9"/>
    <w:rPr>
      <w:rFonts w:ascii="Calibri" w:hAnsi="Calibri" w:eastAsia="宋体" w:cs="Times New Roman"/>
      <w:b/>
      <w:bCs/>
      <w:sz w:val="32"/>
      <w:szCs w:val="32"/>
    </w:rPr>
  </w:style>
  <w:style w:type="character" w:customStyle="1" w:styleId="41">
    <w:name w:val="标题 4 Char"/>
    <w:basedOn w:val="22"/>
    <w:link w:val="5"/>
    <w:autoRedefine/>
    <w:qFormat/>
    <w:uiPriority w:val="0"/>
    <w:rPr>
      <w:rFonts w:ascii="Cambria" w:hAnsi="Cambria" w:eastAsia="宋体" w:cs="Times New Roman"/>
      <w:b/>
      <w:bCs/>
      <w:sz w:val="28"/>
      <w:szCs w:val="28"/>
    </w:rPr>
  </w:style>
  <w:style w:type="paragraph" w:customStyle="1" w:styleId="42">
    <w:name w:val="xl48"/>
    <w:basedOn w:val="1"/>
    <w:autoRedefine/>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43">
    <w:name w:val="1"/>
    <w:basedOn w:val="1"/>
    <w:next w:val="10"/>
    <w:autoRedefine/>
    <w:qFormat/>
    <w:uiPriority w:val="0"/>
    <w:rPr>
      <w:rFonts w:ascii="宋体" w:hAnsi="Courier New"/>
      <w:szCs w:val="20"/>
    </w:rPr>
  </w:style>
  <w:style w:type="paragraph" w:customStyle="1" w:styleId="44">
    <w:name w:val="8"/>
    <w:basedOn w:val="1"/>
    <w:next w:val="10"/>
    <w:autoRedefine/>
    <w:qFormat/>
    <w:uiPriority w:val="0"/>
    <w:rPr>
      <w:rFonts w:ascii="宋体" w:hAnsi="Courier New"/>
      <w:szCs w:val="20"/>
    </w:rPr>
  </w:style>
  <w:style w:type="paragraph" w:customStyle="1" w:styleId="45">
    <w:name w:val="_Style 55"/>
    <w:basedOn w:val="1"/>
    <w:next w:val="10"/>
    <w:autoRedefine/>
    <w:qFormat/>
    <w:uiPriority w:val="0"/>
    <w:rPr>
      <w:rFonts w:ascii="宋体" w:hAnsi="Courier New"/>
      <w:szCs w:val="20"/>
    </w:rPr>
  </w:style>
  <w:style w:type="paragraph" w:customStyle="1" w:styleId="46">
    <w:name w:val="7"/>
    <w:basedOn w:val="1"/>
    <w:next w:val="10"/>
    <w:link w:val="47"/>
    <w:autoRedefine/>
    <w:qFormat/>
    <w:uiPriority w:val="0"/>
    <w:rPr>
      <w:rFonts w:ascii="宋体" w:hAnsi="Courier New"/>
      <w:szCs w:val="20"/>
    </w:rPr>
  </w:style>
  <w:style w:type="character" w:customStyle="1" w:styleId="47">
    <w:name w:val="Char1"/>
    <w:link w:val="46"/>
    <w:autoRedefine/>
    <w:qFormat/>
    <w:uiPriority w:val="0"/>
    <w:rPr>
      <w:rFonts w:ascii="宋体" w:hAnsi="Courier New" w:eastAsia="宋体" w:cs="Times New Roman"/>
      <w:szCs w:val="20"/>
    </w:rPr>
  </w:style>
  <w:style w:type="paragraph" w:customStyle="1" w:styleId="48">
    <w:name w:val="Body text|1"/>
    <w:basedOn w:val="1"/>
    <w:autoRedefine/>
    <w:qFormat/>
    <w:uiPriority w:val="0"/>
    <w:pPr>
      <w:widowControl w:val="0"/>
      <w:shd w:val="clear" w:color="auto" w:fill="auto"/>
      <w:spacing w:line="396" w:lineRule="auto"/>
    </w:pPr>
    <w:rPr>
      <w:rFonts w:ascii="宋体" w:hAnsi="宋体" w:eastAsia="宋体" w:cs="宋体"/>
      <w:u w:val="none"/>
      <w:shd w:val="clear" w:color="auto" w:fill="auto"/>
      <w:lang w:val="zh-TW" w:eastAsia="zh-TW" w:bidi="zh-TW"/>
    </w:rPr>
  </w:style>
  <w:style w:type="paragraph" w:customStyle="1" w:styleId="4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50">
    <w:name w:val="表正文"/>
    <w:basedOn w:val="1"/>
    <w:qFormat/>
    <w:uiPriority w:val="0"/>
    <w:rPr>
      <w:sz w:val="18"/>
    </w:rPr>
  </w:style>
  <w:style w:type="paragraph" w:customStyle="1" w:styleId="51">
    <w:name w:val="表格并列项"/>
    <w:basedOn w:val="52"/>
    <w:qFormat/>
    <w:uiPriority w:val="0"/>
    <w:pPr>
      <w:tabs>
        <w:tab w:val="left" w:pos="839"/>
      </w:tabs>
      <w:spacing w:before="40" w:after="40"/>
      <w:ind w:left="840" w:firstLineChars="0"/>
    </w:pPr>
  </w:style>
  <w:style w:type="paragraph" w:customStyle="1" w:styleId="52">
    <w:name w:val="并列项"/>
    <w:basedOn w:val="39"/>
    <w:qFormat/>
    <w:uiPriority w:val="0"/>
    <w:pPr>
      <w:numPr>
        <w:ilvl w:val="0"/>
        <w:numId w:val="1"/>
      </w:numPr>
      <w:snapToGrid w:val="0"/>
      <w:ind w:left="420"/>
      <w:contextualSpacing/>
    </w:pPr>
    <w:rPr>
      <w:rFonts w:cs="Cambria"/>
    </w:rPr>
  </w:style>
  <w:style w:type="paragraph" w:customStyle="1" w:styleId="53">
    <w:name w:val="Normal Indent"/>
    <w:basedOn w:val="1"/>
    <w:next w:val="1"/>
    <w:qFormat/>
    <w:uiPriority w:val="0"/>
    <w:pPr>
      <w:ind w:firstLine="420"/>
    </w:pPr>
    <w:rPr>
      <w:rFonts w:ascii="Calibri" w:hAnsi="Calibri" w:eastAsia="宋体"/>
      <w:szCs w:val="20"/>
    </w:rPr>
  </w:style>
  <w:style w:type="paragraph" w:customStyle="1" w:styleId="54">
    <w:name w:val="Ｒ07-正!!文"/>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2ED83-26AA-4E65-B141-EB370BBE785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3530</Words>
  <Characters>3589</Characters>
  <Lines>229</Lines>
  <Paragraphs>64</Paragraphs>
  <TotalTime>1</TotalTime>
  <ScaleCrop>false</ScaleCrop>
  <LinksUpToDate>false</LinksUpToDate>
  <CharactersWithSpaces>3604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2019-10-21T09:39:00Z</dcterms:created>
  <dc:creator>User</dc:creator>
  <cp:lastModifiedBy>中正-李工</cp:lastModifiedBy>
  <cp:lastPrinted>2020-05-21T02:27:00Z</cp:lastPrinted>
  <dcterms:modified xsi:type="dcterms:W3CDTF">2025-08-20T01:26:18Z</dcterms:modified>
  <cp:revision>1664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B946BEF99C8F409FBFCFBF89E6EAF5A4</vt:lpwstr>
  </property>
  <property fmtid="{D5CDD505-2E9C-101B-9397-08002B2CF9AE}" pid="4" name="KSOTemplateDocerSaveRecord">
    <vt:lpwstr>eyJoZGlkIjoiMzNiN2JjZGQwODQzNTVmMDg4ZGNmNzRhYmJlZDY2YTUiLCJ1c2VySWQiOiI0NjMwNjU1NzcifQ==</vt:lpwstr>
  </property>
</Properties>
</file>