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825"/>
        <w:gridCol w:w="975"/>
        <w:gridCol w:w="975"/>
        <w:gridCol w:w="2160"/>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2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lang w:val="en-US" w:eastAsia="zh-CN"/>
              </w:rPr>
              <w:t>采购</w:t>
            </w:r>
            <w:r>
              <w:rPr>
                <w:rFonts w:hint="eastAsia" w:ascii="宋体" w:hAnsi="宋体" w:eastAsia="宋体" w:cs="宋体"/>
                <w:b/>
                <w:color w:val="auto"/>
                <w:sz w:val="22"/>
              </w:rPr>
              <w:t>内容</w:t>
            </w:r>
          </w:p>
        </w:tc>
        <w:tc>
          <w:tcPr>
            <w:tcW w:w="97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7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16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2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数字化病理切片扫描服务</w:t>
            </w:r>
          </w:p>
        </w:tc>
        <w:tc>
          <w:tcPr>
            <w:tcW w:w="97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项</w:t>
            </w:r>
          </w:p>
        </w:tc>
        <w:tc>
          <w:tcPr>
            <w:tcW w:w="97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16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000.00</w:t>
            </w:r>
          </w:p>
        </w:tc>
      </w:tr>
    </w:tbl>
    <w:p w14:paraId="6FCB4A35">
      <w:pPr>
        <w:pStyle w:val="8"/>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EE703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二、项目背景</w:t>
      </w:r>
    </w:p>
    <w:p w14:paraId="2DDB3D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数字化病理技术是医学研究不可或缺的基础，同时对临床诊断和工作流程都有积极的影响，可以提高工作效率、准确性和患者的诊断体验。切片扫描是数字病理的基础，耗费大量人力和时间，包含玻片收集、清洁处理、扫描、验证、信息录入、归档等操作。每年预计需要扫描10万张切片。当前人力资源无法覆盖这一工作，申请采购服务。</w:t>
      </w:r>
    </w:p>
    <w:p w14:paraId="4628C76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三、技术要求</w:t>
      </w:r>
    </w:p>
    <w:p w14:paraId="568A29C3">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一</w:t>
      </w:r>
      <w:r>
        <w:rPr>
          <w:rFonts w:hint="eastAsia" w:ascii="宋体" w:hAnsi="宋体" w:eastAsia="宋体" w:cs="宋体"/>
          <w:b/>
          <w:bCs/>
          <w:szCs w:val="21"/>
          <w:lang w:eastAsia="zh-CN"/>
        </w:rPr>
        <w:t>）</w:t>
      </w:r>
      <w:r>
        <w:rPr>
          <w:rFonts w:hint="eastAsia" w:ascii="宋体" w:hAnsi="宋体" w:eastAsia="宋体" w:cs="宋体"/>
          <w:b/>
          <w:bCs/>
          <w:szCs w:val="21"/>
        </w:rPr>
        <w:t>服务内容</w:t>
      </w:r>
      <w:r>
        <w:rPr>
          <w:rFonts w:hint="eastAsia" w:ascii="宋体" w:hAnsi="宋体" w:eastAsia="宋体" w:cs="宋体"/>
          <w:b/>
          <w:bCs/>
          <w:szCs w:val="21"/>
          <w:lang w:eastAsia="zh-CN"/>
        </w:rPr>
        <w:t>：</w:t>
      </w:r>
    </w:p>
    <w:p w14:paraId="3EE8634C">
      <w:pPr>
        <w:pStyle w:val="30"/>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为推进采购人病理科数字化建设，现计划采购一整套数字病理全流程解决方案。该方案需包括：数字病理管理平台系统、配套的存储服务器硬件及运维服务、驻场技术支持以及专业病理扫描设备，以实现病理切片数字化扫描、上传、管理的全流程覆盖，全面提升科室工作效率与管理水平。</w:t>
      </w:r>
    </w:p>
    <w:p w14:paraId="5FC52050">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w:t>
      </w:r>
      <w:r>
        <w:rPr>
          <w:rFonts w:hint="eastAsia" w:ascii="宋体" w:hAnsi="宋体" w:eastAsia="宋体" w:cs="宋体"/>
          <w:b/>
          <w:bCs/>
          <w:szCs w:val="21"/>
        </w:rPr>
        <w:t>服务方式</w:t>
      </w:r>
      <w:r>
        <w:rPr>
          <w:rFonts w:hint="eastAsia" w:ascii="宋体" w:hAnsi="宋体" w:eastAsia="宋体" w:cs="宋体"/>
          <w:b/>
          <w:bCs/>
          <w:szCs w:val="21"/>
          <w:lang w:eastAsia="zh-CN"/>
        </w:rPr>
        <w:t>：</w:t>
      </w:r>
    </w:p>
    <w:p w14:paraId="36AD5BDB">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1</w:t>
      </w:r>
      <w:r>
        <w:rPr>
          <w:rFonts w:hint="eastAsia" w:ascii="宋体" w:hAnsi="宋体" w:eastAsia="宋体" w:cs="宋体"/>
          <w:b w:val="0"/>
          <w:bCs w:val="0"/>
          <w:szCs w:val="21"/>
        </w:rPr>
        <w:t>）病理切片数字化服务：</w:t>
      </w:r>
    </w:p>
    <w:p w14:paraId="1AAD6DC1">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1、扫描服务场地：由采购人提供；</w:t>
      </w:r>
    </w:p>
    <w:p w14:paraId="11DA375E">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2、对采购人病理切片玻片进行数字化服务。</w:t>
      </w:r>
    </w:p>
    <w:p w14:paraId="186C6B58">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3、</w:t>
      </w:r>
      <w:r>
        <w:rPr>
          <w:rFonts w:hint="eastAsia" w:ascii="宋体" w:hAnsi="宋体" w:eastAsia="宋体" w:cs="宋体"/>
          <w:b w:val="0"/>
          <w:bCs w:val="0"/>
        </w:rPr>
        <w:t>项目服务期内，中标人应提供不少于两台数字玻片扫描仪，以提供切片数字服务支持。中标人提供的数字玻片扫描仪需满足扫描的基本要求，项目服务结束后由中标人收回该设备</w:t>
      </w:r>
      <w:r>
        <w:rPr>
          <w:rFonts w:hint="eastAsia" w:ascii="宋体" w:hAnsi="宋体" w:eastAsia="宋体" w:cs="宋体"/>
          <w:b w:val="0"/>
          <w:bCs w:val="0"/>
          <w:szCs w:val="21"/>
        </w:rPr>
        <w:t>；</w:t>
      </w:r>
    </w:p>
    <w:p w14:paraId="36F2652C">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4、</w:t>
      </w:r>
      <w:r>
        <w:rPr>
          <w:rFonts w:hint="eastAsia" w:ascii="宋体" w:hAnsi="宋体" w:eastAsia="宋体" w:cs="宋体"/>
          <w:b w:val="0"/>
          <w:bCs w:val="0"/>
        </w:rPr>
        <w:t>中</w:t>
      </w:r>
      <w:r>
        <w:rPr>
          <w:rFonts w:hint="eastAsia" w:ascii="宋体" w:hAnsi="宋体" w:eastAsia="宋体" w:cs="宋体"/>
          <w:b w:val="0"/>
          <w:bCs w:val="0"/>
          <w:szCs w:val="21"/>
        </w:rPr>
        <w:t>标人需配备1名驻院技术员开展扫片、存片服务，每天工作时间不小于8小时。</w:t>
      </w:r>
      <w:r>
        <w:rPr>
          <w:rFonts w:hint="eastAsia" w:ascii="宋体" w:hAnsi="宋体" w:eastAsia="宋体" w:cs="宋体"/>
          <w:b w:val="0"/>
          <w:bCs w:val="0"/>
        </w:rPr>
        <w:t>技术员应具备病理技术基础知识，熟知病理科的工作安全规范，通过相关设备厂商的仪器使用培训考试。技术员与采购人签订保密安全承诺书。</w:t>
      </w:r>
    </w:p>
    <w:p w14:paraId="40CD1B17">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5、将数字化后的切片归档并做好管理。</w:t>
      </w:r>
    </w:p>
    <w:p w14:paraId="7CAE5131">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6、数字切片要求：拼接无重叠或间隙误差&lt;1%；全视野亮度差异≤5%；核膜边缘锐利（归一化Tenengrad梯度值≥0.3）；色差ΔE&lt;10（基于CIELab色空间，对比标准色卡）。</w:t>
      </w:r>
    </w:p>
    <w:p w14:paraId="7BCF99CF">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7、项目相关费用：本项目仅需服务费，无专用耗材等费用。</w:t>
      </w:r>
    </w:p>
    <w:p w14:paraId="73D0C967">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8、片量要求：在服务时间内，扫描片量至少须达到10万张。</w:t>
      </w:r>
    </w:p>
    <w:p w14:paraId="4AC761D7">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rPr>
        <w:t>）数字化服务配套软件系统</w:t>
      </w:r>
    </w:p>
    <w:p w14:paraId="16B1E49A">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1、★</w:t>
      </w:r>
      <w:r>
        <w:rPr>
          <w:rFonts w:hint="eastAsia" w:ascii="宋体" w:hAnsi="宋体" w:eastAsia="宋体" w:cs="宋体"/>
          <w:b w:val="0"/>
          <w:bCs w:val="0"/>
        </w:rPr>
        <w:t>中</w:t>
      </w:r>
      <w:r>
        <w:rPr>
          <w:rFonts w:hint="eastAsia" w:ascii="宋体" w:hAnsi="宋体" w:eastAsia="宋体" w:cs="宋体"/>
          <w:b w:val="0"/>
          <w:bCs w:val="0"/>
          <w:szCs w:val="21"/>
        </w:rPr>
        <w:t>标人需提供病理全科数字化服务软件，以满足数字切片的阅片、诊断和院内切片图像的交流；</w:t>
      </w:r>
    </w:p>
    <w:p w14:paraId="0FA2893C">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rPr>
        <w:t>中标人应与院内信息系统进行对接，如涉及到相关费用，由中标人承担。</w:t>
      </w:r>
    </w:p>
    <w:p w14:paraId="3FDF00D9">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）数字化服务配套硬件</w:t>
      </w:r>
    </w:p>
    <w:p w14:paraId="4B7C94D1">
      <w:pPr>
        <w:pStyle w:val="30"/>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★中标人需提供一套存储服务器，以满足院内院外数字切片的日常交流和数字图像的存储管理，该存储服务器最终归属于采购人所有。</w:t>
      </w:r>
    </w:p>
    <w:p w14:paraId="46351C93">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三</w:t>
      </w:r>
      <w:r>
        <w:rPr>
          <w:rFonts w:hint="eastAsia" w:ascii="宋体" w:hAnsi="宋体" w:eastAsia="宋体" w:cs="宋体"/>
          <w:b/>
          <w:bCs/>
          <w:szCs w:val="21"/>
          <w:lang w:eastAsia="zh-CN"/>
        </w:rPr>
        <w:t>）</w:t>
      </w:r>
      <w:r>
        <w:rPr>
          <w:rFonts w:hint="eastAsia" w:ascii="宋体" w:hAnsi="宋体" w:eastAsia="宋体" w:cs="宋体"/>
          <w:b/>
          <w:bCs/>
          <w:szCs w:val="21"/>
        </w:rPr>
        <w:t>提交成果</w:t>
      </w:r>
      <w:r>
        <w:rPr>
          <w:rFonts w:hint="eastAsia" w:ascii="宋体" w:hAnsi="宋体" w:eastAsia="宋体" w:cs="宋体"/>
          <w:b/>
          <w:bCs/>
          <w:szCs w:val="21"/>
          <w:lang w:eastAsia="zh-CN"/>
        </w:rPr>
        <w:t>：</w:t>
      </w:r>
    </w:p>
    <w:p w14:paraId="42213328">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★高品质数字切片，存储于本次项目自带的存储设备中，并可在数字病理管理平台上调用扫描的切片。</w:t>
      </w:r>
    </w:p>
    <w:p w14:paraId="240F570C">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四</w:t>
      </w:r>
      <w:r>
        <w:rPr>
          <w:rFonts w:hint="eastAsia" w:ascii="宋体" w:hAnsi="宋体" w:eastAsia="宋体" w:cs="宋体"/>
          <w:b/>
          <w:bCs/>
          <w:szCs w:val="21"/>
          <w:lang w:eastAsia="zh-CN"/>
        </w:rPr>
        <w:t>）</w:t>
      </w:r>
      <w:r>
        <w:rPr>
          <w:rFonts w:hint="eastAsia" w:ascii="宋体" w:hAnsi="宋体" w:eastAsia="宋体" w:cs="宋体"/>
          <w:b/>
          <w:bCs/>
          <w:szCs w:val="21"/>
        </w:rPr>
        <w:t>项目拟使用设备要求</w:t>
      </w:r>
      <w:r>
        <w:rPr>
          <w:rFonts w:hint="eastAsia" w:ascii="宋体" w:hAnsi="宋体" w:eastAsia="宋体" w:cs="宋体"/>
          <w:b/>
          <w:bCs/>
          <w:szCs w:val="21"/>
          <w:lang w:eastAsia="zh-CN"/>
        </w:rPr>
        <w:t>：</w:t>
      </w:r>
    </w:p>
    <w:p w14:paraId="720A27FF">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本次服务项目中的设备需满足国产品牌要求，支持在数据安全全生命周期（即数据采集、存储、处理、传输、交换和销毁）中对应用系统进行安全建设、维护、更新。依据网络与信息安全“同步规划，同步建设，同步运行” 的三同步要求，在系统设计时依据医疗卫生行业标准结合项目实际加入安全防护，包括但不限于信息安全、安全审计、容灾备份、安全基线配置等。配合采购人积极完成应用系统信息及数据安全改造。积极配合医院信息科完成各项安全检查工作和漏洞修复工作。每年对业务系统进行一次风险评估和应急演练，出具风险评估报告和应急演练报告提交医院信息科审查留存。</w:t>
      </w:r>
    </w:p>
    <w:p w14:paraId="5A7AFD24">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五</w:t>
      </w:r>
      <w:r>
        <w:rPr>
          <w:rFonts w:hint="eastAsia" w:ascii="宋体" w:hAnsi="宋体" w:eastAsia="宋体" w:cs="宋体"/>
          <w:b/>
          <w:bCs/>
          <w:szCs w:val="21"/>
          <w:lang w:eastAsia="zh-CN"/>
        </w:rPr>
        <w:t>）</w:t>
      </w:r>
      <w:r>
        <w:rPr>
          <w:rFonts w:hint="eastAsia" w:ascii="宋体" w:hAnsi="宋体" w:eastAsia="宋体" w:cs="宋体"/>
          <w:b/>
          <w:bCs/>
          <w:szCs w:val="21"/>
        </w:rPr>
        <w:t>验收要求</w:t>
      </w:r>
      <w:r>
        <w:rPr>
          <w:rFonts w:hint="eastAsia" w:ascii="宋体" w:hAnsi="宋体" w:eastAsia="宋体" w:cs="宋体"/>
          <w:b/>
          <w:bCs/>
          <w:szCs w:val="21"/>
          <w:lang w:eastAsia="zh-CN"/>
        </w:rPr>
        <w:t>：</w:t>
      </w:r>
    </w:p>
    <w:p w14:paraId="5C4237A3">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数字玻片扫描仪和存储设备在合同要求期限内到货，同时在科室指定的场地进行安装，并能稳定运行，仪器性能指标要求按照投标文件核查无误；数字病理管理平台在合同要求期限内部署完成，同时在连接好PIS或HIS系统，打通医院内网，功能指标要求按照投标文件核查无误。操作人员在合同指定时间内到科室报道，并提交相关材料证明文件，同时正式开展工作，由科室签署相关合格验收文件。</w:t>
      </w:r>
    </w:p>
    <w:p w14:paraId="383F76E1">
      <w:pPr>
        <w:pStyle w:val="3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Cs w:val="21"/>
          <w:lang w:eastAsia="zh-CN"/>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六</w:t>
      </w:r>
      <w:r>
        <w:rPr>
          <w:rFonts w:hint="eastAsia" w:ascii="宋体" w:hAnsi="宋体" w:eastAsia="宋体" w:cs="宋体"/>
          <w:b/>
          <w:bCs/>
          <w:szCs w:val="21"/>
          <w:lang w:eastAsia="zh-CN"/>
        </w:rPr>
        <w:t>）</w:t>
      </w:r>
      <w:r>
        <w:rPr>
          <w:rFonts w:hint="eastAsia" w:ascii="宋体" w:hAnsi="宋体" w:eastAsia="宋体" w:cs="宋体"/>
          <w:b/>
          <w:bCs/>
          <w:szCs w:val="21"/>
        </w:rPr>
        <w:t>服务配置要求</w:t>
      </w:r>
      <w:r>
        <w:rPr>
          <w:rFonts w:hint="eastAsia" w:ascii="宋体" w:hAnsi="宋体" w:eastAsia="宋体" w:cs="宋体"/>
          <w:b/>
          <w:bCs/>
          <w:szCs w:val="21"/>
          <w:lang w:eastAsia="zh-CN"/>
        </w:rPr>
        <w:t>：</w:t>
      </w:r>
    </w:p>
    <w:p w14:paraId="0E2ABD23">
      <w:pPr>
        <w:pStyle w:val="3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rPr>
        <w:t>（</w:t>
      </w:r>
      <w:r>
        <w:rPr>
          <w:rFonts w:hint="eastAsia" w:ascii="宋体" w:hAnsi="宋体" w:eastAsia="宋体" w:cs="宋体"/>
          <w:b w:val="0"/>
          <w:bCs w:val="0"/>
          <w:kern w:val="0"/>
          <w:szCs w:val="21"/>
          <w:lang w:val="en-US" w:eastAsia="zh-CN"/>
        </w:rPr>
        <w:t>1</w:t>
      </w:r>
      <w:r>
        <w:rPr>
          <w:rFonts w:hint="eastAsia" w:ascii="宋体" w:hAnsi="宋体" w:eastAsia="宋体" w:cs="宋体"/>
          <w:b w:val="0"/>
          <w:bCs w:val="0"/>
          <w:kern w:val="0"/>
          <w:szCs w:val="21"/>
        </w:rPr>
        <w:t>）数字玻片扫描仪：</w:t>
      </w:r>
    </w:p>
    <w:p w14:paraId="5CEB523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1.▲成像设备：大靶面面阵CMOS，像素≥2500万，帧率≥140帧/秒，支持40G以太网光纤接口。（投标文件中须提供所投产品使用相机型号、官方参数数据表）</w:t>
      </w:r>
    </w:p>
    <w:p w14:paraId="0EF8DB0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2.光源：采用高速频闪光源，而非普通的常亮LED光源，保证在高速扫描时提供足够的光通量，同时避免样本褪色和熔化。（投标文件中须提供第三方检测机构出具的光源灯板的检验报告）</w:t>
      </w:r>
    </w:p>
    <w:p w14:paraId="411BFB5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3.★产品具备二类医疗器械注册证书（投标文件中须提供所投产品的二类医疗器械注册证书）。</w:t>
      </w:r>
    </w:p>
    <w:p w14:paraId="4772DD2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4.▲细对焦重复定位精度≦10nm，20μm阶跃定位时间≦40ms。（投标文件中须提供由获得CMA第三方检测机构出具的检验报告，并标明对应参数）</w:t>
      </w:r>
    </w:p>
    <w:p w14:paraId="3B8A5534">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5.▲系统成像速度：20 倍物镜下扫描速度≥8.00cm²/min，40 倍物镜下扫描速度≥3.30cm²/min。（15mm*15mm组织面积下换算速度：20倍物镜下扫描时间≦18s，40倍物镜下扫描时间≦42s。）（投标文件中须提供医疗器械注册证附件“产品技术要求”，并标明对应参数）</w:t>
      </w:r>
    </w:p>
    <w:p w14:paraId="594E6B7D">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6.▲扫描分辨率：20倍物镜下扫描分辨率≦0.24μm/pixel；40倍物镜下扫描分辨率≦0.11μm /pixel。（投标文件中须提供医疗器械注册证附件“产品技术要求”，并标明对应参数）</w:t>
      </w:r>
    </w:p>
    <w:p w14:paraId="08F211CA">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7.★全自动一键式扫描，无人值守，单次可加载切片数≥500张。（投标文件中须提供医疗器械注册证附件“产品技术要求”，并标明对应参数）</w:t>
      </w:r>
    </w:p>
    <w:p w14:paraId="2509292D">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8.▲系统同时搭载两个真实物镜，20X物镜数值孔径≥0.80NA ；40X物镜数值孔径≥0.95NA，可以软件自由切换两种物镜，无需手动切换。（投标文件中须提供仪器内部照片及物镜照片证明）</w:t>
      </w:r>
    </w:p>
    <w:p w14:paraId="52E41585">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9.扫描工作站：i7</w:t>
      </w:r>
      <w:r>
        <w:rPr>
          <w:rFonts w:hint="eastAsia" w:ascii="宋体" w:hAnsi="宋体" w:eastAsia="宋体" w:cs="宋体"/>
          <w:b w:val="0"/>
          <w:bCs w:val="0"/>
        </w:rPr>
        <w:t>或以上</w:t>
      </w:r>
      <w:r>
        <w:rPr>
          <w:rFonts w:hint="eastAsia" w:ascii="宋体" w:hAnsi="宋体" w:eastAsia="宋体" w:cs="宋体"/>
          <w:b w:val="0"/>
          <w:bCs w:val="0"/>
          <w:szCs w:val="21"/>
        </w:rPr>
        <w:t>处理器；硬盘≥4TB；内存≥64G；显示器≥23.8英寸。</w:t>
      </w:r>
    </w:p>
    <w:p w14:paraId="2931F88E">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10.全封闭一体化设计（非显微镜加装电动平台结构），防尘、防潮及防干扰光。（投标文件中须提供仪器外部照片证明）</w:t>
      </w:r>
    </w:p>
    <w:p w14:paraId="2F399DF7">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szCs w:val="21"/>
        </w:rPr>
      </w:pPr>
      <w:r>
        <w:rPr>
          <w:rFonts w:hint="eastAsia" w:ascii="宋体" w:hAnsi="宋体" w:eastAsia="宋体" w:cs="宋体"/>
          <w:b w:val="0"/>
          <w:bCs w:val="0"/>
          <w:szCs w:val="21"/>
        </w:rPr>
        <w:t>11.▲双工位：扫描时下一张待扫玻片进入等待区准备，提高扫描效率。（投标文件中须提供仪器内部照片证明）</w:t>
      </w:r>
    </w:p>
    <w:p w14:paraId="3F2D931F">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12.独立异常处理仓结构具备切片保护功能，在大批量切片扫描时，因切片原因发生卡片等故障可以自动将切片退出到指定位置，继续下一张切片扫描，不影响整体扫描进程，不损坏切片。（投标文件中须提供仪器内部照片证明）</w:t>
      </w:r>
    </w:p>
    <w:p w14:paraId="5CB51373">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kern w:val="0"/>
          <w:szCs w:val="21"/>
        </w:rPr>
      </w:pP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rPr>
        <w:t>）</w:t>
      </w:r>
      <w:r>
        <w:rPr>
          <w:rFonts w:hint="eastAsia" w:ascii="宋体" w:hAnsi="宋体" w:eastAsia="宋体" w:cs="宋体"/>
          <w:b w:val="0"/>
          <w:bCs w:val="0"/>
          <w:kern w:val="0"/>
          <w:szCs w:val="21"/>
        </w:rPr>
        <w:t>显微影像智能化平台：</w:t>
      </w:r>
    </w:p>
    <w:p w14:paraId="1B6A158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1.支持2种及以上标注方式快速对切片标注；</w:t>
      </w:r>
    </w:p>
    <w:p w14:paraId="7540043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2.支持对标注进行分组管理；</w:t>
      </w:r>
    </w:p>
    <w:p w14:paraId="4E2E84B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3.支持自定义截图，截图时默认会截取当前观测倍率下整个屏幕视野的切片，并且会包括比例尺和标注信息等；</w:t>
      </w:r>
    </w:p>
    <w:p w14:paraId="58AF5F90">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4.支持快捷键进行放大缩小等操作；</w:t>
      </w:r>
    </w:p>
    <w:p w14:paraId="0CF12652">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5.支持svs、dcm、csp等多种图片格式（提供软件截图证明）；</w:t>
      </w:r>
    </w:p>
    <w:p w14:paraId="3356A3DA">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6.支持按切片标签类型进行模糊搜索；</w:t>
      </w:r>
    </w:p>
    <w:p w14:paraId="42CC7BA8">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7.角色管理：支持分配用户角色以及访问目录权限；</w:t>
      </w:r>
    </w:p>
    <w:p w14:paraId="7457B79F">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8.操作日志：支持详细记录用户访问和操作行为的日志功能；</w:t>
      </w:r>
    </w:p>
    <w:p w14:paraId="102C02AB">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9.全科监控：支持实时监测显示存储池状态及用量；</w:t>
      </w:r>
    </w:p>
    <w:p w14:paraId="1E460F60">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10.支持对常规病例进行编辑和管理，并可查看一个病例下的所有切片及做出诊断；</w:t>
      </w:r>
    </w:p>
    <w:p w14:paraId="4C184F4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11.系统集成：支持http协议对接院内数字病理信息系统、临床系统等，打通医院内网数字病理阅片，使内网数字病理切片库数据相通；</w:t>
      </w:r>
    </w:p>
    <w:p w14:paraId="77D58E2D">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12.▲架构：系统为纯B/S架构，方便后期维护和升级，为浏览器登录方式，管理者可以随时随地多点登录系统了解相关信息（提供软件截图证明）；</w:t>
      </w:r>
    </w:p>
    <w:p w14:paraId="20CC99F3">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13.支持对院内数字病理切片库分类管理；</w:t>
      </w:r>
    </w:p>
    <w:p w14:paraId="7F478D55">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14.支持自定义组织结构和自定义分配用户存储空间；</w:t>
      </w:r>
    </w:p>
    <w:p w14:paraId="59C2D590">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15.信息自动关联：系统能够根据切片号、病历号等自动绑定患者信息。</w:t>
      </w:r>
    </w:p>
    <w:p w14:paraId="20D21B5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kern w:val="0"/>
          <w:szCs w:val="21"/>
        </w:rPr>
      </w:pP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w:t>
      </w:r>
      <w:r>
        <w:rPr>
          <w:rFonts w:hint="eastAsia" w:ascii="宋体" w:hAnsi="宋体" w:eastAsia="宋体" w:cs="宋体"/>
          <w:b w:val="0"/>
          <w:bCs w:val="0"/>
          <w:kern w:val="0"/>
          <w:szCs w:val="21"/>
        </w:rPr>
        <w:t>存储服务器要求：</w:t>
      </w:r>
    </w:p>
    <w:p w14:paraId="7EF8E03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bookmarkStart w:id="0" w:name="OLE_LINK13"/>
      <w:r>
        <w:rPr>
          <w:rFonts w:hint="eastAsia" w:ascii="宋体" w:hAnsi="宋体" w:eastAsia="宋体" w:cs="宋体"/>
          <w:b w:val="0"/>
          <w:bCs w:val="0"/>
          <w:szCs w:val="21"/>
        </w:rPr>
        <w:t>1.2U机架式服务器；</w:t>
      </w:r>
    </w:p>
    <w:p w14:paraId="4774A23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2.处理器：配置≥2颗处理器，要求单颗CPU内核数≥12，主频≥2.1GHz；</w:t>
      </w:r>
    </w:p>
    <w:p w14:paraId="07A86B8F">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3.内存：配置≥64GB DDR4 3200MHz内存，制造商具备内存ECC功能测试方法技术，要求提供国家知识产权局或国家版权局颁发的证书作为证明材料；</w:t>
      </w:r>
    </w:p>
    <w:p w14:paraId="2680EE00">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4.▲硬盘：配置≥3.5inch 16TB 7.2K Enterprise SATA 6Gbps Hot Swap Hard Drive*8硬盘（非SNR叠瓦式硬盘），实际可用容量≥100TB；</w:t>
      </w:r>
    </w:p>
    <w:p w14:paraId="405C4C3E">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5.RAID卡：配置≥1 RAID卡，支持RAID 0/1/1E/10/5/50/6/60，提供RAID Cache，支持超级电容掉电数据保护，当服务器系统硬盘做RAID5</w:t>
      </w:r>
      <w:bookmarkEnd w:id="0"/>
      <w:r>
        <w:rPr>
          <w:rFonts w:hint="eastAsia" w:ascii="宋体" w:hAnsi="宋体" w:eastAsia="宋体" w:cs="宋体"/>
          <w:b w:val="0"/>
          <w:bCs w:val="0"/>
          <w:szCs w:val="21"/>
        </w:rPr>
        <w:t>后发生故障，制造商具有加快RAID5组硬盘中的数据恢复的相应技术，提供国家知识产权局或国家版权局颁发的证书作为证明材料；</w:t>
      </w:r>
    </w:p>
    <w:p w14:paraId="12B30932">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6.I/O扩展：配置≥4个千兆网口，2个万兆网口（含两个万兆光模块），支持≥4个双宽GPU或8个单宽GPU，提供官网截图证明；</w:t>
      </w:r>
    </w:p>
    <w:p w14:paraId="2D78375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7.电源：配置≥800 W冗余电源（带电源线）；</w:t>
      </w:r>
    </w:p>
    <w:p w14:paraId="43049B39">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 xml:space="preserve">8.管理特性：配置原厂服务器管理软件授权，支持通过IPMI、SNMP或Redfish等协议进行主动轮询以监控设备节点的硬件状态，获取设备节点相关信息； </w:t>
      </w:r>
    </w:p>
    <w:p w14:paraId="69E466AC">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szCs w:val="21"/>
        </w:rPr>
      </w:pPr>
      <w:r>
        <w:rPr>
          <w:rFonts w:hint="eastAsia" w:ascii="宋体" w:hAnsi="宋体" w:eastAsia="宋体" w:cs="宋体"/>
          <w:b w:val="0"/>
          <w:bCs w:val="0"/>
          <w:szCs w:val="21"/>
        </w:rPr>
        <w:t xml:space="preserve">9.▲安全可信：为确保服务器生产过程信息安全，制造商需提供信息安全承诺函并加盖公章； </w:t>
      </w:r>
    </w:p>
    <w:p w14:paraId="5D71E6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szCs w:val="21"/>
        </w:rPr>
        <w:t>10.▲性能领先：所投产品SPEC Jbb2015性能测试值SPEC基准测试≥25万，提供所投服务器型号在SPEC官方网站的测试报告查询链接与截图证明</w:t>
      </w:r>
      <w:r>
        <w:rPr>
          <w:rFonts w:hint="eastAsia" w:ascii="宋体" w:hAnsi="宋体" w:eastAsia="宋体" w:cs="宋体"/>
          <w:b w:val="0"/>
          <w:bCs w:val="0"/>
          <w:szCs w:val="21"/>
          <w:lang w:eastAsia="zh-CN"/>
        </w:rPr>
        <w:t>。</w:t>
      </w:r>
    </w:p>
    <w:p w14:paraId="6B8F988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、商务需求</w:t>
      </w:r>
    </w:p>
    <w:p w14:paraId="7A4D6EF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一</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报价要求</w:t>
      </w:r>
      <w:r>
        <w:rPr>
          <w:rFonts w:hint="eastAsia" w:ascii="宋体" w:hAnsi="宋体" w:cs="宋体"/>
          <w:b/>
          <w:bCs w:val="0"/>
          <w:color w:val="auto"/>
          <w:sz w:val="21"/>
          <w:szCs w:val="21"/>
          <w:lang w:eastAsia="zh-CN"/>
        </w:rPr>
        <w:t>：</w:t>
      </w:r>
    </w:p>
    <w:p w14:paraId="1DD6112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A5D9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11B4D0E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DD30C6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4、投标人应充分了解项目的位置、情况、道路及任何其它足以影响投标报价的情况，任何因忽视或误解项目情况而导致的索赔或服务期限延长申请将不获批准。</w:t>
      </w:r>
    </w:p>
    <w:p w14:paraId="7A2AF4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6117AE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069B26E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二</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支付要求</w:t>
      </w:r>
      <w:r>
        <w:rPr>
          <w:rFonts w:hint="eastAsia" w:ascii="宋体" w:hAnsi="宋体" w:cs="宋体"/>
          <w:b/>
          <w:bCs w:val="0"/>
          <w:color w:val="auto"/>
          <w:sz w:val="21"/>
          <w:szCs w:val="21"/>
          <w:lang w:eastAsia="zh-CN"/>
        </w:rPr>
        <w:t>：</w:t>
      </w:r>
    </w:p>
    <w:p w14:paraId="0E55AE1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1、签订合同后，中标人须向采购人支付合同总金额的10%（如中小企业中标则5%）作为履约保证金转入采购人指定账户并提供转账凭证。采购人凭履约保证金凭证向中标人支付合同 30%  的款项。项目验收通过后（设备系统安装完毕且驻点人员报到完成），10个工作日内采购人凭中标人提供的发票向中标人支付合同 70%  的款项。</w:t>
      </w:r>
    </w:p>
    <w:p w14:paraId="1956FF1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2、履约保证金由采购人根据采购合同约定，待中标人履行完合同约定权利义务事项后退还。</w:t>
      </w:r>
    </w:p>
    <w:p w14:paraId="505E24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3、每次按合同支付款项前，中标人应向采购人提供与支付金额相符的有效发票，且收款方、出具发票方、合同乙方均必须与中标人名称一致；</w:t>
      </w:r>
    </w:p>
    <w:p w14:paraId="708D780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4、违约责任：采购人逾期支付合同款项的，除应当支付合同款项外，还应当每日按合同总价的3‰向中标人偿付违约金，但因中标人自身原因导致无法及时支付的除外。</w:t>
      </w:r>
    </w:p>
    <w:p w14:paraId="260FE4E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三</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合同服务期限</w:t>
      </w:r>
      <w:r>
        <w:rPr>
          <w:rFonts w:hint="eastAsia" w:ascii="宋体" w:hAnsi="宋体" w:cs="宋体"/>
          <w:b/>
          <w:bCs w:val="0"/>
          <w:color w:val="auto"/>
          <w:sz w:val="21"/>
          <w:szCs w:val="21"/>
          <w:lang w:eastAsia="zh-CN"/>
        </w:rPr>
        <w:t>：</w:t>
      </w:r>
    </w:p>
    <w:p w14:paraId="634AF4F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1、项目服务期限：本项目服务期自合同签订之日起 1 年。</w:t>
      </w:r>
    </w:p>
    <w:p w14:paraId="02B186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2、本项目为长期服务项目，政府采购合同一年一签，履行期限最长不得超过三十六个月。如甲方对履约情况不满意，甲方不再续约。</w:t>
      </w:r>
    </w:p>
    <w:p w14:paraId="7953E7E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3、售后服务期限：项目完成由采购人验收通过后进入售后服务期1年，中标人要在售后服务期限内提供相关咨询、协调和项目审查等技术支持。</w:t>
      </w:r>
    </w:p>
    <w:p w14:paraId="423C888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四</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保密要求</w:t>
      </w:r>
      <w:r>
        <w:rPr>
          <w:rFonts w:hint="eastAsia" w:ascii="宋体" w:hAnsi="宋体" w:cs="宋体"/>
          <w:b/>
          <w:bCs w:val="0"/>
          <w:color w:val="auto"/>
          <w:sz w:val="21"/>
          <w:szCs w:val="21"/>
          <w:lang w:eastAsia="zh-CN"/>
        </w:rPr>
        <w:t>：</w:t>
      </w:r>
    </w:p>
    <w:p w14:paraId="76F870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6E1BF51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五</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★违约责任</w:t>
      </w:r>
      <w:r>
        <w:rPr>
          <w:rFonts w:hint="eastAsia" w:ascii="宋体" w:hAnsi="宋体" w:cs="宋体"/>
          <w:b/>
          <w:bCs w:val="0"/>
          <w:color w:val="auto"/>
          <w:sz w:val="21"/>
          <w:szCs w:val="21"/>
          <w:lang w:eastAsia="zh-CN"/>
        </w:rPr>
        <w:t>：</w:t>
      </w:r>
    </w:p>
    <w:p w14:paraId="20D115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1、因中标人原因，未能按规定时间完成有关工作的，每延误一天，采购人可在支付合同余款中扣除合同价款千分之一，延误超过15天，采购人有权解除合同，中标人应当向采购人支付采购合同总价款20%的违约金；</w:t>
      </w:r>
    </w:p>
    <w:p w14:paraId="6645A68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0DB469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3、如中标人违反保密义务或提供的项目服务或项目成果侵犯第三方知识产权的，采购人有权解除合同，中标人应当返还采购人已支付款项并向采购人支付采购合同总价款20%的违约金；</w:t>
      </w:r>
    </w:p>
    <w:p w14:paraId="568E6C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4、未经采购人同意，中标人不得将项目转包或分包给其他第三方，如若违反，采购人有权解除合同，中标人应当返还采购人已支付的款项并向采购人支付采购合同总价款20%的违约金。</w:t>
      </w:r>
    </w:p>
    <w:p w14:paraId="5E226B0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六</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合同的变更</w:t>
      </w:r>
      <w:r>
        <w:rPr>
          <w:rFonts w:hint="eastAsia" w:ascii="宋体" w:hAnsi="宋体" w:cs="宋体"/>
          <w:b/>
          <w:bCs w:val="0"/>
          <w:color w:val="auto"/>
          <w:sz w:val="21"/>
          <w:szCs w:val="21"/>
          <w:lang w:eastAsia="zh-CN"/>
        </w:rPr>
        <w:t>：</w:t>
      </w:r>
    </w:p>
    <w:p w14:paraId="117FD7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1、在合同履行过程中，采购人、中标人双方可就合同履行的时间、地点和方式等协商进行变更。协商一致后，双方应签订书面的补充协议。</w:t>
      </w:r>
    </w:p>
    <w:p w14:paraId="3469BC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2、在不改变合同其他条款的前提下，采购人有权在合同价款改变正负百分之十的范围内追加或减少与合同标的相同的货物或服务，并就此与中标人签订补充合同，中标人不得拒绝。</w:t>
      </w:r>
    </w:p>
    <w:p w14:paraId="1DD28C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3、除了双方签署书面协议，并成为合同不可分割的一部分之外，合同条件不得有任何变更。</w:t>
      </w:r>
    </w:p>
    <w:p w14:paraId="7014E8B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七</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合同转让和分包</w:t>
      </w:r>
      <w:r>
        <w:rPr>
          <w:rFonts w:hint="eastAsia" w:ascii="宋体" w:hAnsi="宋体" w:cs="宋体"/>
          <w:b/>
          <w:bCs w:val="0"/>
          <w:color w:val="auto"/>
          <w:sz w:val="21"/>
          <w:szCs w:val="21"/>
          <w:lang w:eastAsia="zh-CN"/>
        </w:rPr>
        <w:t>：</w:t>
      </w:r>
    </w:p>
    <w:p w14:paraId="7412A2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1、中标人不得以任何形式部分或全部转让其应履行的合同义务。</w:t>
      </w:r>
    </w:p>
    <w:p w14:paraId="7EC81AB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八</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解决争议的方法</w:t>
      </w:r>
      <w:r>
        <w:rPr>
          <w:rFonts w:hint="eastAsia" w:ascii="宋体" w:hAnsi="宋体" w:cs="宋体"/>
          <w:b/>
          <w:bCs w:val="0"/>
          <w:color w:val="auto"/>
          <w:sz w:val="21"/>
          <w:szCs w:val="21"/>
          <w:lang w:eastAsia="zh-CN"/>
        </w:rPr>
        <w:t>：</w:t>
      </w:r>
    </w:p>
    <w:p w14:paraId="4DF965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1、合同各方应通过友好协商，解决在执行合同过程中所发生的或与合同有关的一切争端。</w:t>
      </w:r>
    </w:p>
    <w:p w14:paraId="100899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2、如从协商开始28天内仍不能解决，任一方可向采购人所在地的人民法院提起诉讼。</w:t>
      </w:r>
    </w:p>
    <w:p w14:paraId="23C97E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3、在诉讼期间，除正在进行诉讼的部分外，合同的其他部分应继续执行。</w:t>
      </w:r>
    </w:p>
    <w:p w14:paraId="6479A96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九</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合同语言</w:t>
      </w:r>
      <w:r>
        <w:rPr>
          <w:rFonts w:hint="eastAsia" w:ascii="宋体" w:hAnsi="宋体" w:cs="宋体"/>
          <w:b/>
          <w:bCs w:val="0"/>
          <w:color w:val="auto"/>
          <w:sz w:val="21"/>
          <w:szCs w:val="21"/>
          <w:lang w:eastAsia="zh-CN"/>
        </w:rPr>
        <w:t>：</w:t>
      </w:r>
    </w:p>
    <w:p w14:paraId="4BAEFF8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1、合同以及双方来住的与合同有关的信件、传真和其它文件应用中文书写。</w:t>
      </w:r>
    </w:p>
    <w:p w14:paraId="3B457AE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法律适用</w:t>
      </w:r>
      <w:r>
        <w:rPr>
          <w:rFonts w:hint="eastAsia" w:ascii="宋体" w:hAnsi="宋体" w:cs="宋体"/>
          <w:b/>
          <w:bCs w:val="0"/>
          <w:color w:val="auto"/>
          <w:sz w:val="21"/>
          <w:szCs w:val="21"/>
          <w:lang w:eastAsia="zh-CN"/>
        </w:rPr>
        <w:t>：</w:t>
      </w:r>
    </w:p>
    <w:p w14:paraId="10D7ED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1、合同适用中华人民共和国现行法律、行政法规和规章，如合同条款与法律、行政法规和规章不一致的，按照法律、行政法规和规章修改合同。</w:t>
      </w:r>
    </w:p>
    <w:p w14:paraId="0D52572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十一</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通知</w:t>
      </w:r>
      <w:r>
        <w:rPr>
          <w:rFonts w:hint="eastAsia" w:ascii="宋体" w:hAnsi="宋体" w:cs="宋体"/>
          <w:b/>
          <w:bCs w:val="0"/>
          <w:color w:val="auto"/>
          <w:sz w:val="21"/>
          <w:szCs w:val="21"/>
          <w:lang w:eastAsia="zh-CN"/>
        </w:rPr>
        <w:t>：</w:t>
      </w:r>
    </w:p>
    <w:p w14:paraId="70C6AE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1、合同一方给另一方的通知均应采用书面形式，传真或快递送到对方的地址和办理签收手续。</w:t>
      </w:r>
    </w:p>
    <w:p w14:paraId="2A9FB2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2、通知以送到之日或通知书中规定的生效之日起生效，两者中以较迟之日为准。</w:t>
      </w:r>
    </w:p>
    <w:p w14:paraId="0894DF9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十二</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★知识产权合规承诺</w:t>
      </w:r>
      <w:r>
        <w:rPr>
          <w:rFonts w:hint="eastAsia" w:ascii="宋体" w:hAnsi="宋体" w:cs="宋体"/>
          <w:b/>
          <w:bCs w:val="0"/>
          <w:color w:val="auto"/>
          <w:sz w:val="21"/>
          <w:szCs w:val="21"/>
          <w:lang w:eastAsia="zh-CN"/>
        </w:rPr>
        <w:t>：</w:t>
      </w:r>
    </w:p>
    <w:p w14:paraId="6BDE39F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1、中标人在履行合同的过程中不得侵犯他人知识产权，不得提供虚假知识产权申请材料或者违背知识产权合规性承诺，否则依法追究其违约等责任，并将其失信违法信息依法纳入公共信用信息系统。</w:t>
      </w:r>
    </w:p>
    <w:p w14:paraId="7E984D0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4AAA5D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3、中标人实施本项目所形成成果的知识产权归采购人所有，未经采购人许可，中标人不得随意使用。</w:t>
      </w:r>
    </w:p>
    <w:p w14:paraId="3A4937F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十三</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合同解除和终止</w:t>
      </w:r>
      <w:r>
        <w:rPr>
          <w:rFonts w:hint="eastAsia" w:ascii="宋体" w:hAnsi="宋体" w:cs="宋体"/>
          <w:b/>
          <w:bCs w:val="0"/>
          <w:color w:val="auto"/>
          <w:sz w:val="21"/>
          <w:szCs w:val="21"/>
          <w:lang w:eastAsia="zh-CN"/>
        </w:rPr>
        <w:t>：</w:t>
      </w:r>
    </w:p>
    <w:p w14:paraId="7333C2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06C1E95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十四</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税费</w:t>
      </w:r>
      <w:r>
        <w:rPr>
          <w:rFonts w:hint="eastAsia" w:ascii="宋体" w:hAnsi="宋体" w:cs="宋体"/>
          <w:b/>
          <w:bCs w:val="0"/>
          <w:color w:val="auto"/>
          <w:sz w:val="21"/>
          <w:szCs w:val="21"/>
          <w:lang w:eastAsia="zh-CN"/>
        </w:rPr>
        <w:t>：</w:t>
      </w:r>
    </w:p>
    <w:p w14:paraId="77FB51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1、中国政府根据现行税法向中标人征收的与合同有关的一切税费均由中标人负责。</w:t>
      </w:r>
    </w:p>
    <w:p w14:paraId="68FA2D0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val="0"/>
          <w:bCs/>
          <w:color w:val="auto"/>
          <w:sz w:val="21"/>
          <w:szCs w:val="21"/>
          <w:lang w:eastAsia="zh-CN"/>
        </w:rPr>
      </w:pPr>
      <w:bookmarkStart w:id="1" w:name="_GoBack"/>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十五</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人员要求</w:t>
      </w:r>
      <w:r>
        <w:rPr>
          <w:rFonts w:hint="eastAsia" w:ascii="宋体" w:hAnsi="宋体" w:cs="宋体"/>
          <w:b/>
          <w:bCs w:val="0"/>
          <w:color w:val="auto"/>
          <w:sz w:val="21"/>
          <w:szCs w:val="21"/>
          <w:lang w:eastAsia="zh-CN"/>
        </w:rPr>
        <w:t>：</w:t>
      </w:r>
      <w:bookmarkEnd w:id="1"/>
    </w:p>
    <w:p w14:paraId="30A238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1、供应商需安排1名驻点技术工程师在现场进行服务。</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5"/>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5"/>
          <w:jc w:val="center"/>
        </w:pPr>
      </w:p>
    </w:sdtContent>
  </w:sdt>
  <w:p w14:paraId="7FA6150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6"/>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5"/>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05E3D"/>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0805A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AC581D"/>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autoRedefine/>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42"/>
    <w:autoRedefine/>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3"/>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7">
    <w:name w:val="Normal Indent"/>
    <w:basedOn w:val="1"/>
    <w:next w:val="8"/>
    <w:qFormat/>
    <w:uiPriority w:val="0"/>
    <w:pPr>
      <w:ind w:firstLine="420" w:firstLineChars="200"/>
    </w:pPr>
    <w:rPr>
      <w:szCs w:val="21"/>
    </w:rPr>
  </w:style>
  <w:style w:type="paragraph" w:styleId="8">
    <w:name w:val="Body Text"/>
    <w:basedOn w:val="1"/>
    <w:next w:val="1"/>
    <w:autoRedefine/>
    <w:qFormat/>
    <w:uiPriority w:val="0"/>
    <w:pPr>
      <w:spacing w:after="120"/>
    </w:pPr>
  </w:style>
  <w:style w:type="paragraph" w:styleId="9">
    <w:name w:val="annotation text"/>
    <w:basedOn w:val="1"/>
    <w:link w:val="58"/>
    <w:autoRedefine/>
    <w:unhideWhenUsed/>
    <w:qFormat/>
    <w:uiPriority w:val="99"/>
    <w:pPr>
      <w:jc w:val="left"/>
    </w:pPr>
  </w:style>
  <w:style w:type="paragraph" w:styleId="10">
    <w:name w:val="Body Text Indent"/>
    <w:basedOn w:val="1"/>
    <w:next w:val="11"/>
    <w:autoRedefine/>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link w:val="41"/>
    <w:autoRedefine/>
    <w:qFormat/>
    <w:uiPriority w:val="0"/>
    <w:rPr>
      <w:rFonts w:ascii="宋体" w:hAnsi="Courier New" w:eastAsiaTheme="minorEastAsia" w:cstheme="minorBidi"/>
    </w:rPr>
  </w:style>
  <w:style w:type="paragraph" w:styleId="13">
    <w:name w:val="Date"/>
    <w:basedOn w:val="1"/>
    <w:next w:val="1"/>
    <w:link w:val="33"/>
    <w:autoRedefine/>
    <w:qFormat/>
    <w:uiPriority w:val="0"/>
    <w:rPr>
      <w:rFonts w:ascii="宋体" w:hAnsi="Courier New"/>
      <w:kern w:val="0"/>
      <w:sz w:val="32"/>
      <w:szCs w:val="20"/>
    </w:rPr>
  </w:style>
  <w:style w:type="paragraph" w:styleId="14">
    <w:name w:val="Balloon Text"/>
    <w:basedOn w:val="1"/>
    <w:link w:val="34"/>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semiHidden/>
    <w:qFormat/>
    <w:uiPriority w:val="0"/>
    <w:pPr>
      <w:tabs>
        <w:tab w:val="right" w:leader="dot" w:pos="8296"/>
      </w:tabs>
      <w:ind w:left="210"/>
      <w:jc w:val="left"/>
    </w:pPr>
    <w:rPr>
      <w:smallCaps/>
    </w:rPr>
  </w:style>
  <w:style w:type="paragraph" w:styleId="18">
    <w:name w:val="Body Text 2"/>
    <w:basedOn w:val="1"/>
    <w:qFormat/>
    <w:uiPriority w:val="0"/>
    <w:pPr>
      <w:spacing w:line="360" w:lineRule="auto"/>
    </w:pPr>
    <w:rPr>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9"/>
    <w:next w:val="9"/>
    <w:link w:val="39"/>
    <w:autoRedefine/>
    <w:semiHidden/>
    <w:unhideWhenUsed/>
    <w:qFormat/>
    <w:uiPriority w:val="99"/>
    <w:rPr>
      <w:b/>
      <w:bCs/>
    </w:rPr>
  </w:style>
  <w:style w:type="paragraph" w:styleId="21">
    <w:name w:val="Body Text First Indent 2"/>
    <w:basedOn w:val="10"/>
    <w:autoRedefine/>
    <w:qFormat/>
    <w:uiPriority w:val="0"/>
    <w:pPr>
      <w:ind w:firstLine="420" w:firstLineChars="200"/>
    </w:pPr>
    <w:rPr>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0"/>
    <w:rPr>
      <w:rFonts w:ascii="Times New Roman" w:hAnsi="Times New Roman" w:eastAsia="宋体" w:cs="Times New Roman"/>
      <w:b/>
      <w:bCs/>
    </w:rPr>
  </w:style>
  <w:style w:type="character" w:styleId="26">
    <w:name w:val="page number"/>
    <w:basedOn w:val="24"/>
    <w:qFormat/>
    <w:uiPriority w:val="0"/>
  </w:style>
  <w:style w:type="character" w:styleId="27">
    <w:name w:val="Hyperlink"/>
    <w:autoRedefine/>
    <w:qFormat/>
    <w:uiPriority w:val="99"/>
    <w:rPr>
      <w:color w:val="0000FF"/>
      <w:u w:val="single"/>
    </w:rPr>
  </w:style>
  <w:style w:type="character" w:styleId="28">
    <w:name w:val="annotation reference"/>
    <w:basedOn w:val="24"/>
    <w:autoRedefine/>
    <w:semiHidden/>
    <w:unhideWhenUsed/>
    <w:qFormat/>
    <w:uiPriority w:val="99"/>
    <w:rPr>
      <w:sz w:val="21"/>
      <w:szCs w:val="21"/>
    </w:rPr>
  </w:style>
  <w:style w:type="paragraph" w:customStyle="1" w:styleId="29">
    <w:name w:val="表格文字"/>
    <w:basedOn w:val="1"/>
    <w:autoRedefine/>
    <w:qFormat/>
    <w:uiPriority w:val="0"/>
    <w:pPr>
      <w:spacing w:before="25" w:after="25" w:line="240" w:lineRule="auto"/>
      <w:ind w:firstLine="0"/>
      <w:jc w:val="left"/>
    </w:pPr>
    <w:rPr>
      <w:bCs/>
      <w:spacing w:val="10"/>
      <w:kern w:val="0"/>
      <w:sz w:val="24"/>
    </w:rPr>
  </w:style>
  <w:style w:type="paragraph" w:styleId="30">
    <w:name w:val="List Paragraph"/>
    <w:basedOn w:val="1"/>
    <w:autoRedefine/>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2">
    <w:name w:val="日期 Char"/>
    <w:basedOn w:val="24"/>
    <w:link w:val="13"/>
    <w:autoRedefine/>
    <w:qFormat/>
    <w:uiPriority w:val="0"/>
    <w:rPr>
      <w:rFonts w:ascii="宋体" w:hAnsi="Courier New" w:eastAsia="宋体" w:cs="Times New Roman"/>
      <w:kern w:val="0"/>
      <w:sz w:val="32"/>
      <w:szCs w:val="20"/>
    </w:rPr>
  </w:style>
  <w:style w:type="character" w:customStyle="1" w:styleId="33">
    <w:name w:val="日期 Char1"/>
    <w:basedOn w:val="24"/>
    <w:link w:val="13"/>
    <w:autoRedefine/>
    <w:semiHidden/>
    <w:qFormat/>
    <w:uiPriority w:val="99"/>
    <w:rPr>
      <w:rFonts w:ascii="Calibri" w:hAnsi="Calibri" w:eastAsia="宋体" w:cs="Times New Roman"/>
    </w:rPr>
  </w:style>
  <w:style w:type="character" w:customStyle="1" w:styleId="34">
    <w:name w:val="批注框文本 Char"/>
    <w:basedOn w:val="24"/>
    <w:link w:val="14"/>
    <w:autoRedefine/>
    <w:semiHidden/>
    <w:qFormat/>
    <w:uiPriority w:val="99"/>
    <w:rPr>
      <w:rFonts w:ascii="Calibri" w:hAnsi="Calibri" w:eastAsia="宋体" w:cs="Times New Roman"/>
      <w:sz w:val="18"/>
      <w:szCs w:val="18"/>
    </w:rPr>
  </w:style>
  <w:style w:type="character" w:customStyle="1" w:styleId="35">
    <w:name w:val="页眉 Char"/>
    <w:basedOn w:val="24"/>
    <w:link w:val="16"/>
    <w:autoRedefine/>
    <w:semiHidden/>
    <w:qFormat/>
    <w:uiPriority w:val="99"/>
    <w:rPr>
      <w:rFonts w:ascii="Calibri" w:hAnsi="Calibri" w:eastAsia="宋体" w:cs="Times New Roman"/>
      <w:sz w:val="18"/>
      <w:szCs w:val="18"/>
    </w:rPr>
  </w:style>
  <w:style w:type="character" w:customStyle="1" w:styleId="36">
    <w:name w:val="页脚 Char"/>
    <w:basedOn w:val="24"/>
    <w:link w:val="15"/>
    <w:autoRedefine/>
    <w:qFormat/>
    <w:uiPriority w:val="99"/>
    <w:rPr>
      <w:rFonts w:ascii="Calibri" w:hAnsi="Calibri" w:eastAsia="宋体" w:cs="Times New Roman"/>
      <w:sz w:val="18"/>
      <w:szCs w:val="18"/>
    </w:rPr>
  </w:style>
  <w:style w:type="character" w:customStyle="1" w:styleId="37">
    <w:name w:val="标题 1 Char"/>
    <w:basedOn w:val="24"/>
    <w:link w:val="3"/>
    <w:autoRedefine/>
    <w:qFormat/>
    <w:uiPriority w:val="0"/>
    <w:rPr>
      <w:rFonts w:ascii="宋体" w:hAnsi="Calibri" w:eastAsia="宋体" w:cs="Times New Roman"/>
      <w:color w:val="000000"/>
      <w:sz w:val="28"/>
      <w:szCs w:val="20"/>
    </w:rPr>
  </w:style>
  <w:style w:type="character" w:customStyle="1" w:styleId="38">
    <w:name w:val="批注文字 Char"/>
    <w:basedOn w:val="24"/>
    <w:link w:val="9"/>
    <w:autoRedefine/>
    <w:qFormat/>
    <w:uiPriority w:val="99"/>
    <w:rPr>
      <w:rFonts w:ascii="Calibri" w:hAnsi="Calibri" w:eastAsia="宋体" w:cs="Times New Roman"/>
    </w:rPr>
  </w:style>
  <w:style w:type="character" w:customStyle="1" w:styleId="39">
    <w:name w:val="批注主题 Char"/>
    <w:basedOn w:val="38"/>
    <w:link w:val="20"/>
    <w:autoRedefine/>
    <w:semiHidden/>
    <w:qFormat/>
    <w:uiPriority w:val="99"/>
    <w:rPr>
      <w:b/>
      <w:bCs/>
    </w:rPr>
  </w:style>
  <w:style w:type="character" w:customStyle="1" w:styleId="40">
    <w:name w:val="纯文本 Char"/>
    <w:link w:val="12"/>
    <w:autoRedefine/>
    <w:qFormat/>
    <w:uiPriority w:val="0"/>
    <w:rPr>
      <w:rFonts w:ascii="宋体" w:hAnsi="Courier New"/>
    </w:rPr>
  </w:style>
  <w:style w:type="character" w:customStyle="1" w:styleId="41">
    <w:name w:val="纯文本 Char1"/>
    <w:basedOn w:val="24"/>
    <w:link w:val="12"/>
    <w:autoRedefine/>
    <w:semiHidden/>
    <w:qFormat/>
    <w:uiPriority w:val="99"/>
    <w:rPr>
      <w:rFonts w:ascii="宋体" w:hAnsi="Courier New" w:eastAsia="宋体" w:cs="Courier New"/>
      <w:szCs w:val="21"/>
    </w:rPr>
  </w:style>
  <w:style w:type="character" w:customStyle="1" w:styleId="42">
    <w:name w:val="标题 2 Char"/>
    <w:basedOn w:val="24"/>
    <w:link w:val="4"/>
    <w:autoRedefine/>
    <w:qFormat/>
    <w:uiPriority w:val="0"/>
    <w:rPr>
      <w:rFonts w:ascii="Arial" w:hAnsi="Arial" w:eastAsia="宋体" w:cs="Times New Roman"/>
      <w:b/>
      <w:bCs/>
      <w:sz w:val="32"/>
      <w:szCs w:val="32"/>
    </w:rPr>
  </w:style>
  <w:style w:type="character" w:customStyle="1" w:styleId="43">
    <w:name w:val="标题 3 Char"/>
    <w:basedOn w:val="24"/>
    <w:link w:val="5"/>
    <w:autoRedefine/>
    <w:semiHidden/>
    <w:qFormat/>
    <w:uiPriority w:val="9"/>
    <w:rPr>
      <w:rFonts w:ascii="Calibri" w:hAnsi="Calibri" w:eastAsia="宋体" w:cs="Times New Roman"/>
      <w:b/>
      <w:bCs/>
      <w:sz w:val="32"/>
      <w:szCs w:val="32"/>
    </w:rPr>
  </w:style>
  <w:style w:type="character" w:customStyle="1" w:styleId="44">
    <w:name w:val="标题 4 Char"/>
    <w:basedOn w:val="24"/>
    <w:link w:val="6"/>
    <w:autoRedefine/>
    <w:qFormat/>
    <w:uiPriority w:val="0"/>
    <w:rPr>
      <w:rFonts w:ascii="Cambria" w:hAnsi="Cambria" w:eastAsia="宋体" w:cs="Times New Roman"/>
      <w:b/>
      <w:bCs/>
      <w:sz w:val="28"/>
      <w:szCs w:val="28"/>
    </w:rPr>
  </w:style>
  <w:style w:type="paragraph" w:customStyle="1" w:styleId="45">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6">
    <w:name w:val="1"/>
    <w:basedOn w:val="1"/>
    <w:next w:val="12"/>
    <w:autoRedefine/>
    <w:qFormat/>
    <w:uiPriority w:val="0"/>
    <w:rPr>
      <w:rFonts w:ascii="宋体" w:hAnsi="Courier New"/>
      <w:szCs w:val="20"/>
    </w:rPr>
  </w:style>
  <w:style w:type="paragraph" w:customStyle="1" w:styleId="47">
    <w:name w:val="8"/>
    <w:basedOn w:val="1"/>
    <w:next w:val="12"/>
    <w:autoRedefine/>
    <w:qFormat/>
    <w:uiPriority w:val="0"/>
    <w:rPr>
      <w:rFonts w:ascii="宋体" w:hAnsi="Courier New"/>
      <w:szCs w:val="20"/>
    </w:rPr>
  </w:style>
  <w:style w:type="paragraph" w:customStyle="1" w:styleId="48">
    <w:name w:val="_Style 55"/>
    <w:basedOn w:val="1"/>
    <w:next w:val="12"/>
    <w:autoRedefine/>
    <w:qFormat/>
    <w:uiPriority w:val="0"/>
    <w:rPr>
      <w:rFonts w:ascii="宋体" w:hAnsi="Courier New"/>
      <w:szCs w:val="20"/>
    </w:rPr>
  </w:style>
  <w:style w:type="paragraph" w:customStyle="1" w:styleId="49">
    <w:name w:val="7"/>
    <w:basedOn w:val="1"/>
    <w:next w:val="12"/>
    <w:link w:val="50"/>
    <w:autoRedefine/>
    <w:qFormat/>
    <w:uiPriority w:val="0"/>
    <w:rPr>
      <w:rFonts w:ascii="宋体" w:hAnsi="Courier New"/>
      <w:szCs w:val="20"/>
    </w:rPr>
  </w:style>
  <w:style w:type="character" w:customStyle="1" w:styleId="50">
    <w:name w:val="Char1"/>
    <w:link w:val="49"/>
    <w:autoRedefine/>
    <w:qFormat/>
    <w:uiPriority w:val="0"/>
    <w:rPr>
      <w:rFonts w:ascii="宋体" w:hAnsi="Courier New" w:eastAsia="宋体" w:cs="Times New Roman"/>
      <w:szCs w:val="20"/>
    </w:rPr>
  </w:style>
  <w:style w:type="paragraph" w:customStyle="1" w:styleId="51">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3">
    <w:name w:val="表正文"/>
    <w:basedOn w:val="1"/>
    <w:qFormat/>
    <w:uiPriority w:val="0"/>
    <w:rPr>
      <w:sz w:val="18"/>
    </w:rPr>
  </w:style>
  <w:style w:type="paragraph" w:customStyle="1" w:styleId="54">
    <w:name w:val="表格并列项"/>
    <w:basedOn w:val="55"/>
    <w:qFormat/>
    <w:uiPriority w:val="0"/>
    <w:pPr>
      <w:tabs>
        <w:tab w:val="left" w:pos="839"/>
      </w:tabs>
      <w:spacing w:before="40" w:after="40"/>
      <w:ind w:left="840" w:firstLineChars="0"/>
    </w:pPr>
  </w:style>
  <w:style w:type="paragraph" w:customStyle="1" w:styleId="55">
    <w:name w:val="并列项"/>
    <w:basedOn w:val="30"/>
    <w:qFormat/>
    <w:uiPriority w:val="0"/>
    <w:pPr>
      <w:numPr>
        <w:ilvl w:val="0"/>
        <w:numId w:val="1"/>
      </w:numPr>
      <w:snapToGrid w:val="0"/>
      <w:ind w:left="420"/>
      <w:contextualSpacing/>
    </w:pPr>
    <w:rPr>
      <w:rFonts w:cs="Cambria"/>
    </w:rPr>
  </w:style>
  <w:style w:type="paragraph" w:customStyle="1" w:styleId="56">
    <w:name w:val="Normal Indent"/>
    <w:basedOn w:val="1"/>
    <w:next w:val="1"/>
    <w:qFormat/>
    <w:uiPriority w:val="0"/>
    <w:pPr>
      <w:ind w:firstLine="420"/>
    </w:pPr>
    <w:rPr>
      <w:rFonts w:ascii="Calibri" w:hAnsi="Calibri" w:eastAsia="宋体"/>
      <w:szCs w:val="20"/>
    </w:rPr>
  </w:style>
  <w:style w:type="paragraph" w:customStyle="1" w:styleId="5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8">
    <w:name w:val="批注文字 字符"/>
    <w:basedOn w:val="24"/>
    <w:link w:val="9"/>
    <w:autoRedefine/>
    <w:qFormat/>
    <w:uiPriority w:val="0"/>
    <w:rPr>
      <w:rFonts w:asciiTheme="minorHAnsi" w:hAnsiTheme="minorHAnsi" w:eastAsiaTheme="minorEastAsia" w:cstheme="minorBidi"/>
      <w:kern w:val="2"/>
      <w:sz w:val="21"/>
      <w:szCs w:val="24"/>
    </w:rPr>
  </w:style>
  <w:style w:type="paragraph" w:customStyle="1" w:styleId="5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4561</Words>
  <Characters>5073</Characters>
  <Lines>229</Lines>
  <Paragraphs>64</Paragraphs>
  <TotalTime>2</TotalTime>
  <ScaleCrop>false</ScaleCrop>
  <LinksUpToDate>false</LinksUpToDate>
  <CharactersWithSpaces>5081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2026-06-25T07:14:14Z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