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FC94C2">
      <w:pPr>
        <w:ind w:firstLine="3654" w:firstLineChars="1300"/>
        <w:rPr>
          <w:rFonts w:hint="eastAsia" w:ascii="宋体" w:hAnsi="宋体"/>
          <w:color w:val="FF0000"/>
          <w:szCs w:val="21"/>
        </w:rPr>
      </w:pPr>
      <w:bookmarkStart w:id="0" w:name="_Hlk71456902"/>
      <w:bookmarkStart w:id="148" w:name="_GoBack"/>
      <w:bookmarkEnd w:id="148"/>
      <w:r>
        <w:rPr>
          <w:rFonts w:hint="eastAsia" w:ascii="宋体" w:hAnsi="宋体" w:eastAsia="黑体"/>
          <w:b/>
          <w:bCs/>
          <w:color w:val="FF0000"/>
          <w:kern w:val="44"/>
          <w:sz w:val="28"/>
          <w:szCs w:val="44"/>
        </w:rPr>
        <w:t>特别警示条款</w:t>
      </w:r>
    </w:p>
    <w:p w14:paraId="0495D3E6">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hint="eastAsia" w:ascii="宋体" w:hAnsi="宋体" w:cs="宋体"/>
          <w:b/>
          <w:bCs/>
          <w:color w:val="FF0000"/>
          <w:szCs w:val="21"/>
        </w:rPr>
      </w:pPr>
      <w:r>
        <w:rPr>
          <w:rFonts w:hint="eastAsia" w:ascii="宋体" w:hAnsi="宋体" w:cs="宋体"/>
          <w:b/>
          <w:bCs/>
          <w:color w:val="FF0000"/>
          <w:szCs w:val="21"/>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5DE8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14:paraId="260AEBA4">
            <w:pPr>
              <w:pBdr>
                <w:top w:val="none" w:color="auto" w:sz="0" w:space="1"/>
                <w:left w:val="none" w:color="auto" w:sz="0" w:space="4"/>
                <w:bottom w:val="none" w:color="auto" w:sz="0" w:space="1"/>
                <w:right w:val="none" w:color="auto" w:sz="0" w:space="4"/>
              </w:pBdr>
              <w:spacing w:line="400" w:lineRule="exact"/>
              <w:jc w:val="center"/>
              <w:rPr>
                <w:rFonts w:hint="eastAsia" w:ascii="宋体" w:hAnsi="宋体" w:cs="宋体"/>
                <w:color w:val="FF0000"/>
                <w:szCs w:val="21"/>
              </w:rPr>
            </w:pPr>
            <w:r>
              <w:rPr>
                <w:rFonts w:hint="eastAsia" w:ascii="宋体" w:hAnsi="宋体" w:cs="宋体"/>
                <w:color w:val="FF0000"/>
                <w:szCs w:val="21"/>
              </w:rPr>
              <w:t>序号</w:t>
            </w:r>
          </w:p>
        </w:tc>
        <w:tc>
          <w:tcPr>
            <w:tcW w:w="7711" w:type="dxa"/>
            <w:tcBorders>
              <w:tl2br w:val="nil"/>
              <w:tr2bl w:val="nil"/>
            </w:tcBorders>
            <w:vAlign w:val="center"/>
          </w:tcPr>
          <w:p w14:paraId="589079EE">
            <w:pPr>
              <w:pBdr>
                <w:top w:val="none" w:color="auto" w:sz="0" w:space="1"/>
                <w:left w:val="none" w:color="auto" w:sz="0" w:space="4"/>
                <w:bottom w:val="none" w:color="auto" w:sz="0" w:space="1"/>
                <w:right w:val="none" w:color="auto" w:sz="0" w:space="4"/>
              </w:pBdr>
              <w:spacing w:line="400" w:lineRule="exact"/>
              <w:jc w:val="center"/>
              <w:rPr>
                <w:rFonts w:hint="eastAsia" w:ascii="宋体" w:hAnsi="宋体" w:cs="宋体"/>
                <w:color w:val="FF0000"/>
                <w:szCs w:val="21"/>
              </w:rPr>
            </w:pPr>
            <w:r>
              <w:rPr>
                <w:rFonts w:hint="eastAsia" w:ascii="宋体" w:hAnsi="宋体" w:cs="宋体"/>
                <w:b/>
                <w:bCs/>
                <w:color w:val="FF0000"/>
                <w:szCs w:val="21"/>
              </w:rPr>
              <w:t>供应商参与投标禁止情形</w:t>
            </w:r>
          </w:p>
        </w:tc>
      </w:tr>
      <w:tr w14:paraId="517B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1DE89C73">
            <w:pPr>
              <w:pBdr>
                <w:top w:val="none" w:color="auto" w:sz="0" w:space="1"/>
                <w:left w:val="none" w:color="auto" w:sz="0" w:space="4"/>
                <w:bottom w:val="none" w:color="auto" w:sz="0" w:space="1"/>
                <w:right w:val="none" w:color="auto" w:sz="0" w:space="4"/>
              </w:pBdr>
              <w:spacing w:line="400" w:lineRule="exact"/>
              <w:jc w:val="center"/>
              <w:rPr>
                <w:rFonts w:hint="eastAsia" w:ascii="宋体" w:hAnsi="宋体" w:cs="宋体"/>
                <w:color w:val="FF0000"/>
                <w:szCs w:val="21"/>
              </w:rPr>
            </w:pPr>
            <w:r>
              <w:rPr>
                <w:rFonts w:hint="eastAsia" w:ascii="宋体" w:hAnsi="宋体" w:cs="宋体"/>
                <w:color w:val="FF0000"/>
                <w:szCs w:val="21"/>
              </w:rPr>
              <w:t>1</w:t>
            </w:r>
          </w:p>
        </w:tc>
        <w:tc>
          <w:tcPr>
            <w:tcW w:w="7711" w:type="dxa"/>
            <w:tcBorders>
              <w:tl2br w:val="nil"/>
              <w:tr2bl w:val="nil"/>
            </w:tcBorders>
            <w:vAlign w:val="center"/>
          </w:tcPr>
          <w:p w14:paraId="0E09B713">
            <w:pPr>
              <w:pBdr>
                <w:top w:val="none" w:color="auto" w:sz="0" w:space="1"/>
                <w:left w:val="none" w:color="auto" w:sz="0" w:space="4"/>
                <w:bottom w:val="none" w:color="auto" w:sz="0" w:space="1"/>
                <w:right w:val="none" w:color="auto" w:sz="0" w:space="4"/>
              </w:pBdr>
              <w:spacing w:line="400" w:lineRule="exact"/>
              <w:jc w:val="left"/>
              <w:rPr>
                <w:rFonts w:hint="eastAsia" w:ascii="宋体" w:hAnsi="宋体" w:cs="宋体"/>
                <w:color w:val="FF0000"/>
                <w:szCs w:val="21"/>
              </w:rPr>
            </w:pPr>
            <w:r>
              <w:rPr>
                <w:rFonts w:hint="eastAsia" w:ascii="宋体" w:hAnsi="宋体" w:cs="宋体"/>
                <w:color w:val="FF0000"/>
                <w:szCs w:val="21"/>
              </w:rPr>
              <w:t>与其他投标供应商的法定代表人、主要经营负责人、投标授权代表人、项目负责人、主要技术人员为</w:t>
            </w:r>
            <w:r>
              <w:rPr>
                <w:rFonts w:hint="eastAsia" w:ascii="宋体" w:hAnsi="宋体" w:cs="宋体"/>
                <w:b/>
                <w:bCs/>
                <w:color w:val="FF0000"/>
                <w:szCs w:val="21"/>
              </w:rPr>
              <w:t>同一人、属同一单位或者在同一单位缴纳社会保险</w:t>
            </w:r>
            <w:r>
              <w:rPr>
                <w:rFonts w:hint="eastAsia" w:ascii="宋体" w:hAnsi="宋体" w:cs="宋体"/>
                <w:color w:val="FF0000"/>
                <w:szCs w:val="21"/>
              </w:rPr>
              <w:t>。</w:t>
            </w:r>
          </w:p>
        </w:tc>
      </w:tr>
      <w:tr w14:paraId="6718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562527D1">
            <w:pPr>
              <w:pBdr>
                <w:top w:val="none" w:color="auto" w:sz="0" w:space="1"/>
                <w:left w:val="none" w:color="auto" w:sz="0" w:space="4"/>
                <w:bottom w:val="none" w:color="auto" w:sz="0" w:space="1"/>
                <w:right w:val="none" w:color="auto" w:sz="0" w:space="4"/>
              </w:pBdr>
              <w:spacing w:line="400" w:lineRule="exact"/>
              <w:jc w:val="center"/>
              <w:rPr>
                <w:rFonts w:hint="eastAsia" w:ascii="宋体" w:hAnsi="宋体" w:cs="宋体"/>
                <w:color w:val="FF0000"/>
                <w:szCs w:val="21"/>
              </w:rPr>
            </w:pPr>
            <w:r>
              <w:rPr>
                <w:rFonts w:hint="eastAsia" w:ascii="宋体" w:hAnsi="宋体" w:cs="宋体"/>
                <w:color w:val="FF0000"/>
                <w:szCs w:val="21"/>
              </w:rPr>
              <w:t>2</w:t>
            </w:r>
          </w:p>
        </w:tc>
        <w:tc>
          <w:tcPr>
            <w:tcW w:w="7711" w:type="dxa"/>
            <w:tcBorders>
              <w:tl2br w:val="nil"/>
              <w:tr2bl w:val="nil"/>
            </w:tcBorders>
            <w:vAlign w:val="center"/>
          </w:tcPr>
          <w:p w14:paraId="58FBA2EE">
            <w:pPr>
              <w:pBdr>
                <w:top w:val="none" w:color="auto" w:sz="0" w:space="1"/>
                <w:left w:val="none" w:color="auto" w:sz="0" w:space="4"/>
                <w:bottom w:val="none" w:color="auto" w:sz="0" w:space="1"/>
                <w:right w:val="none" w:color="auto" w:sz="0" w:space="4"/>
              </w:pBdr>
              <w:spacing w:line="400" w:lineRule="exact"/>
              <w:jc w:val="left"/>
              <w:rPr>
                <w:rFonts w:hint="eastAsia" w:ascii="宋体" w:hAnsi="宋体" w:cs="宋体"/>
                <w:color w:val="FF0000"/>
                <w:szCs w:val="21"/>
              </w:rPr>
            </w:pPr>
            <w:r>
              <w:rPr>
                <w:rFonts w:hint="eastAsia" w:ascii="宋体" w:hAnsi="宋体" w:cs="宋体"/>
                <w:color w:val="FF0000"/>
                <w:szCs w:val="21"/>
              </w:rPr>
              <w:t>参与本项目政府采购活动时，与其他投标供应商存在单位负责人为</w:t>
            </w:r>
            <w:r>
              <w:rPr>
                <w:rFonts w:hint="eastAsia" w:ascii="宋体" w:hAnsi="宋体" w:cs="宋体"/>
                <w:b/>
                <w:bCs/>
                <w:color w:val="FF0000"/>
                <w:szCs w:val="21"/>
              </w:rPr>
              <w:t>同一人或直接控股、管理关系</w:t>
            </w:r>
            <w:r>
              <w:rPr>
                <w:rFonts w:hint="eastAsia" w:ascii="宋体" w:hAnsi="宋体" w:cs="宋体"/>
                <w:color w:val="FF0000"/>
                <w:szCs w:val="21"/>
              </w:rPr>
              <w:t>。</w:t>
            </w:r>
          </w:p>
        </w:tc>
      </w:tr>
      <w:tr w14:paraId="4E81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69CA2E69">
            <w:pPr>
              <w:pBdr>
                <w:top w:val="none" w:color="auto" w:sz="0" w:space="1"/>
                <w:left w:val="none" w:color="auto" w:sz="0" w:space="4"/>
                <w:bottom w:val="none" w:color="auto" w:sz="0" w:space="1"/>
                <w:right w:val="none" w:color="auto" w:sz="0" w:space="4"/>
              </w:pBdr>
              <w:spacing w:line="400" w:lineRule="exact"/>
              <w:jc w:val="center"/>
              <w:rPr>
                <w:rFonts w:hint="eastAsia" w:ascii="宋体" w:hAnsi="宋体" w:cs="宋体"/>
                <w:color w:val="FF0000"/>
                <w:szCs w:val="21"/>
              </w:rPr>
            </w:pPr>
            <w:r>
              <w:rPr>
                <w:rFonts w:hint="eastAsia" w:ascii="宋体" w:hAnsi="宋体" w:cs="宋体"/>
                <w:color w:val="FF0000"/>
                <w:szCs w:val="21"/>
              </w:rPr>
              <w:t>3</w:t>
            </w:r>
          </w:p>
        </w:tc>
        <w:tc>
          <w:tcPr>
            <w:tcW w:w="7711" w:type="dxa"/>
            <w:tcBorders>
              <w:tl2br w:val="nil"/>
              <w:tr2bl w:val="nil"/>
            </w:tcBorders>
            <w:vAlign w:val="center"/>
          </w:tcPr>
          <w:p w14:paraId="431319B6">
            <w:pPr>
              <w:pBdr>
                <w:top w:val="none" w:color="auto" w:sz="0" w:space="1"/>
                <w:left w:val="none" w:color="auto" w:sz="0" w:space="4"/>
                <w:bottom w:val="none" w:color="auto" w:sz="0" w:space="1"/>
                <w:right w:val="none" w:color="auto" w:sz="0" w:space="4"/>
              </w:pBdr>
              <w:spacing w:line="400" w:lineRule="exact"/>
              <w:jc w:val="left"/>
              <w:rPr>
                <w:rFonts w:hint="eastAsia" w:ascii="宋体" w:hAnsi="宋体" w:cs="宋体"/>
                <w:color w:val="FF0000"/>
                <w:szCs w:val="21"/>
              </w:rPr>
            </w:pPr>
            <w:r>
              <w:rPr>
                <w:rFonts w:hint="eastAsia" w:ascii="宋体" w:hAnsi="宋体" w:cs="宋体"/>
                <w:color w:val="FF0000"/>
                <w:szCs w:val="21"/>
              </w:rPr>
              <w:t>与其他投标供应商的投标文件或部分投标文件</w:t>
            </w:r>
            <w:r>
              <w:rPr>
                <w:rFonts w:hint="eastAsia" w:ascii="宋体" w:hAnsi="宋体" w:cs="宋体"/>
                <w:b/>
                <w:bCs/>
                <w:color w:val="FF0000"/>
                <w:szCs w:val="21"/>
              </w:rPr>
              <w:t>相互混装或存在非正常一致</w:t>
            </w:r>
            <w:r>
              <w:rPr>
                <w:rFonts w:hint="eastAsia" w:ascii="宋体" w:hAnsi="宋体" w:cs="宋体"/>
                <w:color w:val="FF0000"/>
                <w:szCs w:val="21"/>
              </w:rPr>
              <w:t>。</w:t>
            </w:r>
          </w:p>
        </w:tc>
      </w:tr>
      <w:tr w14:paraId="30FD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14:paraId="12D0C255">
            <w:pPr>
              <w:pBdr>
                <w:top w:val="none" w:color="auto" w:sz="0" w:space="1"/>
                <w:left w:val="none" w:color="auto" w:sz="0" w:space="4"/>
                <w:bottom w:val="none" w:color="auto" w:sz="0" w:space="1"/>
                <w:right w:val="none" w:color="auto" w:sz="0" w:space="4"/>
              </w:pBdr>
              <w:spacing w:line="400" w:lineRule="exact"/>
              <w:jc w:val="center"/>
              <w:rPr>
                <w:rFonts w:hint="eastAsia" w:ascii="宋体" w:hAnsi="宋体" w:cs="宋体"/>
                <w:color w:val="FF0000"/>
                <w:szCs w:val="21"/>
              </w:rPr>
            </w:pPr>
            <w:r>
              <w:rPr>
                <w:rFonts w:hint="eastAsia" w:ascii="宋体" w:hAnsi="宋体" w:cs="宋体"/>
                <w:color w:val="FF0000"/>
                <w:szCs w:val="21"/>
              </w:rPr>
              <w:t>4</w:t>
            </w:r>
          </w:p>
        </w:tc>
        <w:tc>
          <w:tcPr>
            <w:tcW w:w="7711" w:type="dxa"/>
            <w:tcBorders>
              <w:tl2br w:val="nil"/>
              <w:tr2bl w:val="nil"/>
            </w:tcBorders>
            <w:vAlign w:val="center"/>
          </w:tcPr>
          <w:p w14:paraId="1FB7084A">
            <w:pPr>
              <w:pBdr>
                <w:top w:val="none" w:color="auto" w:sz="0" w:space="1"/>
                <w:left w:val="none" w:color="auto" w:sz="0" w:space="4"/>
                <w:bottom w:val="none" w:color="auto" w:sz="0" w:space="1"/>
                <w:right w:val="none" w:color="auto" w:sz="0" w:space="4"/>
              </w:pBdr>
              <w:spacing w:line="400" w:lineRule="exact"/>
              <w:jc w:val="left"/>
              <w:rPr>
                <w:rFonts w:hint="eastAsia" w:ascii="宋体" w:hAnsi="宋体" w:cs="宋体"/>
                <w:color w:val="FF0000"/>
                <w:szCs w:val="21"/>
              </w:rPr>
            </w:pPr>
            <w:r>
              <w:rPr>
                <w:rFonts w:hint="eastAsia" w:ascii="宋体" w:hAnsi="宋体" w:cs="宋体"/>
                <w:color w:val="FF0000"/>
                <w:szCs w:val="21"/>
              </w:rPr>
              <w:t>与其他投标供应商的投标文件由</w:t>
            </w:r>
            <w:r>
              <w:rPr>
                <w:rFonts w:hint="eastAsia" w:ascii="宋体" w:hAnsi="宋体" w:cs="宋体"/>
                <w:b/>
                <w:bCs/>
                <w:color w:val="FF0000"/>
                <w:szCs w:val="21"/>
              </w:rPr>
              <w:t>同一单位或者同一人编制</w:t>
            </w:r>
            <w:r>
              <w:rPr>
                <w:rFonts w:hint="eastAsia" w:ascii="宋体" w:hAnsi="宋体" w:cs="宋体"/>
                <w:color w:val="FF0000"/>
                <w:szCs w:val="21"/>
              </w:rPr>
              <w:t>，或者使用</w:t>
            </w:r>
            <w:r>
              <w:rPr>
                <w:rFonts w:hint="eastAsia" w:ascii="宋体" w:hAnsi="宋体" w:cs="宋体"/>
                <w:b/>
                <w:bCs/>
                <w:color w:val="FF0000"/>
                <w:szCs w:val="21"/>
              </w:rPr>
              <w:t>同一设备编制</w:t>
            </w:r>
            <w:r>
              <w:rPr>
                <w:rFonts w:hint="eastAsia" w:ascii="宋体" w:hAnsi="宋体" w:cs="宋体"/>
                <w:color w:val="FF0000"/>
                <w:szCs w:val="21"/>
              </w:rPr>
              <w:t>（“文件制作机器码”“文件创建标识码”一致）。</w:t>
            </w:r>
          </w:p>
        </w:tc>
      </w:tr>
      <w:tr w14:paraId="573E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14:paraId="76142D0B">
            <w:pPr>
              <w:pBdr>
                <w:top w:val="none" w:color="auto" w:sz="0" w:space="1"/>
                <w:left w:val="none" w:color="auto" w:sz="0" w:space="4"/>
                <w:bottom w:val="none" w:color="auto" w:sz="0" w:space="1"/>
                <w:right w:val="none" w:color="auto" w:sz="0" w:space="4"/>
              </w:pBdr>
              <w:spacing w:line="400" w:lineRule="exact"/>
              <w:jc w:val="center"/>
              <w:rPr>
                <w:rFonts w:hint="eastAsia" w:ascii="宋体" w:hAnsi="宋体" w:cs="宋体"/>
                <w:color w:val="FF0000"/>
                <w:szCs w:val="21"/>
              </w:rPr>
            </w:pPr>
            <w:r>
              <w:rPr>
                <w:rFonts w:hint="eastAsia" w:ascii="宋体" w:hAnsi="宋体" w:cs="宋体"/>
                <w:color w:val="FF0000"/>
                <w:szCs w:val="21"/>
              </w:rPr>
              <w:t>5</w:t>
            </w:r>
          </w:p>
        </w:tc>
        <w:tc>
          <w:tcPr>
            <w:tcW w:w="7711" w:type="dxa"/>
            <w:tcBorders>
              <w:tl2br w:val="nil"/>
              <w:tr2bl w:val="nil"/>
            </w:tcBorders>
            <w:vAlign w:val="center"/>
          </w:tcPr>
          <w:p w14:paraId="2B068CBD">
            <w:pPr>
              <w:pBdr>
                <w:top w:val="none" w:color="auto" w:sz="0" w:space="1"/>
                <w:left w:val="none" w:color="auto" w:sz="0" w:space="4"/>
                <w:bottom w:val="none" w:color="auto" w:sz="0" w:space="1"/>
                <w:right w:val="none" w:color="auto" w:sz="0" w:space="4"/>
              </w:pBdr>
              <w:spacing w:line="400" w:lineRule="exact"/>
              <w:jc w:val="left"/>
              <w:rPr>
                <w:rFonts w:hint="eastAsia" w:ascii="宋体" w:hAnsi="宋体" w:cs="宋体"/>
                <w:color w:val="FF0000"/>
                <w:szCs w:val="21"/>
              </w:rPr>
            </w:pPr>
            <w:r>
              <w:rPr>
                <w:rFonts w:hint="eastAsia" w:ascii="宋体" w:hAnsi="宋体" w:cs="宋体"/>
                <w:color w:val="FF0000"/>
                <w:szCs w:val="21"/>
              </w:rPr>
              <w:t>提供</w:t>
            </w:r>
            <w:r>
              <w:rPr>
                <w:rFonts w:hint="eastAsia" w:ascii="宋体" w:hAnsi="宋体" w:cs="宋体"/>
                <w:b/>
                <w:bCs/>
                <w:color w:val="FF0000"/>
                <w:szCs w:val="21"/>
              </w:rPr>
              <w:t>未经出具机构核实</w:t>
            </w:r>
            <w:r>
              <w:rPr>
                <w:rFonts w:hint="eastAsia" w:ascii="宋体" w:hAnsi="宋体" w:cs="宋体"/>
                <w:color w:val="FF0000"/>
                <w:szCs w:val="21"/>
              </w:rPr>
              <w:t>的虚假的检验检测报告、业绩材料、社保缴纳证明、学历学位证书、职称认证证书等材料。</w:t>
            </w:r>
          </w:p>
        </w:tc>
      </w:tr>
      <w:tr w14:paraId="1A65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14:paraId="5E018AC3">
            <w:pPr>
              <w:pBdr>
                <w:top w:val="none" w:color="auto" w:sz="0" w:space="1"/>
                <w:left w:val="none" w:color="auto" w:sz="0" w:space="4"/>
                <w:bottom w:val="none" w:color="auto" w:sz="0" w:space="1"/>
                <w:right w:val="none" w:color="auto" w:sz="0" w:space="4"/>
              </w:pBdr>
              <w:spacing w:line="400" w:lineRule="exact"/>
              <w:jc w:val="center"/>
              <w:rPr>
                <w:rFonts w:hint="eastAsia" w:ascii="宋体" w:hAnsi="宋体" w:cs="宋体"/>
                <w:color w:val="FF0000"/>
                <w:szCs w:val="21"/>
              </w:rPr>
            </w:pPr>
            <w:r>
              <w:rPr>
                <w:rFonts w:hint="eastAsia" w:ascii="宋体" w:hAnsi="宋体" w:cs="宋体"/>
                <w:color w:val="FF0000"/>
                <w:szCs w:val="21"/>
              </w:rPr>
              <w:t>6</w:t>
            </w:r>
          </w:p>
        </w:tc>
        <w:tc>
          <w:tcPr>
            <w:tcW w:w="7711" w:type="dxa"/>
            <w:tcBorders>
              <w:tl2br w:val="nil"/>
              <w:tr2bl w:val="nil"/>
            </w:tcBorders>
            <w:vAlign w:val="center"/>
          </w:tcPr>
          <w:p w14:paraId="4423C8C4">
            <w:pPr>
              <w:pBdr>
                <w:top w:val="none" w:color="auto" w:sz="0" w:space="1"/>
                <w:left w:val="none" w:color="auto" w:sz="0" w:space="4"/>
                <w:bottom w:val="none" w:color="auto" w:sz="0" w:space="1"/>
                <w:right w:val="none" w:color="auto" w:sz="0" w:space="4"/>
              </w:pBdr>
              <w:spacing w:line="400" w:lineRule="exact"/>
              <w:jc w:val="left"/>
              <w:rPr>
                <w:rFonts w:hint="eastAsia" w:ascii="宋体" w:hAnsi="宋体" w:cs="宋体"/>
                <w:color w:val="FF0000"/>
                <w:szCs w:val="21"/>
              </w:rPr>
            </w:pPr>
            <w:r>
              <w:rPr>
                <w:rFonts w:hint="eastAsia" w:ascii="宋体" w:hAnsi="宋体" w:cs="宋体"/>
                <w:color w:val="FF0000"/>
                <w:szCs w:val="21"/>
              </w:rPr>
              <w:t>擅自将投标密钥或电子营业执照出借他人使用或未妥善保管。</w:t>
            </w:r>
          </w:p>
        </w:tc>
      </w:tr>
    </w:tbl>
    <w:p w14:paraId="18914FC7">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p>
    <w:p w14:paraId="6CD02830">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110FC74">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（一）在采购活动中应当回避而未回避的；</w:t>
      </w:r>
    </w:p>
    <w:p w14:paraId="465A4643">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（二）未按本条例规定签订、履行采购合同，造成严重后果的；</w:t>
      </w:r>
    </w:p>
    <w:p w14:paraId="1735ACD8">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（三）隐瞒真实情况，提供虚假资料的；</w:t>
      </w:r>
    </w:p>
    <w:p w14:paraId="61567CE8">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（四）以非法手段排斥其他供应商参与竞争的；</w:t>
      </w:r>
    </w:p>
    <w:p w14:paraId="3D5985E2">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（五）与其他采购参加人串通投标的；</w:t>
      </w:r>
    </w:p>
    <w:p w14:paraId="66361C17">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（六）恶意投诉的；</w:t>
      </w:r>
    </w:p>
    <w:p w14:paraId="76B65FC4">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（七）向采购项目相关人行贿或者提供其他不当利益的；</w:t>
      </w:r>
    </w:p>
    <w:p w14:paraId="4479B2AA">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（八）阻碍、抗拒主管部门监督检查的；</w:t>
      </w:r>
    </w:p>
    <w:p w14:paraId="3CE713E4">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（九）其他违反本条例规定的行为。</w:t>
      </w:r>
    </w:p>
    <w:p w14:paraId="67E5C43B">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二、《深圳经济特区政府采购条例实施细则》第七十五条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11010060">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三、《深圳经济特区政府采购条例实施细则》第七十七条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9FD6446">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4065A70D">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bCs/>
          <w:color w:val="FF0000"/>
          <w:sz w:val="20"/>
          <w:szCs w:val="20"/>
        </w:rPr>
        <w:t>四、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78B4EC09">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bCs/>
          <w:color w:val="FF0000"/>
          <w:sz w:val="20"/>
          <w:szCs w:val="20"/>
        </w:rPr>
        <w:t>为避免出现不同供应商投标文件的文件制作机器码、文件创建标识码、IP地址一致的异常情况，建议各供应商编制、上传投标文件时不要使用公共电脑设备或公共网络。</w:t>
      </w:r>
    </w:p>
    <w:p w14:paraId="7229559C">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bCs/>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bCs/>
          <w:color w:val="FF0000"/>
          <w:sz w:val="20"/>
          <w:szCs w:val="20"/>
        </w:rPr>
        <w:t>，请各供应商独立编制、上传投标文件，妥善保管和使用电子秘钥。</w:t>
      </w:r>
    </w:p>
    <w:p w14:paraId="61820858">
      <w:pPr>
        <w:pBdr>
          <w:top w:val="none" w:color="auto" w:sz="0" w:space="1"/>
          <w:left w:val="none" w:color="auto" w:sz="0" w:space="4"/>
          <w:bottom w:val="none" w:color="auto" w:sz="0" w:space="1"/>
          <w:right w:val="none" w:color="auto" w:sz="0" w:space="4"/>
        </w:pBdr>
        <w:ind w:firstLine="422" w:firstLineChars="200"/>
        <w:rPr>
          <w:b/>
          <w:color w:val="FF0000"/>
        </w:rPr>
      </w:pPr>
    </w:p>
    <w:p w14:paraId="05D469FD">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五、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4E385315">
      <w:pPr>
        <w:pBdr>
          <w:top w:val="none" w:color="auto" w:sz="0" w:space="1"/>
          <w:left w:val="none" w:color="auto" w:sz="0" w:space="4"/>
          <w:bottom w:val="none" w:color="auto" w:sz="0" w:space="1"/>
          <w:right w:val="none" w:color="auto" w:sz="0" w:space="4"/>
        </w:pBdr>
        <w:ind w:firstLine="422" w:firstLineChars="200"/>
        <w:rPr>
          <w:b/>
          <w:color w:val="FF0000"/>
        </w:rPr>
      </w:pPr>
    </w:p>
    <w:p w14:paraId="2A7189D5">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六、请投标供应商阅读《政府采购违法行为风险知悉确认书》（内容详见“投标文件附件（信息不公开部分）”中节点“投标人认为需要加以说明的其他内容（格式自定）”），并经各投标供应商负责人签字并加盖单位公章后，扫描上传至投标文件一并提交。</w:t>
      </w:r>
    </w:p>
    <w:p w14:paraId="608F81FD">
      <w:pPr>
        <w:pStyle w:val="39"/>
      </w:pPr>
    </w:p>
    <w:p w14:paraId="26F5E536">
      <w:pPr>
        <w:pStyle w:val="17"/>
        <w:widowControl/>
        <w:pBdr>
          <w:top w:val="none" w:color="auto" w:sz="0" w:space="1"/>
          <w:left w:val="none" w:color="auto" w:sz="0" w:space="4"/>
          <w:bottom w:val="none" w:color="auto" w:sz="0" w:space="1"/>
          <w:right w:val="none" w:color="auto" w:sz="0" w:space="4"/>
        </w:pBdr>
        <w:jc w:val="both"/>
        <w:outlineLvl w:val="1"/>
        <w:rPr>
          <w:b/>
          <w:color w:val="FF0000"/>
          <w:kern w:val="2"/>
          <w:sz w:val="21"/>
        </w:rPr>
      </w:pPr>
      <w:r>
        <w:rPr>
          <w:rFonts w:hint="eastAsia"/>
          <w:b/>
          <w:color w:val="FF0000"/>
          <w:kern w:val="2"/>
          <w:sz w:val="21"/>
        </w:rPr>
        <w:t>注：“特别警示条款”和《政府采购违法行为风险知悉确认书》用于对供应商违法行为的提醒，不作为供应商资格性审查及符合性审查条件。</w:t>
      </w:r>
    </w:p>
    <w:p w14:paraId="65CE342C">
      <w:pPr>
        <w:rPr>
          <w:rFonts w:hint="eastAsia" w:ascii="黑体" w:hAnsi="宋体" w:eastAsia="黑体" w:cs="黑体"/>
          <w:sz w:val="40"/>
          <w:szCs w:val="40"/>
        </w:rPr>
      </w:pPr>
      <w:r>
        <w:rPr>
          <w:rFonts w:hint="eastAsia" w:ascii="黑体" w:hAnsi="宋体" w:eastAsia="黑体" w:cs="黑体"/>
          <w:sz w:val="40"/>
          <w:szCs w:val="40"/>
        </w:rPr>
        <w:br w:type="page"/>
      </w:r>
    </w:p>
    <w:p w14:paraId="679E6816">
      <w:pPr>
        <w:pStyle w:val="17"/>
        <w:widowControl/>
        <w:jc w:val="center"/>
        <w:outlineLvl w:val="1"/>
        <w:rPr>
          <w:rFonts w:hint="eastAsia" w:ascii="黑体" w:hAnsi="宋体" w:eastAsia="黑体" w:cs="黑体"/>
          <w:sz w:val="40"/>
          <w:szCs w:val="40"/>
        </w:rPr>
      </w:pPr>
    </w:p>
    <w:p w14:paraId="3476F908">
      <w:pPr>
        <w:pStyle w:val="17"/>
        <w:widowControl/>
        <w:jc w:val="center"/>
        <w:outlineLvl w:val="1"/>
        <w:rPr>
          <w:rFonts w:hint="eastAsia" w:ascii="黑体" w:hAnsi="宋体" w:eastAsia="黑体" w:cs="黑体"/>
          <w:sz w:val="40"/>
          <w:szCs w:val="40"/>
        </w:rPr>
      </w:pPr>
      <w:r>
        <w:rPr>
          <w:rFonts w:hint="eastAsia" w:ascii="黑体" w:hAnsi="宋体" w:eastAsia="黑体" w:cs="黑体"/>
          <w:sz w:val="40"/>
          <w:szCs w:val="40"/>
        </w:rPr>
        <w:t>招标文件信息</w:t>
      </w:r>
    </w:p>
    <w:tbl>
      <w:tblPr>
        <w:tblStyle w:val="21"/>
        <w:tblW w:w="7943" w:type="dxa"/>
        <w:jc w:val="center"/>
        <w:tblCellSpacing w:w="0" w:type="dxa"/>
        <w:tblLayout w:type="fixed"/>
        <w:tblCellMar>
          <w:top w:w="45" w:type="dxa"/>
          <w:left w:w="45" w:type="dxa"/>
          <w:bottom w:w="45" w:type="dxa"/>
          <w:right w:w="45" w:type="dxa"/>
        </w:tblCellMar>
      </w:tblPr>
      <w:tblGrid>
        <w:gridCol w:w="2723"/>
        <w:gridCol w:w="5220"/>
      </w:tblGrid>
      <w:tr w14:paraId="6F132D13">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3D7CF36A">
            <w:pPr>
              <w:widowControl/>
              <w:jc w:val="right"/>
              <w:rPr>
                <w:sz w:val="30"/>
                <w:szCs w:val="30"/>
              </w:rPr>
            </w:pPr>
            <w:r>
              <w:rPr>
                <w:rFonts w:ascii="宋体" w:hAnsi="宋体" w:cs="宋体"/>
                <w:kern w:val="0"/>
                <w:sz w:val="30"/>
                <w:szCs w:val="30"/>
              </w:rPr>
              <w:t>项目编号：</w:t>
            </w:r>
          </w:p>
        </w:tc>
        <w:tc>
          <w:tcPr>
            <w:tcW w:w="5220" w:type="dxa"/>
            <w:vAlign w:val="center"/>
          </w:tcPr>
          <w:p w14:paraId="244C3D62">
            <w:pPr>
              <w:widowControl/>
              <w:jc w:val="left"/>
              <w:rPr>
                <w:sz w:val="30"/>
                <w:szCs w:val="30"/>
              </w:rPr>
            </w:pPr>
          </w:p>
        </w:tc>
      </w:tr>
      <w:tr w14:paraId="2AE58892">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7082672A">
            <w:pPr>
              <w:widowControl/>
              <w:jc w:val="right"/>
              <w:rPr>
                <w:sz w:val="30"/>
                <w:szCs w:val="30"/>
              </w:rPr>
            </w:pPr>
            <w:r>
              <w:rPr>
                <w:rFonts w:ascii="宋体" w:hAnsi="宋体" w:cs="宋体"/>
                <w:kern w:val="0"/>
                <w:sz w:val="30"/>
                <w:szCs w:val="30"/>
              </w:rPr>
              <w:t>项目名称：</w:t>
            </w:r>
          </w:p>
        </w:tc>
        <w:tc>
          <w:tcPr>
            <w:tcW w:w="5220" w:type="dxa"/>
            <w:vAlign w:val="center"/>
          </w:tcPr>
          <w:p w14:paraId="6F1979EB">
            <w:pPr>
              <w:widowControl/>
              <w:jc w:val="left"/>
              <w:rPr>
                <w:rFonts w:hint="eastAsia" w:ascii="宋体" w:hAnsi="宋体" w:eastAsia="宋体" w:cs="宋体"/>
                <w:kern w:val="0"/>
                <w:sz w:val="24"/>
                <w:lang w:eastAsia="zh-CN"/>
              </w:rPr>
            </w:pPr>
            <w:r>
              <w:rPr>
                <w:rFonts w:hint="eastAsia" w:ascii="宋体" w:hAnsi="宋体" w:cs="宋体" w:eastAsiaTheme="minorEastAsia"/>
                <w:kern w:val="0"/>
                <w:sz w:val="30"/>
                <w:szCs w:val="30"/>
                <w:lang w:eastAsia="zh-CN"/>
              </w:rPr>
              <w:t>深圳市第三人民医院新建宿舍家具采购</w:t>
            </w:r>
          </w:p>
        </w:tc>
      </w:tr>
      <w:tr w14:paraId="4563451F">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3C9CABD1">
            <w:pPr>
              <w:widowControl/>
              <w:jc w:val="right"/>
              <w:rPr>
                <w:sz w:val="30"/>
                <w:szCs w:val="30"/>
              </w:rPr>
            </w:pPr>
            <w:r>
              <w:rPr>
                <w:rFonts w:ascii="宋体" w:hAnsi="宋体" w:cs="宋体"/>
                <w:kern w:val="0"/>
                <w:sz w:val="30"/>
                <w:szCs w:val="30"/>
              </w:rPr>
              <w:t xml:space="preserve">包 </w:t>
            </w:r>
            <w:r>
              <w:rPr>
                <w:rFonts w:hint="eastAsia" w:ascii="宋体" w:hAnsi="宋体" w:cs="宋体"/>
                <w:kern w:val="0"/>
                <w:sz w:val="30"/>
                <w:szCs w:val="30"/>
              </w:rPr>
              <w:t xml:space="preserve">   </w:t>
            </w:r>
            <w:r>
              <w:rPr>
                <w:rFonts w:ascii="宋体" w:hAnsi="宋体" w:cs="宋体"/>
                <w:kern w:val="0"/>
                <w:sz w:val="30"/>
                <w:szCs w:val="30"/>
              </w:rPr>
              <w:t>号：</w:t>
            </w:r>
          </w:p>
        </w:tc>
        <w:tc>
          <w:tcPr>
            <w:tcW w:w="5220" w:type="dxa"/>
            <w:vAlign w:val="center"/>
          </w:tcPr>
          <w:p w14:paraId="1922A804">
            <w:pPr>
              <w:widowControl/>
              <w:jc w:val="left"/>
              <w:rPr>
                <w:sz w:val="30"/>
                <w:szCs w:val="30"/>
              </w:rPr>
            </w:pPr>
            <w:r>
              <w:rPr>
                <w:rFonts w:ascii="宋体" w:hAnsi="宋体" w:cs="宋体"/>
                <w:kern w:val="0"/>
                <w:sz w:val="30"/>
                <w:szCs w:val="30"/>
              </w:rPr>
              <w:t>A</w:t>
            </w:r>
          </w:p>
        </w:tc>
      </w:tr>
      <w:tr w14:paraId="2A7DEEE1">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52A40DCE">
            <w:pPr>
              <w:widowControl/>
              <w:jc w:val="right"/>
              <w:rPr>
                <w:sz w:val="30"/>
                <w:szCs w:val="30"/>
              </w:rPr>
            </w:pPr>
            <w:r>
              <w:rPr>
                <w:rFonts w:ascii="宋体" w:hAnsi="宋体" w:cs="宋体"/>
                <w:kern w:val="0"/>
                <w:sz w:val="30"/>
                <w:szCs w:val="30"/>
              </w:rPr>
              <w:t>项目类型：</w:t>
            </w:r>
          </w:p>
        </w:tc>
        <w:tc>
          <w:tcPr>
            <w:tcW w:w="5220" w:type="dxa"/>
            <w:vAlign w:val="center"/>
          </w:tcPr>
          <w:p w14:paraId="00A42666">
            <w:pPr>
              <w:widowControl/>
              <w:jc w:val="left"/>
              <w:rPr>
                <w:sz w:val="30"/>
                <w:szCs w:val="30"/>
              </w:rPr>
            </w:pPr>
            <w:r>
              <w:rPr>
                <w:rFonts w:ascii="宋体" w:hAnsi="宋体" w:cs="宋体"/>
                <w:kern w:val="0"/>
                <w:sz w:val="30"/>
                <w:szCs w:val="30"/>
              </w:rPr>
              <w:t>货物类</w:t>
            </w:r>
          </w:p>
        </w:tc>
      </w:tr>
      <w:tr w14:paraId="4FA32B76">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01F3EE92">
            <w:pPr>
              <w:widowControl/>
              <w:jc w:val="right"/>
              <w:rPr>
                <w:sz w:val="30"/>
                <w:szCs w:val="30"/>
              </w:rPr>
            </w:pPr>
            <w:r>
              <w:rPr>
                <w:rFonts w:ascii="宋体" w:hAnsi="宋体" w:cs="宋体"/>
                <w:kern w:val="0"/>
                <w:sz w:val="30"/>
                <w:szCs w:val="30"/>
              </w:rPr>
              <w:t>采购方式：</w:t>
            </w:r>
          </w:p>
        </w:tc>
        <w:tc>
          <w:tcPr>
            <w:tcW w:w="5220" w:type="dxa"/>
            <w:vAlign w:val="center"/>
          </w:tcPr>
          <w:p w14:paraId="5232789E">
            <w:pPr>
              <w:widowControl/>
              <w:jc w:val="left"/>
              <w:rPr>
                <w:sz w:val="30"/>
                <w:szCs w:val="30"/>
              </w:rPr>
            </w:pPr>
            <w:r>
              <w:rPr>
                <w:rFonts w:ascii="宋体" w:hAnsi="宋体" w:cs="宋体"/>
                <w:kern w:val="0"/>
                <w:sz w:val="30"/>
                <w:szCs w:val="30"/>
              </w:rPr>
              <w:t>公开招标</w:t>
            </w:r>
          </w:p>
        </w:tc>
      </w:tr>
      <w:tr w14:paraId="3EBE48DE">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714D8022">
            <w:pPr>
              <w:widowControl/>
              <w:jc w:val="right"/>
              <w:rPr>
                <w:sz w:val="30"/>
                <w:szCs w:val="30"/>
              </w:rPr>
            </w:pPr>
            <w:r>
              <w:rPr>
                <w:rFonts w:ascii="宋体" w:hAnsi="宋体" w:cs="宋体"/>
                <w:kern w:val="0"/>
                <w:sz w:val="30"/>
                <w:szCs w:val="30"/>
              </w:rPr>
              <w:t>货币类型：</w:t>
            </w:r>
          </w:p>
        </w:tc>
        <w:tc>
          <w:tcPr>
            <w:tcW w:w="5220" w:type="dxa"/>
            <w:vAlign w:val="center"/>
          </w:tcPr>
          <w:p w14:paraId="5738F8D1">
            <w:pPr>
              <w:widowControl/>
              <w:jc w:val="left"/>
              <w:rPr>
                <w:sz w:val="30"/>
                <w:szCs w:val="30"/>
              </w:rPr>
            </w:pPr>
            <w:r>
              <w:rPr>
                <w:rFonts w:ascii="宋体" w:hAnsi="宋体" w:cs="宋体"/>
                <w:kern w:val="0"/>
                <w:sz w:val="30"/>
                <w:szCs w:val="30"/>
              </w:rPr>
              <w:t>人民币</w:t>
            </w:r>
          </w:p>
        </w:tc>
      </w:tr>
      <w:tr w14:paraId="62A1E614">
        <w:tblPrEx>
          <w:tblCellMar>
            <w:top w:w="45" w:type="dxa"/>
            <w:left w:w="45" w:type="dxa"/>
            <w:bottom w:w="45" w:type="dxa"/>
            <w:right w:w="45" w:type="dxa"/>
          </w:tblCellMar>
        </w:tblPrEx>
        <w:trPr>
          <w:trHeight w:val="738" w:hRule="atLeast"/>
          <w:tblCellSpacing w:w="0" w:type="dxa"/>
          <w:jc w:val="center"/>
        </w:trPr>
        <w:tc>
          <w:tcPr>
            <w:tcW w:w="2723" w:type="dxa"/>
            <w:vAlign w:val="center"/>
          </w:tcPr>
          <w:p w14:paraId="5A6C2E3D">
            <w:pPr>
              <w:widowControl/>
              <w:jc w:val="right"/>
              <w:rPr>
                <w:sz w:val="30"/>
                <w:szCs w:val="30"/>
              </w:rPr>
            </w:pPr>
            <w:r>
              <w:rPr>
                <w:rFonts w:ascii="宋体" w:hAnsi="宋体" w:cs="宋体"/>
                <w:kern w:val="0"/>
                <w:sz w:val="30"/>
                <w:szCs w:val="30"/>
              </w:rPr>
              <w:t>评标方法：</w:t>
            </w:r>
          </w:p>
        </w:tc>
        <w:tc>
          <w:tcPr>
            <w:tcW w:w="5220" w:type="dxa"/>
            <w:vAlign w:val="center"/>
          </w:tcPr>
          <w:p w14:paraId="234CA6C0">
            <w:pPr>
              <w:widowControl/>
              <w:jc w:val="left"/>
              <w:rPr>
                <w:sz w:val="30"/>
                <w:szCs w:val="30"/>
              </w:rPr>
            </w:pPr>
            <w:r>
              <w:rPr>
                <w:rFonts w:ascii="宋体" w:hAnsi="宋体" w:cs="宋体"/>
                <w:kern w:val="0"/>
                <w:sz w:val="30"/>
                <w:szCs w:val="30"/>
              </w:rPr>
              <w:t>综合评分法</w:t>
            </w:r>
          </w:p>
        </w:tc>
      </w:tr>
      <w:bookmarkEnd w:id="0"/>
    </w:tbl>
    <w:p w14:paraId="1CAE3A38">
      <w:pPr>
        <w:pStyle w:val="17"/>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6419B0E2">
      <w:pPr>
        <w:pStyle w:val="17"/>
        <w:widowControl/>
        <w:jc w:val="center"/>
        <w:outlineLvl w:val="1"/>
        <w:rPr>
          <w:rFonts w:hint="eastAsia" w:ascii="黑体" w:hAnsi="宋体" w:eastAsia="黑体" w:cs="黑体"/>
          <w:sz w:val="40"/>
          <w:szCs w:val="40"/>
        </w:rPr>
      </w:pPr>
      <w:r>
        <w:rPr>
          <w:rFonts w:hint="eastAsia" w:ascii="黑体" w:hAnsi="宋体" w:eastAsia="黑体" w:cs="黑体"/>
          <w:sz w:val="40"/>
          <w:szCs w:val="40"/>
        </w:rPr>
        <w:t>资格性审查表</w:t>
      </w:r>
    </w:p>
    <w:tbl>
      <w:tblPr>
        <w:tblStyle w:val="21"/>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61B1C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1F2DF4B">
            <w:pPr>
              <w:widowControl/>
              <w:jc w:val="center"/>
              <w:rPr>
                <w:sz w:val="28"/>
                <w:szCs w:val="28"/>
              </w:rPr>
            </w:pPr>
            <w:r>
              <w:rPr>
                <w:rFonts w:ascii="宋体" w:hAnsi="宋体" w:cs="宋体"/>
                <w:kern w:val="0"/>
                <w:sz w:val="28"/>
                <w:szCs w:val="28"/>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AC9A411">
            <w:pPr>
              <w:widowControl/>
              <w:jc w:val="center"/>
              <w:rPr>
                <w:sz w:val="28"/>
                <w:szCs w:val="28"/>
              </w:rPr>
            </w:pPr>
            <w:r>
              <w:rPr>
                <w:rFonts w:ascii="宋体" w:hAnsi="宋体" w:cs="宋体"/>
                <w:kern w:val="0"/>
                <w:sz w:val="28"/>
                <w:szCs w:val="28"/>
              </w:rPr>
              <w:t>内容</w:t>
            </w:r>
          </w:p>
        </w:tc>
      </w:tr>
      <w:tr w14:paraId="51B4D7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C3FEEBE">
            <w:pPr>
              <w:widowControl/>
              <w:jc w:val="center"/>
              <w:textAlignment w:val="top"/>
              <w:rPr>
                <w:szCs w:val="21"/>
              </w:rPr>
            </w:pPr>
            <w:r>
              <w:rPr>
                <w:rFonts w:ascii="宋体" w:hAnsi="宋体" w:cs="宋体"/>
                <w:kern w:val="0"/>
                <w:szCs w:val="21"/>
              </w:rPr>
              <w:t>1</w:t>
            </w:r>
          </w:p>
        </w:tc>
        <w:tc>
          <w:tcPr>
            <w:tcW w:w="8284" w:type="dxa"/>
            <w:tcBorders>
              <w:top w:val="single" w:color="000000" w:sz="8" w:space="0"/>
              <w:left w:val="single" w:color="000000" w:sz="8" w:space="0"/>
              <w:bottom w:val="single" w:color="000000" w:sz="8" w:space="0"/>
              <w:right w:val="single" w:color="000000" w:sz="8" w:space="0"/>
            </w:tcBorders>
          </w:tcPr>
          <w:p w14:paraId="3FD986E5">
            <w:pPr>
              <w:widowControl/>
              <w:jc w:val="left"/>
              <w:textAlignment w:val="top"/>
              <w:rPr>
                <w:szCs w:val="21"/>
              </w:rPr>
            </w:pPr>
            <w:r>
              <w:rPr>
                <w:rFonts w:ascii="宋体" w:hAnsi="宋体" w:cs="宋体"/>
                <w:kern w:val="0"/>
                <w:szCs w:val="21"/>
              </w:rPr>
              <w:t>投标人不</w:t>
            </w:r>
            <w:r>
              <w:rPr>
                <w:rFonts w:hint="eastAsia" w:ascii="宋体" w:hAnsi="宋体" w:cs="宋体"/>
                <w:kern w:val="0"/>
                <w:szCs w:val="21"/>
              </w:rPr>
              <w:t>符合</w:t>
            </w:r>
            <w:r>
              <w:rPr>
                <w:rFonts w:ascii="宋体" w:hAnsi="宋体" w:cs="宋体"/>
                <w:kern w:val="0"/>
                <w:szCs w:val="21"/>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rPr>
              <w:t>）</w:t>
            </w:r>
          </w:p>
        </w:tc>
      </w:tr>
    </w:tbl>
    <w:p w14:paraId="4FED0FD1">
      <w:pPr>
        <w:pStyle w:val="17"/>
        <w:widowControl/>
        <w:spacing w:before="280" w:beforeAutospacing="0"/>
        <w:jc w:val="center"/>
        <w:outlineLvl w:val="1"/>
        <w:rPr>
          <w:rFonts w:hint="eastAsia" w:ascii="黑体" w:hAnsi="宋体" w:eastAsia="黑体" w:cs="黑体"/>
          <w:sz w:val="40"/>
          <w:szCs w:val="40"/>
        </w:rPr>
      </w:pPr>
      <w:r>
        <w:rPr>
          <w:rFonts w:hint="eastAsia" w:ascii="黑体" w:hAnsi="宋体" w:eastAsia="黑体" w:cs="黑体"/>
          <w:sz w:val="40"/>
          <w:szCs w:val="40"/>
        </w:rPr>
        <w:t>符合性审查表</w:t>
      </w:r>
    </w:p>
    <w:tbl>
      <w:tblPr>
        <w:tblStyle w:val="21"/>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70E606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218652D">
            <w:pPr>
              <w:widowControl/>
              <w:jc w:val="center"/>
              <w:rPr>
                <w:sz w:val="28"/>
                <w:szCs w:val="28"/>
              </w:rPr>
            </w:pPr>
            <w:r>
              <w:rPr>
                <w:rFonts w:ascii="宋体" w:hAnsi="宋体" w:cs="宋体"/>
                <w:kern w:val="0"/>
                <w:sz w:val="28"/>
                <w:szCs w:val="28"/>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BB949AA">
            <w:pPr>
              <w:widowControl/>
              <w:jc w:val="center"/>
              <w:rPr>
                <w:sz w:val="28"/>
                <w:szCs w:val="28"/>
              </w:rPr>
            </w:pPr>
            <w:r>
              <w:rPr>
                <w:rFonts w:ascii="宋体" w:hAnsi="宋体" w:cs="宋体"/>
                <w:kern w:val="0"/>
                <w:sz w:val="28"/>
                <w:szCs w:val="28"/>
              </w:rPr>
              <w:t>内容</w:t>
            </w:r>
          </w:p>
        </w:tc>
      </w:tr>
      <w:tr w14:paraId="5B6D84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7EDE72F4">
            <w:pPr>
              <w:widowControl/>
              <w:jc w:val="center"/>
              <w:textAlignment w:val="top"/>
              <w:rPr>
                <w:szCs w:val="21"/>
              </w:rPr>
            </w:pPr>
            <w:r>
              <w:rPr>
                <w:rFonts w:ascii="宋体" w:hAnsi="宋体" w:cs="宋体"/>
                <w:kern w:val="0"/>
                <w:szCs w:val="21"/>
              </w:rPr>
              <w:t>1</w:t>
            </w:r>
          </w:p>
        </w:tc>
        <w:tc>
          <w:tcPr>
            <w:tcW w:w="8284" w:type="dxa"/>
            <w:tcBorders>
              <w:top w:val="single" w:color="000000" w:sz="8" w:space="0"/>
              <w:left w:val="single" w:color="000000" w:sz="8" w:space="0"/>
              <w:bottom w:val="single" w:color="000000" w:sz="8" w:space="0"/>
              <w:right w:val="single" w:color="000000" w:sz="8" w:space="0"/>
            </w:tcBorders>
          </w:tcPr>
          <w:p w14:paraId="6B4FE7C1">
            <w:pPr>
              <w:widowControl/>
              <w:jc w:val="left"/>
              <w:textAlignment w:val="top"/>
              <w:rPr>
                <w:szCs w:val="21"/>
              </w:rPr>
            </w:pPr>
            <w:r>
              <w:rPr>
                <w:rFonts w:hint="eastAsia"/>
              </w:rPr>
              <w:t>不得将一个包的内容拆开投标；</w:t>
            </w:r>
          </w:p>
        </w:tc>
      </w:tr>
      <w:tr w14:paraId="277E24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147E0317">
            <w:pPr>
              <w:widowControl/>
              <w:jc w:val="center"/>
              <w:textAlignment w:val="top"/>
              <w:rPr>
                <w:szCs w:val="21"/>
              </w:rPr>
            </w:pPr>
            <w:r>
              <w:rPr>
                <w:rFonts w:ascii="宋体" w:hAnsi="宋体" w:cs="宋体"/>
                <w:kern w:val="0"/>
                <w:szCs w:val="21"/>
              </w:rPr>
              <w:t>2</w:t>
            </w:r>
          </w:p>
        </w:tc>
        <w:tc>
          <w:tcPr>
            <w:tcW w:w="8284" w:type="dxa"/>
            <w:tcBorders>
              <w:top w:val="single" w:color="000000" w:sz="8" w:space="0"/>
              <w:left w:val="single" w:color="000000" w:sz="8" w:space="0"/>
              <w:bottom w:val="single" w:color="000000" w:sz="8" w:space="0"/>
              <w:right w:val="single" w:color="000000" w:sz="8" w:space="0"/>
            </w:tcBorders>
          </w:tcPr>
          <w:p w14:paraId="7EB1420B">
            <w:pPr>
              <w:widowControl/>
              <w:jc w:val="left"/>
              <w:textAlignment w:val="top"/>
              <w:rPr>
                <w:szCs w:val="21"/>
              </w:rPr>
            </w:pPr>
            <w:r>
              <w:rPr>
                <w:rFonts w:hint="eastAsia"/>
              </w:rPr>
              <w:t>对同一项目投标时，不得提供两套以上的投标方案（招标文件另有规定的除外）；</w:t>
            </w:r>
          </w:p>
        </w:tc>
      </w:tr>
      <w:tr w14:paraId="01D936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1B287772">
            <w:pPr>
              <w:widowControl/>
              <w:jc w:val="center"/>
              <w:textAlignment w:val="top"/>
              <w:rPr>
                <w:szCs w:val="21"/>
              </w:rPr>
            </w:pPr>
            <w:r>
              <w:rPr>
                <w:rFonts w:ascii="宋体" w:hAnsi="宋体" w:cs="宋体"/>
                <w:kern w:val="0"/>
                <w:szCs w:val="21"/>
              </w:rPr>
              <w:t>3</w:t>
            </w:r>
          </w:p>
        </w:tc>
        <w:tc>
          <w:tcPr>
            <w:tcW w:w="8284" w:type="dxa"/>
            <w:tcBorders>
              <w:top w:val="single" w:color="000000" w:sz="8" w:space="0"/>
              <w:left w:val="single" w:color="000000" w:sz="8" w:space="0"/>
              <w:bottom w:val="single" w:color="000000" w:sz="8" w:space="0"/>
              <w:right w:val="single" w:color="000000" w:sz="8" w:space="0"/>
            </w:tcBorders>
          </w:tcPr>
          <w:p w14:paraId="622D8A7B">
            <w:pPr>
              <w:widowControl/>
              <w:jc w:val="left"/>
              <w:textAlignment w:val="top"/>
              <w:rPr>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14:paraId="009E53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27B72AEF">
            <w:pPr>
              <w:widowControl/>
              <w:jc w:val="center"/>
              <w:textAlignment w:val="top"/>
              <w:rPr>
                <w:szCs w:val="21"/>
              </w:rPr>
            </w:pPr>
            <w:r>
              <w:rPr>
                <w:rFonts w:hint="eastAsia"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tcPr>
          <w:p w14:paraId="28101416">
            <w:pPr>
              <w:widowControl/>
              <w:jc w:val="left"/>
              <w:textAlignment w:val="top"/>
              <w:rPr>
                <w:rFonts w:hint="eastAsia" w:ascii="宋体" w:hAnsi="宋体" w:cs="宋体"/>
                <w:szCs w:val="21"/>
              </w:rPr>
            </w:pPr>
            <w:r>
              <w:rPr>
                <w:rFonts w:hint="eastAsia" w:ascii="宋体" w:hAnsi="宋体" w:cs="宋体"/>
                <w:szCs w:val="21"/>
              </w:rPr>
              <w:t>评审中出现下列情形之一的，评审委员会应当启动异常低价投标（响应）审查程序：</w:t>
            </w:r>
          </w:p>
          <w:p w14:paraId="6FC6988F">
            <w:pPr>
              <w:widowControl/>
              <w:jc w:val="left"/>
              <w:textAlignment w:val="top"/>
              <w:rPr>
                <w:rFonts w:hint="eastAsia" w:ascii="宋体" w:hAnsi="宋体" w:cs="宋体"/>
                <w:szCs w:val="21"/>
              </w:rPr>
            </w:pPr>
            <w:r>
              <w:rPr>
                <w:rFonts w:hint="eastAsia" w:ascii="宋体" w:hAnsi="宋体" w:cs="宋体"/>
                <w:szCs w:val="21"/>
              </w:rPr>
              <w:t>1.投标（响应）报价低于全部通过符合性审查供应商投标（响应）报价平均值</w:t>
            </w:r>
            <w:r>
              <w:rPr>
                <w:rFonts w:hint="eastAsia" w:ascii="宋体" w:hAnsi="宋体" w:cs="宋体"/>
                <w:sz w:val="21"/>
                <w:szCs w:val="21"/>
                <w:lang w:val="en-US" w:eastAsia="zh-CN"/>
              </w:rPr>
              <w:t>65</w:t>
            </w:r>
            <w:r>
              <w:rPr>
                <w:rFonts w:hint="eastAsia" w:ascii="宋体" w:hAnsi="宋体" w:eastAsia="宋体" w:cs="宋体"/>
                <w:sz w:val="21"/>
                <w:szCs w:val="21"/>
              </w:rPr>
              <w:t>%</w:t>
            </w:r>
            <w:r>
              <w:rPr>
                <w:rFonts w:hint="eastAsia" w:ascii="宋体" w:hAnsi="宋体" w:cs="宋体"/>
                <w:szCs w:val="21"/>
              </w:rPr>
              <w:t>的，即投标（响应）报价&lt;全部通过符合性审查供应商投标（响应）报价平均值×</w:t>
            </w:r>
            <w:r>
              <w:rPr>
                <w:rFonts w:hint="eastAsia" w:ascii="宋体" w:hAnsi="宋体" w:cs="宋体"/>
                <w:sz w:val="21"/>
                <w:szCs w:val="21"/>
                <w:lang w:val="en-US" w:eastAsia="zh-CN"/>
              </w:rPr>
              <w:t>65</w:t>
            </w:r>
            <w:r>
              <w:rPr>
                <w:rFonts w:hint="eastAsia" w:ascii="宋体" w:hAnsi="宋体" w:eastAsia="宋体" w:cs="宋体"/>
                <w:sz w:val="21"/>
                <w:szCs w:val="21"/>
              </w:rPr>
              <w:t>%</w:t>
            </w:r>
            <w:r>
              <w:rPr>
                <w:rFonts w:hint="eastAsia" w:ascii="宋体" w:hAnsi="宋体" w:cs="宋体"/>
                <w:szCs w:val="21"/>
              </w:rPr>
              <w:t>；</w:t>
            </w:r>
          </w:p>
          <w:p w14:paraId="4113E700">
            <w:pPr>
              <w:widowControl/>
              <w:jc w:val="left"/>
              <w:textAlignment w:val="top"/>
              <w:rPr>
                <w:rFonts w:hint="eastAsia" w:ascii="宋体" w:hAnsi="宋体" w:cs="宋体"/>
                <w:szCs w:val="21"/>
              </w:rPr>
            </w:pPr>
          </w:p>
          <w:p w14:paraId="3813EAFA">
            <w:pPr>
              <w:widowControl/>
              <w:jc w:val="left"/>
              <w:textAlignment w:val="top"/>
              <w:rPr>
                <w:rFonts w:hint="eastAsia" w:ascii="宋体" w:hAnsi="宋体" w:cs="宋体"/>
                <w:szCs w:val="21"/>
              </w:rPr>
            </w:pPr>
            <w:r>
              <w:rPr>
                <w:rFonts w:hint="eastAsia" w:ascii="宋体" w:hAnsi="宋体" w:cs="宋体"/>
                <w:szCs w:val="21"/>
              </w:rPr>
              <w:t>2.投标（响应）报价低于通过符合性审查的次低报价供应商投标（响应）报价</w:t>
            </w:r>
            <w:r>
              <w:rPr>
                <w:rFonts w:hint="eastAsia" w:ascii="宋体" w:hAnsi="宋体" w:cs="宋体"/>
                <w:sz w:val="21"/>
                <w:szCs w:val="21"/>
                <w:lang w:val="en-US" w:eastAsia="zh-CN"/>
              </w:rPr>
              <w:t>65</w:t>
            </w:r>
            <w:r>
              <w:rPr>
                <w:rFonts w:hint="eastAsia" w:ascii="宋体" w:hAnsi="宋体" w:eastAsia="宋体" w:cs="宋体"/>
                <w:sz w:val="21"/>
                <w:szCs w:val="21"/>
              </w:rPr>
              <w:t>%</w:t>
            </w:r>
            <w:r>
              <w:rPr>
                <w:rFonts w:hint="eastAsia" w:ascii="宋体" w:hAnsi="宋体" w:cs="宋体"/>
                <w:szCs w:val="21"/>
              </w:rPr>
              <w:t>的，即投标（响应）报价&lt;通过符合性审查的次低报价供应商投标（响应）报价×</w:t>
            </w:r>
            <w:r>
              <w:rPr>
                <w:rFonts w:hint="eastAsia" w:ascii="宋体" w:hAnsi="宋体" w:cs="宋体"/>
                <w:sz w:val="21"/>
                <w:szCs w:val="21"/>
                <w:lang w:val="en-US" w:eastAsia="zh-CN"/>
              </w:rPr>
              <w:t>65</w:t>
            </w:r>
            <w:r>
              <w:rPr>
                <w:rFonts w:hint="eastAsia" w:ascii="宋体" w:hAnsi="宋体" w:eastAsia="宋体" w:cs="宋体"/>
                <w:sz w:val="21"/>
                <w:szCs w:val="21"/>
              </w:rPr>
              <w:t>%</w:t>
            </w:r>
            <w:r>
              <w:rPr>
                <w:rFonts w:hint="eastAsia" w:ascii="宋体" w:hAnsi="宋体" w:cs="宋体"/>
                <w:szCs w:val="21"/>
              </w:rPr>
              <w:t>；</w:t>
            </w:r>
          </w:p>
          <w:p w14:paraId="166BF077">
            <w:pPr>
              <w:widowControl/>
              <w:jc w:val="left"/>
              <w:textAlignment w:val="top"/>
              <w:rPr>
                <w:rFonts w:hint="eastAsia" w:ascii="宋体" w:hAnsi="宋体" w:cs="宋体"/>
                <w:szCs w:val="21"/>
              </w:rPr>
            </w:pPr>
          </w:p>
          <w:p w14:paraId="63E9B4A2">
            <w:pPr>
              <w:widowControl/>
              <w:jc w:val="left"/>
              <w:textAlignment w:val="top"/>
              <w:rPr>
                <w:rFonts w:hint="eastAsia" w:ascii="宋体" w:hAnsi="宋体" w:cs="宋体"/>
                <w:szCs w:val="21"/>
              </w:rPr>
            </w:pPr>
            <w:r>
              <w:rPr>
                <w:rFonts w:hint="eastAsia" w:ascii="宋体" w:hAnsi="宋体" w:cs="宋体"/>
                <w:szCs w:val="21"/>
              </w:rPr>
              <w:t>3.投标（响应）报价低于采购项目最高限价</w:t>
            </w:r>
            <w:r>
              <w:rPr>
                <w:rFonts w:hint="eastAsia" w:ascii="宋体" w:hAnsi="宋体" w:cs="宋体"/>
                <w:sz w:val="21"/>
                <w:szCs w:val="21"/>
                <w:lang w:val="en-US" w:eastAsia="zh-CN"/>
              </w:rPr>
              <w:t>65</w:t>
            </w:r>
            <w:r>
              <w:rPr>
                <w:rFonts w:hint="eastAsia" w:ascii="宋体" w:hAnsi="宋体" w:eastAsia="宋体" w:cs="宋体"/>
                <w:sz w:val="21"/>
                <w:szCs w:val="21"/>
              </w:rPr>
              <w:t>%</w:t>
            </w:r>
            <w:r>
              <w:rPr>
                <w:rFonts w:hint="eastAsia" w:ascii="宋体" w:hAnsi="宋体" w:cs="宋体"/>
                <w:szCs w:val="21"/>
              </w:rPr>
              <w:t>的，即投标（响应）报价&lt;采购项目最高限价×</w:t>
            </w:r>
            <w:r>
              <w:rPr>
                <w:rFonts w:hint="eastAsia" w:ascii="宋体" w:hAnsi="宋体" w:cs="宋体"/>
                <w:sz w:val="21"/>
                <w:szCs w:val="21"/>
                <w:lang w:val="en-US" w:eastAsia="zh-CN"/>
              </w:rPr>
              <w:t>65</w:t>
            </w:r>
            <w:r>
              <w:rPr>
                <w:rFonts w:hint="eastAsia" w:ascii="宋体" w:hAnsi="宋体" w:eastAsia="宋体" w:cs="宋体"/>
                <w:sz w:val="21"/>
                <w:szCs w:val="21"/>
              </w:rPr>
              <w:t>%</w:t>
            </w:r>
            <w:r>
              <w:rPr>
                <w:rFonts w:hint="eastAsia" w:ascii="宋体" w:hAnsi="宋体" w:cs="宋体"/>
                <w:szCs w:val="21"/>
              </w:rPr>
              <w:t>；</w:t>
            </w:r>
          </w:p>
          <w:p w14:paraId="7FAFF79B">
            <w:pPr>
              <w:widowControl/>
              <w:jc w:val="left"/>
              <w:textAlignment w:val="top"/>
              <w:rPr>
                <w:rFonts w:hint="eastAsia" w:ascii="宋体" w:hAnsi="宋体" w:cs="宋体"/>
                <w:szCs w:val="21"/>
              </w:rPr>
            </w:pPr>
          </w:p>
          <w:p w14:paraId="5ECC6753">
            <w:pPr>
              <w:widowControl/>
              <w:jc w:val="left"/>
              <w:textAlignment w:val="top"/>
              <w:rPr>
                <w:rFonts w:hint="eastAsia" w:ascii="宋体" w:hAnsi="宋体" w:cs="宋体"/>
                <w:szCs w:val="21"/>
              </w:rPr>
            </w:pPr>
            <w:r>
              <w:rPr>
                <w:rFonts w:hint="eastAsia" w:ascii="宋体" w:hAnsi="宋体" w:cs="宋体"/>
                <w:szCs w:val="21"/>
              </w:rPr>
              <w:t>4.评审委员会基于专业判断，认为供应商报价过低，有可能影响产品质量或者不能诚信履约的其他情形。</w:t>
            </w:r>
          </w:p>
          <w:p w14:paraId="148E8BEC">
            <w:pPr>
              <w:widowControl/>
              <w:jc w:val="left"/>
              <w:textAlignment w:val="top"/>
              <w:rPr>
                <w:rFonts w:hint="eastAsia" w:ascii="宋体" w:hAnsi="宋体" w:cs="宋体"/>
                <w:szCs w:val="21"/>
              </w:rPr>
            </w:pPr>
          </w:p>
          <w:p w14:paraId="2D2718ED">
            <w:pPr>
              <w:widowControl/>
              <w:jc w:val="left"/>
              <w:textAlignment w:val="top"/>
              <w:rPr>
                <w:rFonts w:hint="eastAsia" w:ascii="宋体" w:hAnsi="宋体" w:cs="宋体"/>
                <w:szCs w:val="21"/>
              </w:rPr>
            </w:pPr>
            <w:r>
              <w:rPr>
                <w:rFonts w:hint="eastAsia" w:ascii="宋体" w:hAnsi="宋体" w:cs="宋体"/>
                <w:szCs w:val="21"/>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F0B4C5F">
            <w:pPr>
              <w:widowControl/>
              <w:jc w:val="left"/>
              <w:textAlignment w:val="top"/>
              <w:rPr>
                <w:rFonts w:hint="eastAsia" w:ascii="宋体" w:hAnsi="宋体" w:cs="宋体"/>
                <w:szCs w:val="21"/>
              </w:rPr>
            </w:pPr>
          </w:p>
          <w:p w14:paraId="52648D8F">
            <w:pPr>
              <w:widowControl/>
              <w:jc w:val="left"/>
              <w:textAlignment w:val="top"/>
              <w:rPr>
                <w:szCs w:val="21"/>
              </w:rPr>
            </w:pPr>
            <w:r>
              <w:rPr>
                <w:rFonts w:hint="eastAsia" w:ascii="宋体" w:hAnsi="宋体" w:cs="宋体"/>
                <w:szCs w:val="21"/>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333A51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0BE7562D">
            <w:pPr>
              <w:widowControl/>
              <w:jc w:val="center"/>
              <w:textAlignment w:val="top"/>
              <w:rPr>
                <w:szCs w:val="21"/>
              </w:rPr>
            </w:pPr>
            <w:r>
              <w:rPr>
                <w:rFonts w:ascii="宋体" w:hAnsi="宋体" w:cs="宋体"/>
                <w:kern w:val="0"/>
                <w:szCs w:val="21"/>
              </w:rPr>
              <w:t>5</w:t>
            </w:r>
          </w:p>
        </w:tc>
        <w:tc>
          <w:tcPr>
            <w:tcW w:w="8284" w:type="dxa"/>
            <w:tcBorders>
              <w:top w:val="single" w:color="000000" w:sz="8" w:space="0"/>
              <w:left w:val="single" w:color="000000" w:sz="8" w:space="0"/>
              <w:bottom w:val="single" w:color="000000" w:sz="8" w:space="0"/>
              <w:right w:val="single" w:color="000000" w:sz="8" w:space="0"/>
            </w:tcBorders>
          </w:tcPr>
          <w:p w14:paraId="110E0074">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099E52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60B87920">
            <w:pPr>
              <w:widowControl/>
              <w:jc w:val="center"/>
              <w:textAlignment w:val="top"/>
              <w:rPr>
                <w:szCs w:val="21"/>
              </w:rPr>
            </w:pPr>
            <w:r>
              <w:rPr>
                <w:rFonts w:ascii="宋体" w:hAnsi="宋体" w:cs="宋体"/>
                <w:kern w:val="0"/>
                <w:szCs w:val="21"/>
              </w:rPr>
              <w:t>6</w:t>
            </w:r>
          </w:p>
        </w:tc>
        <w:tc>
          <w:tcPr>
            <w:tcW w:w="8284" w:type="dxa"/>
            <w:tcBorders>
              <w:top w:val="single" w:color="000000" w:sz="8" w:space="0"/>
              <w:left w:val="single" w:color="000000" w:sz="8" w:space="0"/>
              <w:bottom w:val="single" w:color="000000" w:sz="8" w:space="0"/>
              <w:right w:val="single" w:color="000000" w:sz="8" w:space="0"/>
            </w:tcBorders>
          </w:tcPr>
          <w:p w14:paraId="65D60436">
            <w:pPr>
              <w:widowControl/>
              <w:jc w:val="left"/>
              <w:textAlignment w:val="top"/>
              <w:rPr>
                <w:szCs w:val="21"/>
              </w:rPr>
            </w:pPr>
            <w:r>
              <w:rPr>
                <w:rFonts w:hint="eastAsia"/>
              </w:rPr>
              <w:t>未按招标文件所提供的样式填写《投标函》；未按招标文件所提供的《政府采购投标及履约承诺函》进行承诺；未按招标文件对投标文件组成的要求提供投标文件；</w:t>
            </w:r>
          </w:p>
        </w:tc>
      </w:tr>
      <w:tr w14:paraId="662255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64A927E6">
            <w:pPr>
              <w:widowControl/>
              <w:jc w:val="center"/>
              <w:textAlignment w:val="top"/>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tcPr>
          <w:p w14:paraId="7C39D0D9">
            <w:pPr>
              <w:widowControl/>
              <w:jc w:val="left"/>
              <w:textAlignment w:val="top"/>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14:paraId="161090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3A2676F8">
            <w:pPr>
              <w:widowControl/>
              <w:jc w:val="center"/>
              <w:textAlignment w:val="top"/>
              <w:rPr>
                <w:szCs w:val="21"/>
              </w:rPr>
            </w:pPr>
            <w:r>
              <w:rPr>
                <w:rFonts w:ascii="宋体" w:hAnsi="宋体" w:cs="宋体"/>
                <w:kern w:val="0"/>
                <w:szCs w:val="21"/>
              </w:rPr>
              <w:t>8</w:t>
            </w:r>
          </w:p>
        </w:tc>
        <w:tc>
          <w:tcPr>
            <w:tcW w:w="8284" w:type="dxa"/>
            <w:tcBorders>
              <w:top w:val="single" w:color="000000" w:sz="8" w:space="0"/>
              <w:left w:val="single" w:color="000000" w:sz="8" w:space="0"/>
              <w:bottom w:val="single" w:color="000000" w:sz="8" w:space="0"/>
              <w:right w:val="single" w:color="000000" w:sz="8" w:space="0"/>
            </w:tcBorders>
          </w:tcPr>
          <w:p w14:paraId="21252E32">
            <w:pPr>
              <w:widowControl/>
              <w:jc w:val="left"/>
              <w:textAlignment w:val="top"/>
              <w:rPr>
                <w:szCs w:val="21"/>
              </w:rPr>
            </w:pPr>
            <w:r>
              <w:rPr>
                <w:rFonts w:hint="eastAsia"/>
              </w:rPr>
              <w:t>投标文件存在列放位置错误，导致属于信息公开情形的没有被公开；</w:t>
            </w:r>
          </w:p>
        </w:tc>
      </w:tr>
      <w:tr w14:paraId="59504A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6E8AD027">
            <w:pPr>
              <w:widowControl/>
              <w:jc w:val="center"/>
              <w:textAlignment w:val="top"/>
              <w:rPr>
                <w:szCs w:val="21"/>
              </w:rPr>
            </w:pPr>
            <w:r>
              <w:rPr>
                <w:rFonts w:ascii="宋体" w:hAnsi="宋体" w:cs="宋体"/>
                <w:kern w:val="0"/>
                <w:szCs w:val="21"/>
              </w:rPr>
              <w:t>9</w:t>
            </w:r>
          </w:p>
        </w:tc>
        <w:tc>
          <w:tcPr>
            <w:tcW w:w="8284" w:type="dxa"/>
            <w:tcBorders>
              <w:top w:val="single" w:color="000000" w:sz="8" w:space="0"/>
              <w:left w:val="single" w:color="000000" w:sz="8" w:space="0"/>
              <w:bottom w:val="single" w:color="000000" w:sz="8" w:space="0"/>
              <w:right w:val="single" w:color="000000" w:sz="8" w:space="0"/>
            </w:tcBorders>
          </w:tcPr>
          <w:p w14:paraId="23353932">
            <w:pPr>
              <w:widowControl/>
              <w:jc w:val="left"/>
              <w:textAlignment w:val="top"/>
              <w:rPr>
                <w:szCs w:val="21"/>
              </w:rPr>
            </w:pPr>
            <w:r>
              <w:rPr>
                <w:rFonts w:hint="eastAsia"/>
              </w:rPr>
              <w:t>投标文件电子文档不得带病毒；</w:t>
            </w:r>
          </w:p>
        </w:tc>
      </w:tr>
      <w:tr w14:paraId="1E24C0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4D0B77FE">
            <w:pPr>
              <w:widowControl/>
              <w:jc w:val="center"/>
              <w:textAlignment w:val="top"/>
              <w:rPr>
                <w:szCs w:val="21"/>
              </w:rPr>
            </w:pPr>
            <w:r>
              <w:rPr>
                <w:rFonts w:ascii="宋体" w:hAnsi="宋体" w:cs="宋体"/>
                <w:kern w:val="0"/>
                <w:szCs w:val="21"/>
              </w:rPr>
              <w:t>10</w:t>
            </w:r>
          </w:p>
        </w:tc>
        <w:tc>
          <w:tcPr>
            <w:tcW w:w="8284" w:type="dxa"/>
            <w:tcBorders>
              <w:top w:val="single" w:color="000000" w:sz="8" w:space="0"/>
              <w:left w:val="single" w:color="000000" w:sz="8" w:space="0"/>
              <w:bottom w:val="single" w:color="000000" w:sz="8" w:space="0"/>
              <w:right w:val="single" w:color="000000" w:sz="8" w:space="0"/>
            </w:tcBorders>
          </w:tcPr>
          <w:p w14:paraId="6DD809EA">
            <w:pPr>
              <w:widowControl/>
              <w:jc w:val="left"/>
              <w:textAlignment w:val="top"/>
              <w:rPr>
                <w:szCs w:val="21"/>
              </w:rPr>
            </w:pPr>
            <w:r>
              <w:rPr>
                <w:rFonts w:hint="eastAsia"/>
              </w:rPr>
              <w:t>投标文件不得用不属于本公司的电子密钥或电子营业执照进行加密；</w:t>
            </w:r>
          </w:p>
        </w:tc>
      </w:tr>
      <w:tr w14:paraId="612CD4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67340271">
            <w:pPr>
              <w:widowControl/>
              <w:jc w:val="center"/>
              <w:textAlignment w:val="top"/>
            </w:pPr>
            <w:r>
              <w:rPr>
                <w:rFonts w:hint="eastAsia"/>
              </w:rPr>
              <w:t>11</w:t>
            </w:r>
          </w:p>
        </w:tc>
        <w:tc>
          <w:tcPr>
            <w:tcW w:w="8284" w:type="dxa"/>
            <w:tcBorders>
              <w:top w:val="single" w:color="000000" w:sz="8" w:space="0"/>
              <w:left w:val="single" w:color="000000" w:sz="8" w:space="0"/>
              <w:bottom w:val="single" w:color="000000" w:sz="8" w:space="0"/>
              <w:right w:val="single" w:color="000000" w:sz="8" w:space="0"/>
            </w:tcBorders>
          </w:tcPr>
          <w:p w14:paraId="0DC1E2AE">
            <w:pPr>
              <w:widowControl/>
              <w:jc w:val="left"/>
              <w:textAlignment w:val="top"/>
              <w:rPr>
                <w:color w:val="FF0000"/>
              </w:rPr>
            </w:pPr>
            <w:r>
              <w:rPr>
                <w:rFonts w:hint="eastAsia"/>
              </w:rPr>
              <w:t>不得与其他投标供应商投标文件“文件制作机器码”一致；</w:t>
            </w:r>
          </w:p>
        </w:tc>
      </w:tr>
      <w:tr w14:paraId="554DD5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6095F46F">
            <w:pPr>
              <w:widowControl/>
              <w:jc w:val="center"/>
              <w:textAlignment w:val="top"/>
            </w:pPr>
            <w:r>
              <w:rPr>
                <w:rFonts w:hint="eastAsia"/>
              </w:rPr>
              <w:t>12</w:t>
            </w:r>
          </w:p>
        </w:tc>
        <w:tc>
          <w:tcPr>
            <w:tcW w:w="8284" w:type="dxa"/>
            <w:tcBorders>
              <w:top w:val="single" w:color="000000" w:sz="8" w:space="0"/>
              <w:left w:val="single" w:color="000000" w:sz="8" w:space="0"/>
              <w:bottom w:val="single" w:color="000000" w:sz="8" w:space="0"/>
              <w:right w:val="single" w:color="000000" w:sz="8" w:space="0"/>
            </w:tcBorders>
          </w:tcPr>
          <w:p w14:paraId="2277BB38">
            <w:pPr>
              <w:widowControl/>
              <w:jc w:val="left"/>
              <w:textAlignment w:val="top"/>
              <w:rPr>
                <w:color w:val="FF0000"/>
              </w:rPr>
            </w:pPr>
            <w:r>
              <w:rPr>
                <w:rFonts w:hint="eastAsia"/>
              </w:rPr>
              <w:t>不得与其他投标供应商投标文件“文件创建标识码”一致；</w:t>
            </w:r>
          </w:p>
        </w:tc>
      </w:tr>
      <w:tr w14:paraId="4A9F05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5D9F0C98">
            <w:pPr>
              <w:widowControl/>
              <w:jc w:val="center"/>
              <w:textAlignment w:val="top"/>
              <w:rPr>
                <w:szCs w:val="21"/>
              </w:rPr>
            </w:pPr>
            <w:r>
              <w:rPr>
                <w:rFonts w:hint="eastAsia" w:ascii="宋体" w:hAnsi="宋体" w:cs="宋体"/>
                <w:kern w:val="0"/>
                <w:szCs w:val="21"/>
              </w:rPr>
              <w:t>13</w:t>
            </w:r>
          </w:p>
        </w:tc>
        <w:tc>
          <w:tcPr>
            <w:tcW w:w="8284" w:type="dxa"/>
            <w:tcBorders>
              <w:top w:val="single" w:color="000000" w:sz="8" w:space="0"/>
              <w:left w:val="single" w:color="000000" w:sz="8" w:space="0"/>
              <w:bottom w:val="single" w:color="000000" w:sz="8" w:space="0"/>
              <w:right w:val="single" w:color="000000" w:sz="8" w:space="0"/>
            </w:tcBorders>
          </w:tcPr>
          <w:p w14:paraId="60BBFCED">
            <w:pPr>
              <w:widowControl/>
              <w:jc w:val="left"/>
              <w:textAlignment w:val="top"/>
              <w:rPr>
                <w:szCs w:val="21"/>
              </w:rPr>
            </w:pPr>
            <w:r>
              <w:rPr>
                <w:rFonts w:hint="eastAsia"/>
              </w:rPr>
              <w:t>法律、法规、规章、规范性文件规定的其他情形。</w:t>
            </w:r>
          </w:p>
        </w:tc>
      </w:tr>
    </w:tbl>
    <w:p w14:paraId="3D159A02">
      <w:pPr>
        <w:pStyle w:val="17"/>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4CCCA468">
      <w:pPr>
        <w:pStyle w:val="17"/>
        <w:widowControl/>
        <w:jc w:val="center"/>
        <w:outlineLvl w:val="1"/>
        <w:rPr>
          <w:rFonts w:hint="eastAsia" w:ascii="黑体" w:hAnsi="宋体" w:eastAsia="黑体" w:cs="黑体"/>
          <w:sz w:val="40"/>
          <w:szCs w:val="40"/>
        </w:rPr>
      </w:pPr>
      <w:r>
        <w:rPr>
          <w:rFonts w:hint="eastAsia" w:ascii="黑体" w:hAnsi="宋体" w:eastAsia="黑体" w:cs="黑体"/>
          <w:sz w:val="40"/>
          <w:szCs w:val="40"/>
        </w:rPr>
        <w:t>评标信息</w:t>
      </w:r>
    </w:p>
    <w:tbl>
      <w:tblPr>
        <w:tblStyle w:val="21"/>
        <w:tblW w:w="9141" w:type="dxa"/>
        <w:jc w:val="center"/>
        <w:tblCellSpacing w:w="0" w:type="dxa"/>
        <w:tblLayout w:type="fixed"/>
        <w:tblCellMar>
          <w:top w:w="45" w:type="dxa"/>
          <w:left w:w="45" w:type="dxa"/>
          <w:bottom w:w="45" w:type="dxa"/>
          <w:right w:w="45" w:type="dxa"/>
        </w:tblCellMar>
      </w:tblPr>
      <w:tblGrid>
        <w:gridCol w:w="9141"/>
      </w:tblGrid>
      <w:tr w14:paraId="41F144E6">
        <w:tblPrEx>
          <w:tblCellMar>
            <w:top w:w="45" w:type="dxa"/>
            <w:left w:w="45" w:type="dxa"/>
            <w:bottom w:w="45" w:type="dxa"/>
            <w:right w:w="45" w:type="dxa"/>
          </w:tblCellMar>
        </w:tblPrEx>
        <w:trPr>
          <w:tblCellSpacing w:w="0" w:type="dxa"/>
          <w:jc w:val="center"/>
        </w:trPr>
        <w:tc>
          <w:tcPr>
            <w:tcW w:w="9078" w:type="dxa"/>
            <w:vAlign w:val="center"/>
          </w:tcPr>
          <w:p w14:paraId="1A060583">
            <w:pPr>
              <w:jc w:val="left"/>
              <w:rPr>
                <w:rFonts w:ascii="宋体"/>
                <w:b/>
                <w:bCs/>
                <w:sz w:val="24"/>
              </w:rPr>
            </w:pPr>
            <w:r>
              <w:rPr>
                <w:b/>
                <w:bCs/>
              </w:rPr>
              <w:t>评标方法：综合评分法</w:t>
            </w:r>
          </w:p>
        </w:tc>
      </w:tr>
      <w:tr w14:paraId="33E50E28">
        <w:tblPrEx>
          <w:tblCellMar>
            <w:top w:w="45" w:type="dxa"/>
            <w:left w:w="45" w:type="dxa"/>
            <w:bottom w:w="45" w:type="dxa"/>
            <w:right w:w="45" w:type="dxa"/>
          </w:tblCellMar>
        </w:tblPrEx>
        <w:trPr>
          <w:trHeight w:val="90" w:hRule="atLeast"/>
          <w:tblCellSpacing w:w="0" w:type="dxa"/>
          <w:jc w:val="center"/>
        </w:trPr>
        <w:tc>
          <w:tcPr>
            <w:tcW w:w="9078" w:type="dxa"/>
            <w:vAlign w:val="center"/>
          </w:tcPr>
          <w:p w14:paraId="26C47ECA">
            <w:pPr>
              <w:ind w:firstLine="420"/>
            </w:pPr>
            <w:r>
              <w:rPr>
                <w:rFonts w:hint="eastAsia"/>
              </w:rPr>
              <w:t>综合评分法，是指投标文件满足招标文件全部实质性要求，且按照评审因素的量化指标评审得分排名前列的投标人为中标候选人的评标方法。</w:t>
            </w:r>
          </w:p>
          <w:p w14:paraId="726D863D">
            <w:pPr>
              <w:ind w:firstLine="420"/>
              <w:rPr>
                <w:szCs w:val="21"/>
              </w:rPr>
            </w:pPr>
          </w:p>
          <w:p w14:paraId="2BA1577F">
            <w:pPr>
              <w:ind w:firstLine="420"/>
              <w:rPr>
                <w:szCs w:val="21"/>
              </w:rPr>
            </w:pPr>
            <w:r>
              <w:rPr>
                <w:szCs w:val="21"/>
              </w:rPr>
              <w:t>价格分计算方法：</w:t>
            </w:r>
          </w:p>
          <w:p w14:paraId="41A143D3">
            <w:pPr>
              <w:pStyle w:val="17"/>
              <w:widowControl/>
              <w:spacing w:beforeAutospacing="0" w:afterAutospacing="0"/>
              <w:ind w:left="420"/>
              <w:rPr>
                <w:kern w:val="2"/>
                <w:sz w:val="21"/>
                <w:szCs w:val="21"/>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6F6EE2CF">
            <w:pPr>
              <w:pStyle w:val="17"/>
              <w:widowControl/>
              <w:spacing w:beforeAutospacing="0" w:afterAutospacing="0"/>
              <w:ind w:left="420"/>
              <w:rPr>
                <w:kern w:val="2"/>
                <w:sz w:val="21"/>
                <w:szCs w:val="21"/>
              </w:rPr>
            </w:pPr>
            <w:r>
              <w:rPr>
                <w:kern w:val="2"/>
                <w:sz w:val="21"/>
                <w:szCs w:val="21"/>
              </w:rPr>
              <w:t xml:space="preserve">投标报价得分=(评标基准价／投标报价)×100 </w:t>
            </w:r>
          </w:p>
          <w:p w14:paraId="6009BFB3">
            <w:pPr>
              <w:pStyle w:val="17"/>
              <w:widowControl/>
              <w:spacing w:beforeAutospacing="0" w:afterAutospacing="0"/>
              <w:ind w:left="420"/>
              <w:rPr>
                <w:kern w:val="2"/>
                <w:sz w:val="21"/>
                <w:szCs w:val="21"/>
              </w:rPr>
            </w:pPr>
            <w:r>
              <w:rPr>
                <w:kern w:val="2"/>
                <w:sz w:val="21"/>
                <w:szCs w:val="21"/>
              </w:rPr>
              <w:t xml:space="preserve">评标总得分＝F1×A1＋F2×A2＋……＋Fn×An </w:t>
            </w:r>
          </w:p>
          <w:p w14:paraId="7604CD7A">
            <w:pPr>
              <w:pStyle w:val="17"/>
              <w:widowControl/>
              <w:spacing w:beforeAutospacing="0" w:afterAutospacing="0"/>
              <w:ind w:left="420"/>
              <w:rPr>
                <w:kern w:val="2"/>
                <w:sz w:val="21"/>
                <w:szCs w:val="21"/>
              </w:rPr>
            </w:pPr>
            <w:r>
              <w:rPr>
                <w:kern w:val="2"/>
                <w:sz w:val="21"/>
                <w:szCs w:val="21"/>
              </w:rPr>
              <w:t xml:space="preserve">F1、F2……Fn分别为各项评审因素的得分； </w:t>
            </w:r>
          </w:p>
          <w:p w14:paraId="7A3A6D09">
            <w:pPr>
              <w:pStyle w:val="17"/>
              <w:widowControl/>
              <w:spacing w:beforeAutospacing="0" w:afterAutospacing="0"/>
              <w:ind w:left="420"/>
              <w:rPr>
                <w:kern w:val="2"/>
                <w:sz w:val="21"/>
                <w:szCs w:val="21"/>
              </w:rPr>
            </w:pPr>
            <w:r>
              <w:rPr>
                <w:kern w:val="2"/>
                <w:sz w:val="21"/>
                <w:szCs w:val="21"/>
              </w:rPr>
              <w:t xml:space="preserve">A1、A2、……An 分别为各项评审因素所占的权重(A1＋A2＋……＋An＝1)。 </w:t>
            </w:r>
          </w:p>
          <w:p w14:paraId="3325738E">
            <w:pPr>
              <w:pStyle w:val="17"/>
              <w:widowControl/>
              <w:spacing w:beforeAutospacing="0" w:afterAutospacing="0"/>
              <w:ind w:left="420"/>
              <w:rPr>
                <w:kern w:val="2"/>
                <w:sz w:val="21"/>
                <w:szCs w:val="21"/>
              </w:rPr>
            </w:pPr>
            <w:r>
              <w:rPr>
                <w:kern w:val="2"/>
                <w:sz w:val="21"/>
                <w:szCs w:val="21"/>
              </w:rPr>
              <w:t>评标过程中，不得去掉报价中的最高报价和最低报价。</w:t>
            </w:r>
          </w:p>
          <w:p w14:paraId="480ACAE5">
            <w:pPr>
              <w:pStyle w:val="17"/>
              <w:widowControl/>
              <w:spacing w:beforeAutospacing="0" w:afterAutospacing="0"/>
              <w:ind w:left="420"/>
              <w:rPr>
                <w:kern w:val="2"/>
                <w:sz w:val="21"/>
                <w:szCs w:val="21"/>
              </w:rPr>
            </w:pPr>
            <w:r>
              <w:rPr>
                <w:rFonts w:hint="eastAsia"/>
                <w:kern w:val="2"/>
                <w:sz w:val="21"/>
                <w:szCs w:val="21"/>
              </w:rPr>
              <w:t>因落实政府采购政策进行价格调整的，以调整后的价格计算评标基准价和投标报价。</w:t>
            </w:r>
          </w:p>
          <w:p w14:paraId="2BA3CC03">
            <w:pPr>
              <w:pStyle w:val="17"/>
              <w:widowControl/>
              <w:spacing w:beforeAutospacing="0" w:afterAutospacing="0"/>
              <w:ind w:left="420"/>
            </w:pPr>
          </w:p>
          <w:p w14:paraId="5B8367BD">
            <w:pPr>
              <w:pStyle w:val="17"/>
              <w:widowControl/>
              <w:spacing w:beforeAutospacing="0" w:afterAutospacing="0"/>
              <w:ind w:left="420"/>
            </w:pPr>
            <w:r>
              <w:rPr>
                <w:rFonts w:hint="eastAsia"/>
                <w:b/>
                <w:bCs/>
              </w:rPr>
              <w:t>注：投标人的“投标技术响应”“技术要求偏离表中偏离情况”等必须与客观实际保持一致，响应不实且情节严重的，经查实，将依法记入供应商诚信档案或受到行政处罚。</w:t>
            </w:r>
          </w:p>
        </w:tc>
      </w:tr>
    </w:tbl>
    <w:p w14:paraId="1397AC72">
      <w:pPr>
        <w:rPr>
          <w:rFonts w:hint="eastAsia" w:eastAsia="宋体"/>
          <w:vanish/>
          <w:sz w:val="24"/>
          <w:highlight w:val="yellow"/>
          <w:lang w:eastAsia="zh-CN"/>
        </w:rPr>
      </w:pPr>
      <w:r>
        <w:rPr>
          <w:rFonts w:hint="eastAsia"/>
          <w:vanish/>
          <w:sz w:val="24"/>
          <w:highlight w:val="yellow"/>
          <w:lang w:eastAsia="zh-CN"/>
        </w:rPr>
        <w:t xml:space="preserve"> </w:t>
      </w:r>
    </w:p>
    <w:tbl>
      <w:tblPr>
        <w:tblStyle w:val="21"/>
        <w:tblpPr w:leftFromText="180" w:rightFromText="180" w:vertAnchor="text" w:tblpXSpec="center" w:tblpY="1"/>
        <w:tblOverlap w:val="never"/>
        <w:tblW w:w="8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05"/>
        <w:gridCol w:w="1762"/>
        <w:gridCol w:w="70"/>
        <w:gridCol w:w="781"/>
        <w:gridCol w:w="4552"/>
        <w:gridCol w:w="6"/>
      </w:tblGrid>
      <w:tr w14:paraId="3F53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5AD170EF">
            <w:pPr>
              <w:spacing w:line="240" w:lineRule="exact"/>
              <w:jc w:val="center"/>
              <w:rPr>
                <w:szCs w:val="21"/>
              </w:rPr>
            </w:pPr>
            <w:r>
              <w:rPr>
                <w:szCs w:val="21"/>
              </w:rPr>
              <w:t>序号</w:t>
            </w:r>
          </w:p>
        </w:tc>
        <w:tc>
          <w:tcPr>
            <w:tcW w:w="3118" w:type="dxa"/>
            <w:gridSpan w:val="4"/>
            <w:vAlign w:val="center"/>
          </w:tcPr>
          <w:p w14:paraId="1F97EAE4">
            <w:pPr>
              <w:spacing w:line="240" w:lineRule="exact"/>
              <w:jc w:val="center"/>
              <w:rPr>
                <w:szCs w:val="21"/>
              </w:rPr>
            </w:pPr>
            <w:r>
              <w:rPr>
                <w:szCs w:val="21"/>
              </w:rPr>
              <w:t>评分项</w:t>
            </w:r>
          </w:p>
        </w:tc>
        <w:tc>
          <w:tcPr>
            <w:tcW w:w="4558" w:type="dxa"/>
            <w:gridSpan w:val="2"/>
            <w:vAlign w:val="center"/>
          </w:tcPr>
          <w:p w14:paraId="5D3D7860">
            <w:pPr>
              <w:spacing w:line="240" w:lineRule="exact"/>
              <w:jc w:val="center"/>
              <w:rPr>
                <w:szCs w:val="21"/>
              </w:rPr>
            </w:pPr>
            <w:r>
              <w:rPr>
                <w:szCs w:val="21"/>
              </w:rPr>
              <w:t>权重</w:t>
            </w:r>
          </w:p>
        </w:tc>
      </w:tr>
      <w:tr w14:paraId="7DDE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5FBAA6EB">
            <w:pPr>
              <w:spacing w:line="240" w:lineRule="exact"/>
              <w:jc w:val="center"/>
              <w:rPr>
                <w:szCs w:val="21"/>
              </w:rPr>
            </w:pPr>
            <w:r>
              <w:rPr>
                <w:szCs w:val="21"/>
              </w:rPr>
              <w:t>1</w:t>
            </w:r>
          </w:p>
        </w:tc>
        <w:tc>
          <w:tcPr>
            <w:tcW w:w="3118" w:type="dxa"/>
            <w:gridSpan w:val="4"/>
            <w:vAlign w:val="center"/>
          </w:tcPr>
          <w:p w14:paraId="06E2DEAA">
            <w:pPr>
              <w:spacing w:line="240" w:lineRule="exact"/>
              <w:jc w:val="center"/>
              <w:rPr>
                <w:szCs w:val="21"/>
              </w:rPr>
            </w:pPr>
            <w:r>
              <w:rPr>
                <w:szCs w:val="21"/>
              </w:rPr>
              <w:t>价格</w:t>
            </w:r>
          </w:p>
        </w:tc>
        <w:tc>
          <w:tcPr>
            <w:tcW w:w="4558" w:type="dxa"/>
            <w:gridSpan w:val="2"/>
            <w:vAlign w:val="center"/>
          </w:tcPr>
          <w:p w14:paraId="387FCDA1">
            <w:pPr>
              <w:spacing w:line="240" w:lineRule="exact"/>
              <w:jc w:val="center"/>
              <w:rPr>
                <w:szCs w:val="21"/>
              </w:rPr>
            </w:pPr>
            <w:r>
              <w:rPr>
                <w:szCs w:val="21"/>
              </w:rPr>
              <w:t>30</w:t>
            </w:r>
          </w:p>
        </w:tc>
      </w:tr>
      <w:tr w14:paraId="2052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01F64272">
            <w:pPr>
              <w:spacing w:line="240" w:lineRule="exact"/>
              <w:jc w:val="center"/>
              <w:rPr>
                <w:szCs w:val="21"/>
              </w:rPr>
            </w:pPr>
            <w:r>
              <w:rPr>
                <w:szCs w:val="21"/>
              </w:rPr>
              <w:t>2</w:t>
            </w:r>
          </w:p>
        </w:tc>
        <w:tc>
          <w:tcPr>
            <w:tcW w:w="3118" w:type="dxa"/>
            <w:gridSpan w:val="4"/>
            <w:vAlign w:val="center"/>
          </w:tcPr>
          <w:p w14:paraId="2C0FF095">
            <w:pPr>
              <w:spacing w:line="240" w:lineRule="exact"/>
              <w:jc w:val="center"/>
              <w:rPr>
                <w:szCs w:val="21"/>
              </w:rPr>
            </w:pPr>
            <w:r>
              <w:rPr>
                <w:szCs w:val="21"/>
              </w:rPr>
              <w:t>技术部分</w:t>
            </w:r>
          </w:p>
        </w:tc>
        <w:tc>
          <w:tcPr>
            <w:tcW w:w="4558" w:type="dxa"/>
            <w:gridSpan w:val="2"/>
            <w:vAlign w:val="center"/>
          </w:tcPr>
          <w:p w14:paraId="0095B799">
            <w:pPr>
              <w:jc w:val="center"/>
              <w:rPr>
                <w:rFonts w:hint="default" w:eastAsia="宋体"/>
                <w:szCs w:val="21"/>
                <w:lang w:val="en-US" w:eastAsia="zh-CN"/>
              </w:rPr>
            </w:pPr>
            <w:r>
              <w:rPr>
                <w:rFonts w:hint="eastAsia"/>
                <w:szCs w:val="21"/>
                <w:lang w:val="en-US" w:eastAsia="zh-CN"/>
              </w:rPr>
              <w:t>56</w:t>
            </w:r>
          </w:p>
        </w:tc>
      </w:tr>
      <w:tr w14:paraId="0FBF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restart"/>
            <w:vAlign w:val="center"/>
          </w:tcPr>
          <w:p w14:paraId="4AD8CD78">
            <w:pPr>
              <w:spacing w:line="240" w:lineRule="exact"/>
              <w:jc w:val="center"/>
              <w:rPr>
                <w:szCs w:val="21"/>
              </w:rPr>
            </w:pPr>
          </w:p>
        </w:tc>
        <w:tc>
          <w:tcPr>
            <w:tcW w:w="505" w:type="dxa"/>
            <w:vAlign w:val="center"/>
          </w:tcPr>
          <w:p w14:paraId="44438A54">
            <w:pPr>
              <w:spacing w:line="240" w:lineRule="exact"/>
              <w:jc w:val="center"/>
              <w:rPr>
                <w:szCs w:val="21"/>
              </w:rPr>
            </w:pPr>
            <w:r>
              <w:rPr>
                <w:szCs w:val="21"/>
              </w:rPr>
              <w:t>序号</w:t>
            </w:r>
          </w:p>
        </w:tc>
        <w:tc>
          <w:tcPr>
            <w:tcW w:w="1762" w:type="dxa"/>
            <w:vAlign w:val="center"/>
          </w:tcPr>
          <w:p w14:paraId="3EA04B51">
            <w:pPr>
              <w:spacing w:line="240" w:lineRule="exact"/>
              <w:jc w:val="center"/>
              <w:rPr>
                <w:szCs w:val="21"/>
              </w:rPr>
            </w:pPr>
            <w:r>
              <w:rPr>
                <w:szCs w:val="21"/>
              </w:rPr>
              <w:t>评分因素</w:t>
            </w:r>
          </w:p>
        </w:tc>
        <w:tc>
          <w:tcPr>
            <w:tcW w:w="851" w:type="dxa"/>
            <w:gridSpan w:val="2"/>
            <w:vAlign w:val="center"/>
          </w:tcPr>
          <w:p w14:paraId="6150E767">
            <w:pPr>
              <w:spacing w:line="240" w:lineRule="exact"/>
              <w:jc w:val="center"/>
              <w:rPr>
                <w:szCs w:val="21"/>
              </w:rPr>
            </w:pPr>
            <w:r>
              <w:rPr>
                <w:szCs w:val="21"/>
              </w:rPr>
              <w:t>权重（%）</w:t>
            </w:r>
          </w:p>
        </w:tc>
        <w:tc>
          <w:tcPr>
            <w:tcW w:w="4558" w:type="dxa"/>
            <w:gridSpan w:val="2"/>
            <w:vAlign w:val="center"/>
          </w:tcPr>
          <w:p w14:paraId="64D01A43">
            <w:pPr>
              <w:jc w:val="center"/>
              <w:rPr>
                <w:szCs w:val="21"/>
              </w:rPr>
            </w:pPr>
            <w:r>
              <w:rPr>
                <w:szCs w:val="21"/>
              </w:rPr>
              <w:t>评分准则</w:t>
            </w:r>
          </w:p>
        </w:tc>
      </w:tr>
      <w:tr w14:paraId="5094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continue"/>
            <w:vAlign w:val="center"/>
          </w:tcPr>
          <w:p w14:paraId="337F1F3A">
            <w:pPr>
              <w:keepNext/>
              <w:keepLines/>
              <w:spacing w:before="340" w:after="330" w:line="240" w:lineRule="exact"/>
              <w:jc w:val="center"/>
              <w:outlineLvl w:val="0"/>
              <w:rPr>
                <w:szCs w:val="21"/>
              </w:rPr>
            </w:pPr>
          </w:p>
        </w:tc>
        <w:tc>
          <w:tcPr>
            <w:tcW w:w="505" w:type="dxa"/>
            <w:vAlign w:val="center"/>
          </w:tcPr>
          <w:p w14:paraId="5FA74331">
            <w:pPr>
              <w:spacing w:line="240" w:lineRule="exact"/>
              <w:jc w:val="center"/>
              <w:rPr>
                <w:szCs w:val="21"/>
              </w:rPr>
            </w:pPr>
            <w:r>
              <w:rPr>
                <w:szCs w:val="21"/>
              </w:rPr>
              <w:t>1</w:t>
            </w:r>
          </w:p>
        </w:tc>
        <w:tc>
          <w:tcPr>
            <w:tcW w:w="1762" w:type="dxa"/>
            <w:vAlign w:val="center"/>
          </w:tcPr>
          <w:p w14:paraId="5A065281">
            <w:pPr>
              <w:jc w:val="center"/>
              <w:rPr>
                <w:szCs w:val="21"/>
              </w:rPr>
            </w:pPr>
            <w:r>
              <w:rPr>
                <w:color w:val="auto"/>
              </w:rPr>
              <w:t>技术保障措施</w:t>
            </w:r>
          </w:p>
        </w:tc>
        <w:tc>
          <w:tcPr>
            <w:tcW w:w="851" w:type="dxa"/>
            <w:gridSpan w:val="2"/>
            <w:vAlign w:val="center"/>
          </w:tcPr>
          <w:p w14:paraId="45907FB5">
            <w:pPr>
              <w:jc w:val="center"/>
              <w:rPr>
                <w:szCs w:val="21"/>
              </w:rPr>
            </w:pPr>
            <w:r>
              <w:rPr>
                <w:rFonts w:hint="eastAsia"/>
                <w:color w:val="auto"/>
                <w:lang w:val="en-US" w:eastAsia="zh-CN"/>
              </w:rPr>
              <w:t>5</w:t>
            </w:r>
          </w:p>
        </w:tc>
        <w:tc>
          <w:tcPr>
            <w:tcW w:w="4558" w:type="dxa"/>
            <w:gridSpan w:val="2"/>
            <w:vAlign w:val="center"/>
          </w:tcPr>
          <w:p w14:paraId="596E07C1">
            <w:pPr>
              <w:jc w:val="left"/>
              <w:rPr>
                <w:color w:val="auto"/>
              </w:rPr>
            </w:pPr>
            <w:r>
              <w:rPr>
                <w:color w:val="auto"/>
              </w:rPr>
              <w:t>（一）评分内容：</w:t>
            </w:r>
          </w:p>
          <w:p w14:paraId="1716C409">
            <w:pPr>
              <w:jc w:val="left"/>
              <w:rPr>
                <w:color w:val="auto"/>
              </w:rPr>
            </w:pPr>
            <w:r>
              <w:rPr>
                <w:color w:val="auto"/>
              </w:rPr>
              <w:t>投标人或所投</w:t>
            </w:r>
            <w:r>
              <w:rPr>
                <w:rFonts w:hint="eastAsia"/>
                <w:color w:val="auto"/>
                <w:lang w:val="en-US" w:eastAsia="zh-CN"/>
              </w:rPr>
              <w:t>任意</w:t>
            </w:r>
            <w:r>
              <w:rPr>
                <w:color w:val="auto"/>
              </w:rPr>
              <w:t>产品制造商</w:t>
            </w:r>
            <w:r>
              <w:rPr>
                <w:rFonts w:hint="eastAsia" w:ascii="宋体" w:hAnsi="宋体" w:eastAsia="宋体" w:cs="宋体"/>
                <w:sz w:val="20"/>
                <w:szCs w:val="20"/>
              </w:rPr>
              <w:t>（与“分项报价表”中“制造商名称”一致）</w:t>
            </w:r>
            <w:r>
              <w:rPr>
                <w:color w:val="auto"/>
              </w:rPr>
              <w:t>具有以下生产设备：</w:t>
            </w:r>
          </w:p>
          <w:p w14:paraId="13D7A78B">
            <w:pPr>
              <w:jc w:val="left"/>
              <w:rPr>
                <w:color w:val="auto"/>
              </w:rPr>
            </w:pPr>
            <w:r>
              <w:rPr>
                <w:color w:val="auto"/>
              </w:rPr>
              <w:t>1、</w:t>
            </w:r>
            <w:r>
              <w:rPr>
                <w:rFonts w:hint="eastAsia"/>
                <w:color w:val="auto"/>
              </w:rPr>
              <w:t>光纤激光切割机</w:t>
            </w:r>
            <w:r>
              <w:rPr>
                <w:color w:val="auto"/>
              </w:rPr>
              <w:t>；</w:t>
            </w:r>
          </w:p>
          <w:p w14:paraId="2F522CDF">
            <w:pPr>
              <w:jc w:val="left"/>
              <w:rPr>
                <w:color w:val="auto"/>
              </w:rPr>
            </w:pPr>
            <w:r>
              <w:rPr>
                <w:color w:val="auto"/>
              </w:rPr>
              <w:t>2、</w:t>
            </w:r>
            <w:r>
              <w:rPr>
                <w:rFonts w:hint="eastAsia"/>
                <w:color w:val="auto"/>
                <w:lang w:val="en-US" w:eastAsia="zh-CN"/>
              </w:rPr>
              <w:t>电脑裁板锯</w:t>
            </w:r>
            <w:r>
              <w:rPr>
                <w:color w:val="auto"/>
              </w:rPr>
              <w:t>；</w:t>
            </w:r>
          </w:p>
          <w:p w14:paraId="769B6FC0">
            <w:pPr>
              <w:jc w:val="left"/>
              <w:rPr>
                <w:color w:val="auto"/>
              </w:rPr>
            </w:pPr>
            <w:r>
              <w:rPr>
                <w:color w:val="auto"/>
              </w:rPr>
              <w:t>3、</w:t>
            </w:r>
            <w:r>
              <w:rPr>
                <w:rFonts w:hint="eastAsia"/>
                <w:color w:val="auto"/>
              </w:rPr>
              <w:t>全自动封边机</w:t>
            </w:r>
            <w:r>
              <w:rPr>
                <w:color w:val="auto"/>
              </w:rPr>
              <w:t>；</w:t>
            </w:r>
          </w:p>
          <w:p w14:paraId="16D407AE">
            <w:pPr>
              <w:jc w:val="left"/>
              <w:rPr>
                <w:color w:val="auto"/>
              </w:rPr>
            </w:pPr>
            <w:r>
              <w:rPr>
                <w:color w:val="auto"/>
              </w:rPr>
              <w:t>4、</w:t>
            </w:r>
            <w:r>
              <w:rPr>
                <w:rFonts w:hint="eastAsia"/>
                <w:color w:val="auto"/>
              </w:rPr>
              <w:t>六排多轴钻</w:t>
            </w:r>
            <w:r>
              <w:rPr>
                <w:color w:val="auto"/>
              </w:rPr>
              <w:t>；</w:t>
            </w:r>
          </w:p>
          <w:p w14:paraId="6BB81DF2">
            <w:pPr>
              <w:jc w:val="left"/>
              <w:rPr>
                <w:color w:val="auto"/>
              </w:rPr>
            </w:pPr>
            <w:r>
              <w:rPr>
                <w:color w:val="auto"/>
              </w:rPr>
              <w:t>5、</w:t>
            </w:r>
            <w:r>
              <w:rPr>
                <w:rFonts w:hint="eastAsia"/>
                <w:color w:val="auto"/>
              </w:rPr>
              <w:t>全自动洗板机</w:t>
            </w:r>
            <w:r>
              <w:rPr>
                <w:color w:val="auto"/>
              </w:rPr>
              <w:t>；</w:t>
            </w:r>
          </w:p>
          <w:p w14:paraId="02BAF901">
            <w:pPr>
              <w:jc w:val="left"/>
              <w:rPr>
                <w:rFonts w:hint="eastAsia"/>
                <w:color w:val="auto"/>
                <w:lang w:eastAsia="zh-CN"/>
              </w:rPr>
            </w:pPr>
            <w:r>
              <w:rPr>
                <w:color w:val="auto"/>
              </w:rPr>
              <w:t>6、</w:t>
            </w:r>
            <w:r>
              <w:rPr>
                <w:rFonts w:hint="eastAsia"/>
                <w:color w:val="auto"/>
                <w:lang w:val="en-US" w:eastAsia="zh-CN"/>
              </w:rPr>
              <w:t>全自动弯管机</w:t>
            </w:r>
            <w:r>
              <w:rPr>
                <w:rFonts w:hint="eastAsia"/>
                <w:color w:val="auto"/>
                <w:lang w:eastAsia="zh-CN"/>
              </w:rPr>
              <w:t>；</w:t>
            </w:r>
          </w:p>
          <w:p w14:paraId="37EBA3BC">
            <w:pPr>
              <w:jc w:val="left"/>
              <w:rPr>
                <w:rFonts w:hint="eastAsia"/>
                <w:color w:val="auto"/>
                <w:lang w:val="en-US" w:eastAsia="zh-CN"/>
              </w:rPr>
            </w:pPr>
            <w:r>
              <w:rPr>
                <w:rFonts w:hint="eastAsia"/>
                <w:color w:val="auto"/>
                <w:lang w:val="en-US" w:eastAsia="zh-CN"/>
              </w:rPr>
              <w:t>7、</w:t>
            </w:r>
            <w:r>
              <w:rPr>
                <w:rFonts w:hint="eastAsia"/>
                <w:color w:val="auto"/>
              </w:rPr>
              <w:t>斜直封边机</w:t>
            </w:r>
            <w:r>
              <w:rPr>
                <w:rFonts w:hint="eastAsia"/>
                <w:color w:val="auto"/>
                <w:lang w:eastAsia="zh-CN"/>
              </w:rPr>
              <w:t>；</w:t>
            </w:r>
          </w:p>
          <w:p w14:paraId="0BAA9092">
            <w:pPr>
              <w:jc w:val="left"/>
              <w:rPr>
                <w:rFonts w:hint="eastAsia"/>
                <w:color w:val="auto"/>
                <w:lang w:val="en-US" w:eastAsia="zh-CN"/>
              </w:rPr>
            </w:pPr>
            <w:r>
              <w:rPr>
                <w:rFonts w:hint="eastAsia"/>
                <w:color w:val="auto"/>
                <w:lang w:val="en-US" w:eastAsia="zh-CN"/>
              </w:rPr>
              <w:t>8、焊接机器人工作站；</w:t>
            </w:r>
          </w:p>
          <w:p w14:paraId="198D1A17">
            <w:pPr>
              <w:jc w:val="left"/>
              <w:rPr>
                <w:rFonts w:hint="eastAsia"/>
                <w:color w:val="auto"/>
                <w:lang w:val="en-US" w:eastAsia="zh-CN"/>
              </w:rPr>
            </w:pPr>
            <w:r>
              <w:rPr>
                <w:rFonts w:hint="eastAsia"/>
                <w:color w:val="auto"/>
                <w:lang w:val="en-US" w:eastAsia="zh-CN"/>
              </w:rPr>
              <w:t>9、全自动切管机；</w:t>
            </w:r>
          </w:p>
          <w:p w14:paraId="55DDBF5B">
            <w:pPr>
              <w:wordWrap w:val="0"/>
              <w:rPr>
                <w:rFonts w:hint="eastAsia"/>
                <w:color w:val="auto"/>
                <w:lang w:val="en-US" w:eastAsia="zh-CN"/>
              </w:rPr>
            </w:pPr>
            <w:r>
              <w:rPr>
                <w:rFonts w:hint="eastAsia"/>
                <w:color w:val="auto"/>
                <w:lang w:val="en-US" w:eastAsia="zh-CN"/>
              </w:rPr>
              <w:t>10、便携式微机控制点焊机；</w:t>
            </w:r>
          </w:p>
          <w:p w14:paraId="30AFD92E">
            <w:pPr>
              <w:wordWrap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1</w:t>
            </w:r>
            <w:r>
              <w:rPr>
                <w:rFonts w:hint="eastAsia" w:ascii="宋体" w:hAnsi="宋体" w:eastAsia="宋体" w:cs="宋体"/>
                <w:sz w:val="21"/>
                <w:szCs w:val="21"/>
              </w:rPr>
              <w:t>、圆弧成型机</w:t>
            </w:r>
            <w:r>
              <w:rPr>
                <w:rFonts w:hint="eastAsia" w:ascii="宋体" w:hAnsi="宋体" w:cs="宋体"/>
                <w:sz w:val="21"/>
                <w:szCs w:val="21"/>
                <w:lang w:val="en-US" w:eastAsia="zh-CN"/>
              </w:rPr>
              <w:t>；</w:t>
            </w:r>
          </w:p>
          <w:p w14:paraId="197A67FD">
            <w:pPr>
              <w:wordWrap w:val="0"/>
              <w:rPr>
                <w:rFonts w:hint="eastAsia" w:ascii="宋体" w:hAnsi="宋体" w:eastAsia="宋体" w:cs="宋体"/>
                <w:sz w:val="21"/>
                <w:szCs w:val="21"/>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2</w:t>
            </w:r>
            <w:r>
              <w:rPr>
                <w:rFonts w:hint="eastAsia" w:ascii="宋体" w:hAnsi="宋体" w:eastAsia="宋体" w:cs="宋体"/>
                <w:sz w:val="21"/>
                <w:szCs w:val="21"/>
              </w:rPr>
              <w:t>、干式打磨房</w:t>
            </w:r>
            <w:r>
              <w:rPr>
                <w:rFonts w:hint="eastAsia" w:ascii="宋体" w:hAnsi="宋体" w:cs="宋体"/>
                <w:sz w:val="21"/>
                <w:szCs w:val="21"/>
                <w:lang w:eastAsia="zh-CN"/>
              </w:rPr>
              <w:t>；</w:t>
            </w:r>
          </w:p>
          <w:p w14:paraId="1CE961B9">
            <w:pPr>
              <w:wordWrap w:val="0"/>
              <w:rPr>
                <w:rFonts w:hint="eastAsia" w:ascii="宋体" w:hAnsi="宋体" w:eastAsia="宋体" w:cs="宋体"/>
                <w:sz w:val="21"/>
                <w:szCs w:val="21"/>
                <w:lang w:eastAsia="zh-CN"/>
              </w:rPr>
            </w:pPr>
            <w:r>
              <w:rPr>
                <w:rFonts w:hint="eastAsia" w:ascii="宋体" w:hAnsi="宋体" w:cs="宋体"/>
                <w:sz w:val="21"/>
                <w:szCs w:val="21"/>
                <w:lang w:val="en-US" w:eastAsia="zh-CN"/>
              </w:rPr>
              <w:t>13、</w:t>
            </w:r>
            <w:r>
              <w:rPr>
                <w:rFonts w:hint="eastAsia" w:ascii="宋体" w:hAnsi="宋体" w:eastAsia="宋体" w:cs="宋体"/>
                <w:sz w:val="21"/>
                <w:szCs w:val="21"/>
              </w:rPr>
              <w:t>木工中央除尘器</w:t>
            </w:r>
            <w:r>
              <w:rPr>
                <w:rFonts w:hint="eastAsia" w:ascii="宋体" w:hAnsi="宋体" w:cs="宋体"/>
                <w:sz w:val="21"/>
                <w:szCs w:val="21"/>
                <w:lang w:eastAsia="zh-CN"/>
              </w:rPr>
              <w:t>；</w:t>
            </w:r>
          </w:p>
          <w:p w14:paraId="34B3ADFB">
            <w:pPr>
              <w:wordWrap w:val="0"/>
              <w:jc w:val="left"/>
              <w:rPr>
                <w:rFonts w:hint="default"/>
                <w:color w:val="auto"/>
                <w:lang w:val="en-US" w:eastAsia="zh-CN"/>
              </w:rPr>
            </w:pPr>
            <w:r>
              <w:rPr>
                <w:rFonts w:hint="eastAsia" w:ascii="宋体" w:hAnsi="宋体" w:cs="宋体"/>
                <w:sz w:val="21"/>
                <w:szCs w:val="21"/>
                <w:lang w:val="en-US" w:eastAsia="zh-CN"/>
              </w:rPr>
              <w:t>14</w:t>
            </w:r>
            <w:r>
              <w:rPr>
                <w:rFonts w:hint="eastAsia" w:ascii="宋体" w:hAnsi="宋体" w:eastAsia="宋体" w:cs="宋体"/>
                <w:sz w:val="21"/>
                <w:szCs w:val="21"/>
              </w:rPr>
              <w:t>、全自动喷漆机</w:t>
            </w:r>
            <w:r>
              <w:rPr>
                <w:rFonts w:hint="eastAsia" w:ascii="宋体" w:hAnsi="宋体" w:cs="宋体"/>
                <w:sz w:val="21"/>
                <w:szCs w:val="21"/>
                <w:lang w:eastAsia="zh-CN"/>
              </w:rPr>
              <w:t>。</w:t>
            </w:r>
          </w:p>
          <w:p w14:paraId="715A0E5C">
            <w:pPr>
              <w:wordWrap w:val="0"/>
              <w:jc w:val="left"/>
              <w:textAlignment w:val="top"/>
              <w:rPr>
                <w:rFonts w:hint="eastAsia"/>
                <w:color w:val="auto"/>
              </w:rPr>
            </w:pPr>
            <w:r>
              <w:rPr>
                <w:rFonts w:hint="eastAsia" w:asciiTheme="minorEastAsia" w:hAnsiTheme="minorEastAsia" w:eastAsiaTheme="minorEastAsia" w:cstheme="minorEastAsia"/>
                <w:szCs w:val="24"/>
                <w:highlight w:val="none"/>
              </w:rPr>
              <w:t>以上设备每满足一项得</w:t>
            </w:r>
            <w:r>
              <w:rPr>
                <w:rFonts w:hint="eastAsia" w:asciiTheme="minorEastAsia" w:hAnsiTheme="minorEastAsia" w:eastAsiaTheme="minorEastAsia" w:cstheme="minorEastAsia"/>
                <w:szCs w:val="24"/>
                <w:highlight w:val="none"/>
                <w:lang w:val="en-US" w:eastAsia="zh-CN"/>
              </w:rPr>
              <w:t>7.15</w:t>
            </w:r>
            <w:r>
              <w:rPr>
                <w:rFonts w:hint="eastAsia" w:asciiTheme="minorEastAsia" w:hAnsiTheme="minorEastAsia" w:eastAsiaTheme="minorEastAsia" w:cstheme="minorEastAsia"/>
                <w:szCs w:val="24"/>
                <w:highlight w:val="none"/>
              </w:rPr>
              <w:t>分，累计最高得100分。</w:t>
            </w:r>
            <w:r>
              <w:rPr>
                <w:rFonts w:hint="eastAsia"/>
                <w:color w:val="auto"/>
              </w:rPr>
              <w:t>其他情况不得分。</w:t>
            </w:r>
          </w:p>
          <w:p w14:paraId="1899611D">
            <w:pPr>
              <w:jc w:val="left"/>
              <w:rPr>
                <w:color w:val="auto"/>
              </w:rPr>
            </w:pPr>
            <w:r>
              <w:rPr>
                <w:color w:val="auto"/>
              </w:rPr>
              <w:t>（二）评分依据：</w:t>
            </w:r>
          </w:p>
          <w:p w14:paraId="6AE4B05E">
            <w:pPr>
              <w:jc w:val="left"/>
              <w:rPr>
                <w:rFonts w:hint="eastAsia" w:eastAsia="宋体"/>
                <w:color w:val="auto"/>
                <w:lang w:eastAsia="zh-CN"/>
              </w:rPr>
            </w:pPr>
            <w:r>
              <w:rPr>
                <w:rFonts w:hint="eastAsia"/>
                <w:color w:val="auto"/>
                <w:lang w:val="en-US" w:eastAsia="zh-CN"/>
              </w:rPr>
              <w:t>1、投标人</w:t>
            </w:r>
            <w:r>
              <w:rPr>
                <w:rFonts w:hint="eastAsia"/>
                <w:color w:val="auto"/>
              </w:rPr>
              <w:t>需提供以下 2 项证明材料之一</w:t>
            </w:r>
            <w:r>
              <w:rPr>
                <w:rFonts w:hint="eastAsia"/>
                <w:color w:val="auto"/>
                <w:lang w:eastAsia="zh-CN"/>
              </w:rPr>
              <w:t>：</w:t>
            </w:r>
          </w:p>
          <w:p w14:paraId="0A5E5A70">
            <w:pPr>
              <w:jc w:val="left"/>
              <w:rPr>
                <w:rFonts w:hint="eastAsia"/>
                <w:color w:val="auto"/>
              </w:rPr>
            </w:pPr>
            <w:r>
              <w:rPr>
                <w:rFonts w:hint="eastAsia"/>
                <w:color w:val="auto"/>
                <w:lang w:val="en-US" w:eastAsia="zh-CN"/>
              </w:rPr>
              <w:t>（1）</w:t>
            </w:r>
            <w:r>
              <w:rPr>
                <w:rFonts w:hint="eastAsia"/>
                <w:color w:val="auto"/>
              </w:rPr>
              <w:t>自有设备的提供购买合同关键页</w:t>
            </w:r>
            <w:r>
              <w:rPr>
                <w:rFonts w:hint="eastAsia"/>
                <w:color w:val="auto"/>
                <w:lang w:eastAsia="zh-CN"/>
              </w:rPr>
              <w:t>，</w:t>
            </w:r>
            <w:r>
              <w:rPr>
                <w:rFonts w:hint="eastAsia"/>
                <w:color w:val="auto"/>
              </w:rPr>
              <w:t>购买设备发票扫描件（发票抬头名称需是投标人或</w:t>
            </w:r>
            <w:r>
              <w:rPr>
                <w:color w:val="auto"/>
              </w:rPr>
              <w:t>所投</w:t>
            </w:r>
            <w:r>
              <w:rPr>
                <w:rFonts w:hint="eastAsia"/>
                <w:color w:val="auto"/>
                <w:lang w:val="en-US" w:eastAsia="zh-CN"/>
              </w:rPr>
              <w:t>任意</w:t>
            </w:r>
            <w:r>
              <w:rPr>
                <w:rFonts w:hint="eastAsia"/>
                <w:color w:val="auto"/>
              </w:rPr>
              <w:t>产品制造商）及现场设备照片。</w:t>
            </w:r>
          </w:p>
          <w:p w14:paraId="4BD48D1D">
            <w:pPr>
              <w:jc w:val="left"/>
              <w:rPr>
                <w:rFonts w:hint="eastAsia"/>
                <w:color w:val="auto"/>
              </w:rPr>
            </w:pPr>
            <w:r>
              <w:rPr>
                <w:rFonts w:hint="eastAsia"/>
                <w:color w:val="auto"/>
                <w:lang w:val="en-US" w:eastAsia="zh-CN"/>
              </w:rPr>
              <w:t>（2）</w:t>
            </w:r>
            <w:r>
              <w:rPr>
                <w:rFonts w:hint="eastAsia"/>
                <w:color w:val="auto"/>
              </w:rPr>
              <w:t>租赁设备的需提供设备租赁合同（租赁期限需涵盖本项目</w:t>
            </w:r>
            <w:r>
              <w:rPr>
                <w:rFonts w:hint="eastAsia"/>
                <w:lang w:val="en-US" w:eastAsia="zh-CN"/>
              </w:rPr>
              <w:t>投标截止日后180天，如租赁期不足，承诺中标后续租同等得分，承诺函格式自拟</w:t>
            </w:r>
            <w:r>
              <w:rPr>
                <w:rFonts w:hint="eastAsia"/>
                <w:color w:val="auto"/>
              </w:rPr>
              <w:t>）</w:t>
            </w:r>
            <w:r>
              <w:rPr>
                <w:rFonts w:hint="eastAsia"/>
                <w:color w:val="auto"/>
                <w:lang w:eastAsia="zh-CN"/>
              </w:rPr>
              <w:t>，</w:t>
            </w:r>
            <w:r>
              <w:rPr>
                <w:rFonts w:hint="eastAsia"/>
                <w:lang w:val="en-US" w:eastAsia="zh-CN"/>
              </w:rPr>
              <w:t>租赁期内任意一次</w:t>
            </w:r>
            <w:r>
              <w:rPr>
                <w:rFonts w:hint="eastAsia"/>
                <w:color w:val="auto"/>
              </w:rPr>
              <w:t>支付发票扫描件（发票收款单位和付款单位名称需与租赁合同一致）。</w:t>
            </w:r>
          </w:p>
          <w:p w14:paraId="4C6159A1">
            <w:pPr>
              <w:jc w:val="left"/>
              <w:rPr>
                <w:rFonts w:hint="eastAsia"/>
                <w:color w:val="auto"/>
              </w:rPr>
            </w:pPr>
            <w:r>
              <w:rPr>
                <w:rFonts w:hint="eastAsia"/>
                <w:color w:val="auto"/>
                <w:lang w:val="en-US" w:eastAsia="zh-CN"/>
              </w:rPr>
              <w:t>2、</w:t>
            </w:r>
            <w:r>
              <w:rPr>
                <w:rFonts w:hint="eastAsia"/>
                <w:color w:val="auto"/>
              </w:rPr>
              <w:t>属于同类功能设备但名称不完全一致的</w:t>
            </w:r>
            <w:r>
              <w:rPr>
                <w:rFonts w:hint="eastAsia"/>
                <w:color w:val="auto"/>
                <w:lang w:eastAsia="zh-CN"/>
              </w:rPr>
              <w:t>，</w:t>
            </w:r>
            <w:r>
              <w:rPr>
                <w:rFonts w:hint="eastAsia" w:asciiTheme="minorEastAsia" w:hAnsiTheme="minorEastAsia" w:eastAsiaTheme="minorEastAsia" w:cstheme="minorEastAsia"/>
                <w:kern w:val="0"/>
                <w:sz w:val="21"/>
                <w:szCs w:val="21"/>
              </w:rPr>
              <w:t>需提供为同种产品或具有同等功能的</w:t>
            </w:r>
            <w:r>
              <w:rPr>
                <w:rFonts w:hint="eastAsia" w:asciiTheme="minorEastAsia" w:hAnsiTheme="minorEastAsia" w:eastAsiaTheme="minorEastAsia" w:cstheme="minorEastAsia"/>
                <w:kern w:val="0"/>
                <w:sz w:val="21"/>
                <w:szCs w:val="21"/>
                <w:lang w:val="en-US" w:eastAsia="zh-CN"/>
              </w:rPr>
              <w:t>书面</w:t>
            </w:r>
            <w:r>
              <w:rPr>
                <w:rFonts w:hint="eastAsia" w:asciiTheme="minorEastAsia" w:hAnsiTheme="minorEastAsia" w:eastAsiaTheme="minorEastAsia" w:cstheme="minorEastAsia"/>
                <w:kern w:val="0"/>
                <w:sz w:val="21"/>
                <w:szCs w:val="21"/>
              </w:rPr>
              <w:t>说明</w:t>
            </w:r>
            <w:r>
              <w:rPr>
                <w:rFonts w:hint="eastAsia"/>
                <w:color w:val="auto"/>
              </w:rPr>
              <w:t>（格式自拟），提供后具体由评审委员会判断是否得分，未提供不得分。</w:t>
            </w:r>
          </w:p>
          <w:p w14:paraId="6A202FC9">
            <w:pPr>
              <w:jc w:val="left"/>
              <w:rPr>
                <w:szCs w:val="21"/>
              </w:rPr>
            </w:pPr>
            <w:r>
              <w:rPr>
                <w:rFonts w:hint="eastAsia"/>
                <w:color w:val="auto"/>
              </w:rPr>
              <w:t>3.以上资料均要求提供扫描件。未按要求提供相关证明材料或提供的证明材料不完整、不清晰的或无法判断的均不得分。如前后投标人或</w:t>
            </w:r>
            <w:r>
              <w:rPr>
                <w:color w:val="auto"/>
              </w:rPr>
              <w:t>所投</w:t>
            </w:r>
            <w:r>
              <w:rPr>
                <w:rFonts w:hint="eastAsia"/>
                <w:color w:val="auto"/>
                <w:lang w:val="en-US" w:eastAsia="zh-CN"/>
              </w:rPr>
              <w:t>任意</w:t>
            </w:r>
            <w:r>
              <w:rPr>
                <w:rFonts w:hint="eastAsia"/>
                <w:color w:val="auto"/>
              </w:rPr>
              <w:t>产品制造商名称有变更的，提供市场监督管理局或工商行政管理部门出具的“公司准予变更登记通知书”或“变更（备案）通知书”。</w:t>
            </w:r>
          </w:p>
        </w:tc>
      </w:tr>
      <w:tr w14:paraId="666A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continue"/>
            <w:vAlign w:val="center"/>
          </w:tcPr>
          <w:p w14:paraId="669ACA42">
            <w:pPr>
              <w:keepNext/>
              <w:keepLines/>
              <w:spacing w:before="340" w:after="330" w:line="240" w:lineRule="exact"/>
              <w:jc w:val="center"/>
              <w:outlineLvl w:val="0"/>
              <w:rPr>
                <w:szCs w:val="21"/>
              </w:rPr>
            </w:pPr>
          </w:p>
        </w:tc>
        <w:tc>
          <w:tcPr>
            <w:tcW w:w="505" w:type="dxa"/>
            <w:vAlign w:val="center"/>
          </w:tcPr>
          <w:p w14:paraId="14107281">
            <w:pPr>
              <w:spacing w:line="240" w:lineRule="exact"/>
              <w:jc w:val="center"/>
              <w:rPr>
                <w:szCs w:val="21"/>
              </w:rPr>
            </w:pPr>
            <w:r>
              <w:rPr>
                <w:rFonts w:hint="eastAsia"/>
                <w:szCs w:val="21"/>
              </w:rPr>
              <w:t>2</w:t>
            </w:r>
          </w:p>
        </w:tc>
        <w:tc>
          <w:tcPr>
            <w:tcW w:w="1762" w:type="dxa"/>
            <w:vAlign w:val="center"/>
          </w:tcPr>
          <w:p w14:paraId="1AEB1316">
            <w:pPr>
              <w:jc w:val="center"/>
              <w:rPr>
                <w:kern w:val="0"/>
                <w:szCs w:val="21"/>
              </w:rPr>
            </w:pPr>
            <w:r>
              <w:rPr>
                <w:color w:val="auto"/>
              </w:rPr>
              <w:t>技术要求偏离情况</w:t>
            </w:r>
          </w:p>
        </w:tc>
        <w:tc>
          <w:tcPr>
            <w:tcW w:w="851" w:type="dxa"/>
            <w:gridSpan w:val="2"/>
            <w:vAlign w:val="center"/>
          </w:tcPr>
          <w:p w14:paraId="244D0843">
            <w:pPr>
              <w:jc w:val="center"/>
              <w:rPr>
                <w:szCs w:val="21"/>
              </w:rPr>
            </w:pPr>
            <w:r>
              <w:rPr>
                <w:rFonts w:hint="eastAsia" w:eastAsia="宋体"/>
                <w:color w:val="auto"/>
                <w:lang w:val="en-US" w:eastAsia="zh-CN"/>
              </w:rPr>
              <w:t>25</w:t>
            </w:r>
          </w:p>
        </w:tc>
        <w:tc>
          <w:tcPr>
            <w:tcW w:w="4558" w:type="dxa"/>
            <w:gridSpan w:val="2"/>
            <w:vAlign w:val="center"/>
          </w:tcPr>
          <w:p w14:paraId="633A6F36">
            <w:pPr>
              <w:widowControl/>
              <w:jc w:val="left"/>
              <w:rPr>
                <w:szCs w:val="21"/>
              </w:rPr>
            </w:pPr>
            <w:r>
              <w:rPr>
                <w:color w:val="auto"/>
              </w:rPr>
              <w:t>（一）评分内容：投标人应如实填写《技术要求偏离表》，评审委员会根据技术需求参数响应情况进行打分，各项技术参数指标及要求全部满足的得100分，所有标注“▲”的重要参数每项负偏离扣</w:t>
            </w:r>
            <w:r>
              <w:rPr>
                <w:rFonts w:hint="eastAsia" w:eastAsia="宋体"/>
                <w:color w:val="auto"/>
                <w:lang w:val="en-US" w:eastAsia="zh-CN"/>
              </w:rPr>
              <w:t>15</w:t>
            </w:r>
            <w:r>
              <w:rPr>
                <w:color w:val="auto"/>
              </w:rPr>
              <w:t>分，一般参数每负偏离一条扣</w:t>
            </w:r>
            <w:r>
              <w:rPr>
                <w:rFonts w:hint="eastAsia"/>
                <w:color w:val="auto"/>
                <w:lang w:val="en-US" w:eastAsia="zh-CN"/>
              </w:rPr>
              <w:t>0.21</w:t>
            </w:r>
            <w:r>
              <w:rPr>
                <w:color w:val="auto"/>
              </w:rPr>
              <w:t>分，扣完为止。</w:t>
            </w:r>
          </w:p>
        </w:tc>
      </w:tr>
      <w:tr w14:paraId="68D3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continue"/>
            <w:vAlign w:val="center"/>
          </w:tcPr>
          <w:p w14:paraId="4565DBAE">
            <w:pPr>
              <w:keepNext/>
              <w:keepLines/>
              <w:spacing w:before="340" w:after="330" w:line="240" w:lineRule="exact"/>
              <w:jc w:val="center"/>
              <w:outlineLvl w:val="0"/>
              <w:rPr>
                <w:szCs w:val="21"/>
              </w:rPr>
            </w:pPr>
          </w:p>
        </w:tc>
        <w:tc>
          <w:tcPr>
            <w:tcW w:w="505" w:type="dxa"/>
            <w:vAlign w:val="center"/>
          </w:tcPr>
          <w:p w14:paraId="2B507D38">
            <w:pPr>
              <w:spacing w:line="240" w:lineRule="exact"/>
              <w:jc w:val="center"/>
              <w:rPr>
                <w:szCs w:val="21"/>
              </w:rPr>
            </w:pPr>
            <w:r>
              <w:rPr>
                <w:rFonts w:hint="eastAsia"/>
                <w:szCs w:val="21"/>
              </w:rPr>
              <w:t>3</w:t>
            </w:r>
          </w:p>
        </w:tc>
        <w:tc>
          <w:tcPr>
            <w:tcW w:w="1762" w:type="dxa"/>
            <w:vAlign w:val="center"/>
          </w:tcPr>
          <w:p w14:paraId="41E7B09B">
            <w:pPr>
              <w:jc w:val="center"/>
              <w:rPr>
                <w:rFonts w:ascii="Calibri" w:hAnsi="Calibri"/>
                <w:szCs w:val="21"/>
                <w:lang w:bidi="ar"/>
              </w:rPr>
            </w:pPr>
            <w:r>
              <w:rPr>
                <w:rFonts w:hint="eastAsia"/>
                <w:color w:val="auto"/>
              </w:rPr>
              <w:t>设计方案</w:t>
            </w:r>
          </w:p>
        </w:tc>
        <w:tc>
          <w:tcPr>
            <w:tcW w:w="851" w:type="dxa"/>
            <w:gridSpan w:val="2"/>
            <w:vAlign w:val="center"/>
          </w:tcPr>
          <w:p w14:paraId="74D8E055">
            <w:pPr>
              <w:jc w:val="center"/>
              <w:rPr>
                <w:rFonts w:ascii="Calibri" w:hAnsi="Calibri"/>
                <w:szCs w:val="21"/>
                <w:lang w:bidi="ar"/>
              </w:rPr>
            </w:pPr>
            <w:r>
              <w:rPr>
                <w:rFonts w:hint="eastAsia" w:eastAsia="宋体"/>
                <w:color w:val="auto"/>
                <w:lang w:val="en-US" w:eastAsia="zh-CN"/>
              </w:rPr>
              <w:t>7</w:t>
            </w:r>
          </w:p>
        </w:tc>
        <w:tc>
          <w:tcPr>
            <w:tcW w:w="4558" w:type="dxa"/>
            <w:gridSpan w:val="2"/>
            <w:vAlign w:val="center"/>
          </w:tcPr>
          <w:p w14:paraId="64DBD32E">
            <w:pPr>
              <w:jc w:val="left"/>
              <w:rPr>
                <w:rFonts w:hint="eastAsia"/>
                <w:color w:val="auto"/>
              </w:rPr>
            </w:pPr>
            <w:r>
              <w:rPr>
                <w:rFonts w:hint="eastAsia"/>
                <w:color w:val="auto"/>
                <w:lang w:eastAsia="zh-CN"/>
              </w:rPr>
              <w:t>（</w:t>
            </w:r>
            <w:r>
              <w:rPr>
                <w:rFonts w:hint="eastAsia"/>
                <w:color w:val="auto"/>
              </w:rPr>
              <w:t>一）评分内容：</w:t>
            </w:r>
          </w:p>
          <w:p w14:paraId="2A047651">
            <w:pPr>
              <w:numPr>
                <w:ilvl w:val="0"/>
                <w:numId w:val="0"/>
              </w:numPr>
              <w:rPr>
                <w:rFonts w:hint="default" w:eastAsiaTheme="minorEastAsia"/>
                <w:highlight w:val="none"/>
                <w:lang w:val="en-US" w:eastAsia="zh-CN"/>
              </w:rPr>
            </w:pPr>
            <w:r>
              <w:rPr>
                <w:rFonts w:hint="eastAsia" w:ascii="宋体" w:hAnsi="宋体" w:cs="宋体"/>
                <w:szCs w:val="21"/>
              </w:rPr>
              <w:t>根</w:t>
            </w:r>
            <w:r>
              <w:rPr>
                <w:rFonts w:hint="eastAsia" w:ascii="宋体" w:hAnsi="宋体" w:cs="宋体"/>
                <w:szCs w:val="21"/>
                <w:highlight w:val="none"/>
              </w:rPr>
              <w:t>据“</w:t>
            </w:r>
            <w:r>
              <w:rPr>
                <w:rFonts w:hint="eastAsia" w:ascii="宋体" w:hAnsi="宋体" w:cs="宋体"/>
                <w:szCs w:val="21"/>
                <w:highlight w:val="none"/>
                <w:lang w:val="en-US" w:eastAsia="zh-CN"/>
              </w:rPr>
              <w:t>八、</w:t>
            </w:r>
            <w:r>
              <w:rPr>
                <w:rFonts w:hint="eastAsia" w:ascii="宋体" w:hAnsi="宋体" w:cs="宋体"/>
                <w:szCs w:val="21"/>
                <w:highlight w:val="none"/>
              </w:rPr>
              <w:t>图纸与深化设计需求表”进行规划设计，</w:t>
            </w:r>
            <w:r>
              <w:rPr>
                <w:rFonts w:hint="eastAsia" w:ascii="宋体" w:hAnsi="宋体" w:cs="宋体"/>
                <w:szCs w:val="21"/>
                <w:highlight w:val="none"/>
                <w:lang w:val="en-US" w:eastAsia="zh-CN"/>
              </w:rPr>
              <w:t>要求如下：</w:t>
            </w:r>
          </w:p>
          <w:p w14:paraId="5F8A8FA2">
            <w:pPr>
              <w:numPr>
                <w:ilvl w:val="0"/>
                <w:numId w:val="0"/>
              </w:numPr>
              <w:rPr>
                <w:rFonts w:hint="default"/>
                <w:lang w:val="en-US" w:eastAsia="zh-CN"/>
              </w:rPr>
            </w:pPr>
            <w:r>
              <w:rPr>
                <w:rFonts w:hint="default" w:asciiTheme="minorHAnsi" w:hAnsiTheme="minorHAnsi" w:eastAsiaTheme="minorEastAsia" w:cstheme="minorBidi"/>
                <w:kern w:val="2"/>
                <w:sz w:val="21"/>
                <w:szCs w:val="24"/>
                <w:lang w:val="en-US" w:eastAsia="zh-CN" w:bidi="ar-SA"/>
              </w:rPr>
              <w:t>1.</w:t>
            </w:r>
            <w:r>
              <w:rPr>
                <w:rFonts w:hint="eastAsia"/>
              </w:rPr>
              <w:t>四人间宿舍：</w:t>
            </w:r>
            <w:r>
              <w:rPr>
                <w:rFonts w:hint="eastAsia"/>
                <w:lang w:val="en-US" w:eastAsia="zh-CN"/>
              </w:rPr>
              <w:t>①</w:t>
            </w:r>
            <w:r>
              <w:rPr>
                <w:rFonts w:hint="eastAsia"/>
              </w:rPr>
              <w:t>提供平面布局图（1张）</w:t>
            </w:r>
            <w:r>
              <w:rPr>
                <w:rFonts w:hint="eastAsia"/>
                <w:lang w:eastAsia="zh-CN"/>
              </w:rPr>
              <w:t>；</w:t>
            </w:r>
            <w:r>
              <w:rPr>
                <w:rFonts w:hint="eastAsia"/>
                <w:lang w:val="en-US" w:eastAsia="zh-CN"/>
              </w:rPr>
              <w:t>②</w:t>
            </w:r>
            <w:r>
              <w:rPr>
                <w:rFonts w:hint="eastAsia"/>
              </w:rPr>
              <w:t>家具空间设计效果图（</w:t>
            </w:r>
            <w:r>
              <w:rPr>
                <w:rFonts w:hint="eastAsia"/>
                <w:lang w:val="en-US" w:eastAsia="zh-CN"/>
              </w:rPr>
              <w:t>2</w:t>
            </w:r>
            <w:r>
              <w:rPr>
                <w:rFonts w:hint="eastAsia"/>
              </w:rPr>
              <w:t>张</w:t>
            </w:r>
            <w:r>
              <w:rPr>
                <w:rFonts w:hint="eastAsia"/>
                <w:lang w:val="en-US" w:eastAsia="zh-CN"/>
              </w:rPr>
              <w:t>及以上</w:t>
            </w:r>
            <w:r>
              <w:rPr>
                <w:rFonts w:hint="eastAsia"/>
              </w:rPr>
              <w:t>）</w:t>
            </w:r>
            <w:r>
              <w:rPr>
                <w:rFonts w:hint="eastAsia"/>
                <w:lang w:eastAsia="zh-CN"/>
              </w:rPr>
              <w:t>；</w:t>
            </w:r>
            <w:r>
              <w:rPr>
                <w:rFonts w:hint="eastAsia"/>
                <w:lang w:val="en-US" w:eastAsia="zh-CN"/>
              </w:rPr>
              <w:t>③</w:t>
            </w:r>
            <w:r>
              <w:rPr>
                <w:rFonts w:hint="eastAsia"/>
              </w:rPr>
              <w:t>产品彩色效果图</w:t>
            </w:r>
            <w:r>
              <w:rPr>
                <w:rFonts w:hint="eastAsia"/>
                <w:lang w:eastAsia="zh-CN"/>
              </w:rPr>
              <w:t>（</w:t>
            </w:r>
            <w:r>
              <w:rPr>
                <w:rFonts w:hint="eastAsia"/>
                <w:lang w:val="en-US" w:eastAsia="zh-CN"/>
              </w:rPr>
              <w:t>2张及以上</w:t>
            </w:r>
            <w:r>
              <w:rPr>
                <w:rFonts w:hint="eastAsia"/>
                <w:lang w:eastAsia="zh-CN"/>
              </w:rPr>
              <w:t>）；</w:t>
            </w:r>
            <w:r>
              <w:rPr>
                <w:rFonts w:hint="eastAsia"/>
                <w:lang w:val="en-US" w:eastAsia="zh-CN"/>
              </w:rPr>
              <w:t>④产品三视图(结构尺寸图)</w:t>
            </w:r>
            <w:r>
              <w:rPr>
                <w:rFonts w:hint="eastAsia"/>
                <w:lang w:eastAsia="zh-CN"/>
              </w:rPr>
              <w:t>（</w:t>
            </w:r>
            <w:r>
              <w:rPr>
                <w:rFonts w:hint="eastAsia"/>
                <w:lang w:val="en-US" w:eastAsia="zh-CN"/>
              </w:rPr>
              <w:t>2张及以上</w:t>
            </w:r>
            <w:r>
              <w:rPr>
                <w:rFonts w:hint="eastAsia"/>
                <w:lang w:eastAsia="zh-CN"/>
              </w:rPr>
              <w:t>）</w:t>
            </w:r>
            <w:r>
              <w:rPr>
                <w:rFonts w:hint="eastAsia"/>
                <w:lang w:val="en-US" w:eastAsia="zh-CN"/>
              </w:rPr>
              <w:t>，</w:t>
            </w:r>
            <w:r>
              <w:rPr>
                <w:rFonts w:hint="eastAsia"/>
              </w:rPr>
              <w:t>需体现</w:t>
            </w:r>
            <w:r>
              <w:rPr>
                <w:rFonts w:hint="eastAsia"/>
                <w:lang w:val="en-US" w:eastAsia="zh-CN"/>
              </w:rPr>
              <w:t>该区域</w:t>
            </w:r>
            <w:r>
              <w:rPr>
                <w:rFonts w:hint="eastAsia"/>
              </w:rPr>
              <w:t>需求明细</w:t>
            </w:r>
            <w:r>
              <w:rPr>
                <w:rFonts w:hint="eastAsia"/>
                <w:lang w:val="en-US" w:eastAsia="zh-CN"/>
              </w:rPr>
              <w:t>中产品</w:t>
            </w:r>
            <w:r>
              <w:rPr>
                <w:rFonts w:hint="eastAsia"/>
                <w:lang w:eastAsia="zh-CN"/>
              </w:rPr>
              <w:t>（</w:t>
            </w:r>
            <w:r>
              <w:rPr>
                <w:rFonts w:hint="eastAsia"/>
                <w:lang w:val="en-US" w:eastAsia="zh-CN"/>
              </w:rPr>
              <w:t>以八、图纸与深化设计需求表中要求为准</w:t>
            </w:r>
            <w:r>
              <w:rPr>
                <w:rFonts w:hint="eastAsia"/>
                <w:lang w:eastAsia="zh-CN"/>
              </w:rPr>
              <w:t>）</w:t>
            </w:r>
            <w:r>
              <w:rPr>
                <w:rFonts w:hint="eastAsia"/>
                <w:lang w:val="en-US" w:eastAsia="zh-CN"/>
              </w:rPr>
              <w:t>。</w:t>
            </w:r>
          </w:p>
          <w:p w14:paraId="2AA46C3D">
            <w:pPr>
              <w:numPr>
                <w:ilvl w:val="0"/>
                <w:numId w:val="0"/>
              </w:numPr>
              <w:ind w:left="0" w:leftChars="0" w:firstLine="0" w:firstLineChars="0"/>
              <w:rPr>
                <w:rFonts w:hint="eastAsia"/>
                <w:lang w:val="en-US" w:eastAsia="zh-CN"/>
              </w:rPr>
            </w:pPr>
            <w:r>
              <w:rPr>
                <w:rFonts w:hint="eastAsia" w:asciiTheme="minorHAnsi" w:hAnsiTheme="minorHAnsi" w:eastAsiaTheme="minorEastAsia" w:cstheme="minorBidi"/>
                <w:kern w:val="2"/>
                <w:sz w:val="21"/>
                <w:szCs w:val="24"/>
                <w:lang w:val="en-US" w:eastAsia="zh-CN" w:bidi="ar-SA"/>
              </w:rPr>
              <w:t>2.</w:t>
            </w:r>
            <w:r>
              <w:rPr>
                <w:rFonts w:hint="eastAsia"/>
                <w:lang w:val="en-US" w:eastAsia="zh-CN"/>
              </w:rPr>
              <w:t>双人间</w:t>
            </w:r>
            <w:r>
              <w:rPr>
                <w:rFonts w:hint="eastAsia"/>
              </w:rPr>
              <w:t>宿舍：</w:t>
            </w:r>
            <w:r>
              <w:rPr>
                <w:rFonts w:hint="eastAsia"/>
                <w:lang w:val="en-US" w:eastAsia="zh-CN"/>
              </w:rPr>
              <w:t>①</w:t>
            </w:r>
            <w:r>
              <w:rPr>
                <w:rFonts w:hint="eastAsia"/>
              </w:rPr>
              <w:t>提供平面布局图（1张）</w:t>
            </w:r>
            <w:r>
              <w:rPr>
                <w:rFonts w:hint="eastAsia"/>
                <w:lang w:eastAsia="zh-CN"/>
              </w:rPr>
              <w:t>；</w:t>
            </w:r>
            <w:r>
              <w:rPr>
                <w:rFonts w:hint="eastAsia"/>
                <w:lang w:val="en-US" w:eastAsia="zh-CN"/>
              </w:rPr>
              <w:t>②</w:t>
            </w:r>
            <w:r>
              <w:rPr>
                <w:rFonts w:hint="eastAsia"/>
              </w:rPr>
              <w:t>家具空间设计效果图（</w:t>
            </w:r>
            <w:r>
              <w:rPr>
                <w:rFonts w:hint="eastAsia"/>
                <w:lang w:val="en-US" w:eastAsia="zh-CN"/>
              </w:rPr>
              <w:t>2</w:t>
            </w:r>
            <w:r>
              <w:rPr>
                <w:rFonts w:hint="eastAsia"/>
              </w:rPr>
              <w:t>张</w:t>
            </w:r>
            <w:r>
              <w:rPr>
                <w:rFonts w:hint="eastAsia"/>
                <w:lang w:val="en-US" w:eastAsia="zh-CN"/>
              </w:rPr>
              <w:t>及以上</w:t>
            </w:r>
            <w:r>
              <w:rPr>
                <w:rFonts w:hint="eastAsia"/>
              </w:rPr>
              <w:t>）</w:t>
            </w:r>
            <w:r>
              <w:rPr>
                <w:rFonts w:hint="eastAsia"/>
                <w:lang w:eastAsia="zh-CN"/>
              </w:rPr>
              <w:t>；</w:t>
            </w:r>
            <w:r>
              <w:rPr>
                <w:rFonts w:hint="eastAsia"/>
                <w:lang w:val="en-US" w:eastAsia="zh-CN"/>
              </w:rPr>
              <w:t>③</w:t>
            </w:r>
            <w:r>
              <w:rPr>
                <w:rFonts w:hint="eastAsia"/>
              </w:rPr>
              <w:t>产品彩色效果图</w:t>
            </w:r>
            <w:r>
              <w:rPr>
                <w:rFonts w:hint="eastAsia"/>
                <w:lang w:eastAsia="zh-CN"/>
              </w:rPr>
              <w:t>（</w:t>
            </w:r>
            <w:r>
              <w:rPr>
                <w:rFonts w:hint="eastAsia"/>
                <w:lang w:val="en-US" w:eastAsia="zh-CN"/>
              </w:rPr>
              <w:t>2张及以上</w:t>
            </w:r>
            <w:r>
              <w:rPr>
                <w:rFonts w:hint="eastAsia"/>
                <w:lang w:eastAsia="zh-CN"/>
              </w:rPr>
              <w:t>）；</w:t>
            </w:r>
            <w:r>
              <w:rPr>
                <w:rFonts w:hint="eastAsia"/>
                <w:lang w:val="en-US" w:eastAsia="zh-CN"/>
              </w:rPr>
              <w:t>④产品三视图(结构尺寸图)</w:t>
            </w:r>
            <w:r>
              <w:rPr>
                <w:rFonts w:hint="eastAsia"/>
                <w:lang w:eastAsia="zh-CN"/>
              </w:rPr>
              <w:t>（</w:t>
            </w:r>
            <w:r>
              <w:rPr>
                <w:rFonts w:hint="eastAsia"/>
                <w:lang w:val="en-US" w:eastAsia="zh-CN"/>
              </w:rPr>
              <w:t>2张及以上</w:t>
            </w:r>
            <w:r>
              <w:rPr>
                <w:rFonts w:hint="eastAsia"/>
                <w:lang w:eastAsia="zh-CN"/>
              </w:rPr>
              <w:t>）</w:t>
            </w:r>
            <w:r>
              <w:rPr>
                <w:rFonts w:hint="eastAsia"/>
                <w:lang w:val="en-US" w:eastAsia="zh-CN"/>
              </w:rPr>
              <w:t>，</w:t>
            </w:r>
            <w:r>
              <w:rPr>
                <w:rFonts w:hint="eastAsia"/>
              </w:rPr>
              <w:t>需体现</w:t>
            </w:r>
            <w:r>
              <w:rPr>
                <w:rFonts w:hint="eastAsia"/>
                <w:lang w:val="en-US" w:eastAsia="zh-CN"/>
              </w:rPr>
              <w:t>该区域</w:t>
            </w:r>
            <w:r>
              <w:rPr>
                <w:rFonts w:hint="eastAsia"/>
              </w:rPr>
              <w:t>需求明细</w:t>
            </w:r>
            <w:r>
              <w:rPr>
                <w:rFonts w:hint="eastAsia"/>
                <w:lang w:val="en-US" w:eastAsia="zh-CN"/>
              </w:rPr>
              <w:t>中产品</w:t>
            </w:r>
            <w:r>
              <w:rPr>
                <w:rFonts w:hint="eastAsia"/>
                <w:lang w:eastAsia="zh-CN"/>
              </w:rPr>
              <w:t>（</w:t>
            </w:r>
            <w:r>
              <w:rPr>
                <w:rFonts w:hint="eastAsia"/>
                <w:lang w:val="en-US" w:eastAsia="zh-CN"/>
              </w:rPr>
              <w:t>以八、图纸与深化设计需求表中要求为准</w:t>
            </w:r>
            <w:r>
              <w:rPr>
                <w:rFonts w:hint="eastAsia"/>
                <w:lang w:eastAsia="zh-CN"/>
              </w:rPr>
              <w:t>）</w:t>
            </w:r>
            <w:r>
              <w:rPr>
                <w:rFonts w:hint="eastAsia"/>
                <w:lang w:val="en-US" w:eastAsia="zh-CN"/>
              </w:rPr>
              <w:t>。</w:t>
            </w:r>
          </w:p>
          <w:p w14:paraId="7577889A">
            <w:pPr>
              <w:rPr>
                <w:rFonts w:hint="eastAsia"/>
              </w:rPr>
            </w:pPr>
            <w:r>
              <w:rPr>
                <w:rFonts w:hint="eastAsia"/>
              </w:rPr>
              <w:t>3.</w:t>
            </w:r>
            <w:r>
              <w:rPr>
                <w:rFonts w:hint="eastAsia"/>
                <w:lang w:val="en-US" w:eastAsia="zh-CN"/>
              </w:rPr>
              <w:t>单人间</w:t>
            </w:r>
            <w:r>
              <w:rPr>
                <w:rFonts w:hint="eastAsia"/>
              </w:rPr>
              <w:t>宿舍：</w:t>
            </w:r>
            <w:r>
              <w:rPr>
                <w:rFonts w:hint="eastAsia"/>
                <w:lang w:val="en-US" w:eastAsia="zh-CN"/>
              </w:rPr>
              <w:t>①</w:t>
            </w:r>
            <w:r>
              <w:rPr>
                <w:rFonts w:hint="eastAsia"/>
              </w:rPr>
              <w:t>提供平面布局图（1张）</w:t>
            </w:r>
            <w:r>
              <w:rPr>
                <w:rFonts w:hint="eastAsia"/>
                <w:lang w:eastAsia="zh-CN"/>
              </w:rPr>
              <w:t>；</w:t>
            </w:r>
            <w:r>
              <w:rPr>
                <w:rFonts w:hint="eastAsia"/>
                <w:lang w:val="en-US" w:eastAsia="zh-CN"/>
              </w:rPr>
              <w:t>②</w:t>
            </w:r>
            <w:r>
              <w:rPr>
                <w:rFonts w:hint="eastAsia"/>
              </w:rPr>
              <w:t>家具空间设计效果图（</w:t>
            </w:r>
            <w:r>
              <w:rPr>
                <w:rFonts w:hint="eastAsia"/>
                <w:lang w:val="en-US" w:eastAsia="zh-CN"/>
              </w:rPr>
              <w:t>2</w:t>
            </w:r>
            <w:r>
              <w:rPr>
                <w:rFonts w:hint="eastAsia"/>
              </w:rPr>
              <w:t>张</w:t>
            </w:r>
            <w:r>
              <w:rPr>
                <w:rFonts w:hint="eastAsia"/>
                <w:lang w:val="en-US" w:eastAsia="zh-CN"/>
              </w:rPr>
              <w:t>及以上</w:t>
            </w:r>
            <w:r>
              <w:rPr>
                <w:rFonts w:hint="eastAsia"/>
              </w:rPr>
              <w:t>）</w:t>
            </w:r>
            <w:r>
              <w:rPr>
                <w:rFonts w:hint="eastAsia"/>
                <w:lang w:eastAsia="zh-CN"/>
              </w:rPr>
              <w:t>；</w:t>
            </w:r>
            <w:r>
              <w:rPr>
                <w:rFonts w:hint="eastAsia"/>
                <w:lang w:val="en-US" w:eastAsia="zh-CN"/>
              </w:rPr>
              <w:t>③</w:t>
            </w:r>
            <w:r>
              <w:rPr>
                <w:rFonts w:hint="eastAsia"/>
              </w:rPr>
              <w:t>产品彩色效果图</w:t>
            </w:r>
            <w:r>
              <w:rPr>
                <w:rFonts w:hint="eastAsia"/>
                <w:lang w:eastAsia="zh-CN"/>
              </w:rPr>
              <w:t>（</w:t>
            </w:r>
            <w:r>
              <w:rPr>
                <w:rFonts w:hint="eastAsia"/>
                <w:lang w:val="en-US" w:eastAsia="zh-CN"/>
              </w:rPr>
              <w:t>2张及以上</w:t>
            </w:r>
            <w:r>
              <w:rPr>
                <w:rFonts w:hint="eastAsia"/>
                <w:lang w:eastAsia="zh-CN"/>
              </w:rPr>
              <w:t>）；</w:t>
            </w:r>
            <w:r>
              <w:rPr>
                <w:rFonts w:hint="eastAsia"/>
                <w:lang w:val="en-US" w:eastAsia="zh-CN"/>
              </w:rPr>
              <w:t>④产品三视图(结构尺寸图)</w:t>
            </w:r>
            <w:r>
              <w:rPr>
                <w:rFonts w:hint="eastAsia"/>
                <w:lang w:eastAsia="zh-CN"/>
              </w:rPr>
              <w:t>（</w:t>
            </w:r>
            <w:r>
              <w:rPr>
                <w:rFonts w:hint="eastAsia"/>
                <w:lang w:val="en-US" w:eastAsia="zh-CN"/>
              </w:rPr>
              <w:t>2张及以上</w:t>
            </w:r>
            <w:r>
              <w:rPr>
                <w:rFonts w:hint="eastAsia"/>
                <w:lang w:eastAsia="zh-CN"/>
              </w:rPr>
              <w:t>）</w:t>
            </w:r>
            <w:r>
              <w:rPr>
                <w:rFonts w:hint="eastAsia"/>
                <w:lang w:val="en-US" w:eastAsia="zh-CN"/>
              </w:rPr>
              <w:t>，</w:t>
            </w:r>
            <w:r>
              <w:rPr>
                <w:rFonts w:hint="eastAsia"/>
              </w:rPr>
              <w:t>需体现</w:t>
            </w:r>
            <w:r>
              <w:rPr>
                <w:rFonts w:hint="eastAsia"/>
                <w:lang w:val="en-US" w:eastAsia="zh-CN"/>
              </w:rPr>
              <w:t>该区域</w:t>
            </w:r>
            <w:r>
              <w:rPr>
                <w:rFonts w:hint="eastAsia"/>
              </w:rPr>
              <w:t>需求明细</w:t>
            </w:r>
            <w:r>
              <w:rPr>
                <w:rFonts w:hint="eastAsia"/>
                <w:lang w:val="en-US" w:eastAsia="zh-CN"/>
              </w:rPr>
              <w:t>中产品</w:t>
            </w:r>
            <w:r>
              <w:rPr>
                <w:rFonts w:hint="eastAsia"/>
                <w:lang w:eastAsia="zh-CN"/>
              </w:rPr>
              <w:t>（</w:t>
            </w:r>
            <w:r>
              <w:rPr>
                <w:rFonts w:hint="eastAsia"/>
                <w:lang w:val="en-US" w:eastAsia="zh-CN"/>
              </w:rPr>
              <w:t>以八、图纸与深化设计需求表中要求为准</w:t>
            </w:r>
            <w:r>
              <w:rPr>
                <w:rFonts w:hint="eastAsia"/>
                <w:lang w:eastAsia="zh-CN"/>
              </w:rPr>
              <w:t>）</w:t>
            </w:r>
            <w:r>
              <w:rPr>
                <w:rFonts w:hint="eastAsia"/>
                <w:lang w:val="en-US" w:eastAsia="zh-CN"/>
              </w:rPr>
              <w:t>。</w:t>
            </w:r>
          </w:p>
          <w:p w14:paraId="048A53E7"/>
          <w:p w14:paraId="4162D63D">
            <w:pPr>
              <w:jc w:val="left"/>
              <w:rPr>
                <w:rFonts w:hint="eastAsia"/>
                <w:color w:val="auto"/>
              </w:rPr>
            </w:pPr>
            <w:r>
              <w:rPr>
                <w:rFonts w:hint="eastAsia"/>
                <w:color w:val="auto"/>
              </w:rPr>
              <w:t>（二）评分依据：</w:t>
            </w:r>
          </w:p>
          <w:p w14:paraId="7D045D9F">
            <w:pPr>
              <w:jc w:val="left"/>
              <w:rPr>
                <w:rFonts w:hint="eastAsia"/>
                <w:color w:val="auto"/>
              </w:rPr>
            </w:pPr>
            <w:r>
              <w:rPr>
                <w:rFonts w:hint="eastAsia" w:ascii="宋体" w:hAnsi="宋体" w:cs="宋体"/>
                <w:szCs w:val="21"/>
              </w:rPr>
              <w:t>每提供</w:t>
            </w:r>
            <w:r>
              <w:rPr>
                <w:rFonts w:hint="eastAsia" w:ascii="宋体" w:hAnsi="宋体" w:cs="宋体"/>
                <w:szCs w:val="21"/>
                <w:lang w:val="en-US" w:eastAsia="zh-CN"/>
              </w:rPr>
              <w:t>上述1</w:t>
            </w:r>
            <w:r>
              <w:rPr>
                <w:rFonts w:hint="eastAsia" w:ascii="宋体" w:hAnsi="宋体" w:cs="宋体"/>
                <w:szCs w:val="21"/>
              </w:rPr>
              <w:t>个</w:t>
            </w:r>
            <w:r>
              <w:rPr>
                <w:rFonts w:hint="eastAsia" w:ascii="宋体" w:hAnsi="宋体" w:cs="宋体"/>
                <w:szCs w:val="21"/>
                <w:lang w:val="en-US" w:eastAsia="zh-CN"/>
              </w:rPr>
              <w:t>宿舍</w:t>
            </w:r>
            <w:r>
              <w:rPr>
                <w:rFonts w:hint="eastAsia" w:ascii="宋体" w:hAnsi="宋体" w:cs="宋体"/>
                <w:szCs w:val="21"/>
              </w:rPr>
              <w:t>要求的全部设计图纸的</w:t>
            </w:r>
            <w:r>
              <w:rPr>
                <w:rFonts w:hint="eastAsia" w:ascii="宋体" w:hAnsi="宋体" w:cs="宋体"/>
                <w:szCs w:val="21"/>
                <w:lang w:val="en-US" w:eastAsia="zh-CN"/>
              </w:rPr>
              <w:t>得10分，</w:t>
            </w:r>
            <w:r>
              <w:rPr>
                <w:rFonts w:hint="eastAsia"/>
                <w:color w:val="auto"/>
                <w:lang w:val="en-US" w:eastAsia="zh-CN"/>
              </w:rPr>
              <w:t>本项最高</w:t>
            </w:r>
            <w:r>
              <w:rPr>
                <w:rFonts w:hint="eastAsia"/>
                <w:color w:val="auto"/>
              </w:rPr>
              <w:t>得30分；在上述基础上，专家根据具体响应内容进一步评审:</w:t>
            </w:r>
          </w:p>
          <w:p w14:paraId="0CD9B1C8">
            <w:pPr>
              <w:jc w:val="left"/>
              <w:rPr>
                <w:rFonts w:hint="eastAsia"/>
                <w:color w:val="auto"/>
              </w:rPr>
            </w:pPr>
            <w:r>
              <w:rPr>
                <w:rFonts w:hint="eastAsia"/>
                <w:color w:val="auto"/>
              </w:rPr>
              <w:t>1.内容完整，设计合理、实用性强，图片清晰、整体效果完全</w:t>
            </w:r>
            <w:r>
              <w:rPr>
                <w:rFonts w:hint="eastAsia" w:ascii="宋体" w:hAnsi="宋体" w:cs="宋体"/>
                <w:szCs w:val="21"/>
              </w:rPr>
              <w:t>符合</w:t>
            </w:r>
            <w:r>
              <w:rPr>
                <w:rFonts w:hint="eastAsia" w:ascii="宋体" w:hAnsi="宋体" w:cs="宋体"/>
                <w:szCs w:val="21"/>
                <w:lang w:val="en-US" w:eastAsia="zh-CN"/>
              </w:rPr>
              <w:t>宿舍</w:t>
            </w:r>
            <w:r>
              <w:rPr>
                <w:rFonts w:hint="eastAsia" w:ascii="宋体" w:hAnsi="宋体" w:cs="宋体"/>
                <w:szCs w:val="21"/>
              </w:rPr>
              <w:t>实际需求</w:t>
            </w:r>
            <w:r>
              <w:rPr>
                <w:rFonts w:hint="eastAsia"/>
                <w:color w:val="auto"/>
              </w:rPr>
              <w:t>的评价为优，加70分；</w:t>
            </w:r>
          </w:p>
          <w:p w14:paraId="69826494">
            <w:pPr>
              <w:jc w:val="left"/>
              <w:rPr>
                <w:rFonts w:hint="eastAsia"/>
                <w:color w:val="auto"/>
              </w:rPr>
            </w:pPr>
            <w:r>
              <w:rPr>
                <w:rFonts w:hint="eastAsia"/>
                <w:color w:val="auto"/>
              </w:rPr>
              <w:t>2.内容完整，设计较为合理、实用性一般，图片清晰、整体效果基本</w:t>
            </w:r>
            <w:r>
              <w:rPr>
                <w:rFonts w:hint="eastAsia" w:ascii="宋体" w:hAnsi="宋体" w:cs="宋体"/>
                <w:szCs w:val="21"/>
              </w:rPr>
              <w:t>符合</w:t>
            </w:r>
            <w:r>
              <w:rPr>
                <w:rFonts w:hint="eastAsia" w:ascii="宋体" w:hAnsi="宋体" w:cs="宋体"/>
                <w:szCs w:val="21"/>
                <w:lang w:val="en-US" w:eastAsia="zh-CN"/>
              </w:rPr>
              <w:t>宿舍</w:t>
            </w:r>
            <w:r>
              <w:rPr>
                <w:rFonts w:hint="eastAsia" w:ascii="宋体" w:hAnsi="宋体" w:cs="宋体"/>
                <w:szCs w:val="21"/>
              </w:rPr>
              <w:t>实际需求</w:t>
            </w:r>
            <w:r>
              <w:rPr>
                <w:rFonts w:hint="eastAsia"/>
                <w:color w:val="auto"/>
              </w:rPr>
              <w:t>的评价为良，加20分；</w:t>
            </w:r>
          </w:p>
          <w:p w14:paraId="61C1EFFD">
            <w:pPr>
              <w:jc w:val="left"/>
              <w:rPr>
                <w:rFonts w:hint="eastAsia"/>
                <w:color w:val="auto"/>
              </w:rPr>
            </w:pPr>
            <w:r>
              <w:rPr>
                <w:rFonts w:hint="eastAsia"/>
                <w:color w:val="auto"/>
              </w:rPr>
              <w:t>3.内容基本完整，设计合理性较差、实用性较差，图片清晰、整体效果不符合</w:t>
            </w:r>
            <w:r>
              <w:rPr>
                <w:rFonts w:hint="eastAsia" w:ascii="宋体" w:hAnsi="宋体" w:cs="宋体"/>
                <w:szCs w:val="21"/>
                <w:lang w:val="en-US" w:eastAsia="zh-CN"/>
              </w:rPr>
              <w:t>宿舍</w:t>
            </w:r>
            <w:r>
              <w:rPr>
                <w:rFonts w:hint="eastAsia" w:ascii="宋体" w:hAnsi="宋体" w:cs="宋体"/>
                <w:szCs w:val="21"/>
              </w:rPr>
              <w:t>实际需求</w:t>
            </w:r>
            <w:r>
              <w:rPr>
                <w:rFonts w:hint="eastAsia"/>
                <w:color w:val="auto"/>
              </w:rPr>
              <w:t>的评价为中，加10分；</w:t>
            </w:r>
          </w:p>
          <w:p w14:paraId="3C251A7C">
            <w:pPr>
              <w:jc w:val="left"/>
              <w:rPr>
                <w:rFonts w:hint="eastAsia"/>
                <w:color w:val="auto"/>
              </w:rPr>
            </w:pPr>
            <w:r>
              <w:rPr>
                <w:rFonts w:hint="eastAsia"/>
                <w:color w:val="auto"/>
              </w:rPr>
              <w:t>4.提供的材料各方面差或未按要求提供或提供的材料不能证明相关情况的或提供不清晰导致专家无法判断的不加分。</w:t>
            </w:r>
          </w:p>
          <w:p w14:paraId="687B8AC6">
            <w:pPr>
              <w:widowControl/>
              <w:jc w:val="left"/>
              <w:rPr>
                <w:rFonts w:ascii="Calibri" w:hAnsi="Calibri"/>
                <w:szCs w:val="21"/>
                <w:lang w:bidi="ar"/>
              </w:rPr>
            </w:pPr>
            <w:r>
              <w:rPr>
                <w:rFonts w:hint="eastAsia"/>
                <w:color w:val="auto"/>
              </w:rPr>
              <w:t>以上累计最高得100分。</w:t>
            </w:r>
          </w:p>
        </w:tc>
      </w:tr>
      <w:tr w14:paraId="725B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continue"/>
            <w:vAlign w:val="center"/>
          </w:tcPr>
          <w:p w14:paraId="230F4226">
            <w:pPr>
              <w:keepNext/>
              <w:keepLines/>
              <w:spacing w:before="340" w:after="330" w:line="240" w:lineRule="exact"/>
              <w:jc w:val="center"/>
              <w:outlineLvl w:val="0"/>
              <w:rPr>
                <w:szCs w:val="21"/>
              </w:rPr>
            </w:pPr>
          </w:p>
        </w:tc>
        <w:tc>
          <w:tcPr>
            <w:tcW w:w="505" w:type="dxa"/>
            <w:vAlign w:val="center"/>
          </w:tcPr>
          <w:p w14:paraId="3AC690C8">
            <w:pPr>
              <w:spacing w:line="240" w:lineRule="exact"/>
              <w:jc w:val="center"/>
              <w:rPr>
                <w:szCs w:val="21"/>
              </w:rPr>
            </w:pPr>
            <w:r>
              <w:rPr>
                <w:rFonts w:hint="eastAsia"/>
                <w:szCs w:val="21"/>
              </w:rPr>
              <w:t>4</w:t>
            </w:r>
          </w:p>
        </w:tc>
        <w:tc>
          <w:tcPr>
            <w:tcW w:w="1762" w:type="dxa"/>
            <w:vAlign w:val="center"/>
          </w:tcPr>
          <w:p w14:paraId="16A3002E">
            <w:pPr>
              <w:jc w:val="center"/>
              <w:rPr>
                <w:kern w:val="0"/>
                <w:szCs w:val="21"/>
              </w:rPr>
            </w:pPr>
            <w:r>
              <w:rPr>
                <w:rFonts w:hint="eastAsia" w:eastAsia="宋体"/>
                <w:color w:val="auto"/>
                <w:lang w:val="en-US" w:eastAsia="zh-CN"/>
              </w:rPr>
              <w:t>项目实施方案</w:t>
            </w:r>
          </w:p>
        </w:tc>
        <w:tc>
          <w:tcPr>
            <w:tcW w:w="851" w:type="dxa"/>
            <w:gridSpan w:val="2"/>
            <w:vAlign w:val="center"/>
          </w:tcPr>
          <w:p w14:paraId="7091CA37">
            <w:pPr>
              <w:jc w:val="center"/>
              <w:rPr>
                <w:szCs w:val="21"/>
              </w:rPr>
            </w:pPr>
            <w:r>
              <w:rPr>
                <w:rFonts w:hint="eastAsia"/>
                <w:color w:val="auto"/>
                <w:lang w:val="en-US" w:eastAsia="zh-CN"/>
              </w:rPr>
              <w:t>5</w:t>
            </w:r>
          </w:p>
        </w:tc>
        <w:tc>
          <w:tcPr>
            <w:tcW w:w="4558" w:type="dxa"/>
            <w:gridSpan w:val="2"/>
            <w:vAlign w:val="center"/>
          </w:tcPr>
          <w:p w14:paraId="0C6CAD76">
            <w:pPr>
              <w:jc w:val="left"/>
              <w:rPr>
                <w:rFonts w:hint="eastAsia"/>
                <w:color w:val="auto"/>
                <w:lang w:eastAsia="zh-CN"/>
              </w:rPr>
            </w:pPr>
            <w:r>
              <w:rPr>
                <w:rFonts w:hint="eastAsia"/>
                <w:color w:val="auto"/>
                <w:lang w:eastAsia="zh-CN"/>
              </w:rPr>
              <w:t>（一）评分内容：投标人结合本项目特点，制定出相应的</w:t>
            </w:r>
            <w:r>
              <w:rPr>
                <w:rFonts w:hint="eastAsia"/>
                <w:color w:val="auto"/>
                <w:lang w:val="en-US" w:eastAsia="zh-CN"/>
              </w:rPr>
              <w:t>项目实施</w:t>
            </w:r>
            <w:r>
              <w:rPr>
                <w:rFonts w:hint="eastAsia"/>
                <w:color w:val="auto"/>
                <w:lang w:eastAsia="zh-CN"/>
              </w:rPr>
              <w:t>方案：</w:t>
            </w:r>
          </w:p>
          <w:p w14:paraId="6CC1DCDE">
            <w:pPr>
              <w:jc w:val="left"/>
              <w:rPr>
                <w:rFonts w:hint="eastAsia"/>
                <w:color w:val="auto"/>
                <w:lang w:eastAsia="zh-CN"/>
              </w:rPr>
            </w:pPr>
            <w:r>
              <w:rPr>
                <w:rFonts w:hint="eastAsia"/>
                <w:lang w:val="en-US" w:eastAsia="zh-CN"/>
              </w:rPr>
              <w:t>包括</w:t>
            </w:r>
            <w:r>
              <w:rPr>
                <w:rFonts w:hint="eastAsia"/>
                <w:color w:val="auto"/>
                <w:lang w:eastAsia="zh-CN"/>
              </w:rPr>
              <w:t>但不限于以下内容：</w:t>
            </w:r>
          </w:p>
          <w:p w14:paraId="770623EC">
            <w:pPr>
              <w:jc w:val="left"/>
              <w:rPr>
                <w:rFonts w:hint="eastAsia"/>
                <w:color w:val="auto"/>
                <w:lang w:val="en-US" w:eastAsia="zh-CN"/>
              </w:rPr>
            </w:pPr>
            <w:r>
              <w:rPr>
                <w:rFonts w:hint="eastAsia"/>
                <w:color w:val="auto"/>
                <w:lang w:eastAsia="zh-CN"/>
              </w:rPr>
              <w:t>（1</w:t>
            </w:r>
            <w:r>
              <w:rPr>
                <w:rFonts w:hint="eastAsia"/>
                <w:color w:val="auto"/>
                <w:lang w:val="en-US" w:eastAsia="zh-CN"/>
              </w:rPr>
              <w:t>）生产、供货计划及流程管理；</w:t>
            </w:r>
          </w:p>
          <w:p w14:paraId="3D18DB3C">
            <w:pPr>
              <w:jc w:val="left"/>
              <w:rPr>
                <w:rFonts w:hint="eastAsia"/>
                <w:color w:val="auto"/>
                <w:lang w:eastAsia="zh-CN"/>
              </w:rPr>
            </w:pPr>
            <w:r>
              <w:rPr>
                <w:rFonts w:hint="eastAsia"/>
                <w:color w:val="auto"/>
                <w:lang w:eastAsia="zh-CN"/>
              </w:rPr>
              <w:t>（2）安装（施工）进度安排方案；</w:t>
            </w:r>
          </w:p>
          <w:p w14:paraId="4C07B8AD">
            <w:pPr>
              <w:jc w:val="left"/>
              <w:rPr>
                <w:rFonts w:hint="eastAsia"/>
                <w:color w:val="auto"/>
                <w:lang w:eastAsia="zh-CN"/>
              </w:rPr>
            </w:pPr>
            <w:r>
              <w:rPr>
                <w:rFonts w:hint="eastAsia"/>
                <w:color w:val="auto"/>
                <w:lang w:eastAsia="zh-CN"/>
              </w:rPr>
              <w:t>（3）</w:t>
            </w:r>
            <w:r>
              <w:rPr>
                <w:rFonts w:hint="eastAsia"/>
                <w:color w:val="auto"/>
                <w:lang w:val="en-US" w:eastAsia="zh-CN"/>
              </w:rPr>
              <w:t>质量保障</w:t>
            </w:r>
            <w:r>
              <w:rPr>
                <w:rFonts w:hint="eastAsia"/>
                <w:color w:val="auto"/>
                <w:lang w:eastAsia="zh-CN"/>
              </w:rPr>
              <w:t>措施；</w:t>
            </w:r>
          </w:p>
          <w:p w14:paraId="4C21A4FF">
            <w:pPr>
              <w:jc w:val="left"/>
              <w:rPr>
                <w:rFonts w:hint="eastAsia"/>
                <w:color w:val="auto"/>
                <w:lang w:eastAsia="zh-CN"/>
              </w:rPr>
            </w:pPr>
            <w:r>
              <w:rPr>
                <w:rFonts w:hint="eastAsia"/>
                <w:color w:val="auto"/>
                <w:lang w:eastAsia="zh-CN"/>
              </w:rPr>
              <w:t>（4）安全保障措施；</w:t>
            </w:r>
          </w:p>
          <w:p w14:paraId="1CF11551">
            <w:pPr>
              <w:jc w:val="left"/>
              <w:rPr>
                <w:rFonts w:hint="eastAsia"/>
                <w:color w:val="auto"/>
                <w:lang w:eastAsia="zh-CN"/>
              </w:rPr>
            </w:pPr>
            <w:r>
              <w:rPr>
                <w:rFonts w:hint="eastAsia"/>
                <w:color w:val="auto"/>
                <w:lang w:eastAsia="zh-CN"/>
              </w:rPr>
              <w:t>（5）实施团队</w:t>
            </w:r>
            <w:r>
              <w:rPr>
                <w:rFonts w:hint="eastAsia"/>
                <w:color w:val="auto"/>
                <w:lang w:val="en-US" w:eastAsia="zh-CN"/>
              </w:rPr>
              <w:t>专业</w:t>
            </w:r>
            <w:r>
              <w:rPr>
                <w:rFonts w:hint="eastAsia"/>
                <w:color w:val="auto"/>
                <w:lang w:eastAsia="zh-CN"/>
              </w:rPr>
              <w:t>技术保障。</w:t>
            </w:r>
          </w:p>
          <w:p w14:paraId="029239C0">
            <w:pPr>
              <w:jc w:val="left"/>
              <w:rPr>
                <w:rFonts w:hint="eastAsia"/>
                <w:color w:val="auto"/>
                <w:lang w:eastAsia="zh-CN"/>
              </w:rPr>
            </w:pPr>
            <w:r>
              <w:rPr>
                <w:rFonts w:hint="eastAsia"/>
                <w:color w:val="auto"/>
                <w:lang w:eastAsia="zh-CN"/>
              </w:rPr>
              <w:t>满足</w:t>
            </w:r>
            <w:r>
              <w:rPr>
                <w:rFonts w:hint="eastAsia"/>
                <w:color w:val="auto"/>
                <w:lang w:val="en-US" w:eastAsia="zh-CN"/>
              </w:rPr>
              <w:t>5</w:t>
            </w:r>
            <w:r>
              <w:rPr>
                <w:rFonts w:hint="eastAsia"/>
                <w:color w:val="auto"/>
                <w:lang w:eastAsia="zh-CN"/>
              </w:rPr>
              <w:t>点得</w:t>
            </w:r>
            <w:r>
              <w:rPr>
                <w:rFonts w:hint="eastAsia"/>
                <w:color w:val="auto"/>
                <w:lang w:val="en-US" w:eastAsia="zh-CN"/>
              </w:rPr>
              <w:t>5</w:t>
            </w:r>
            <w:r>
              <w:rPr>
                <w:rFonts w:hint="eastAsia"/>
                <w:color w:val="auto"/>
                <w:lang w:eastAsia="zh-CN"/>
              </w:rPr>
              <w:t>0分，满足</w:t>
            </w:r>
            <w:r>
              <w:rPr>
                <w:rFonts w:hint="eastAsia"/>
                <w:color w:val="auto"/>
                <w:lang w:val="en-US" w:eastAsia="zh-CN"/>
              </w:rPr>
              <w:t>任意4</w:t>
            </w:r>
            <w:r>
              <w:rPr>
                <w:rFonts w:hint="eastAsia"/>
                <w:color w:val="auto"/>
                <w:lang w:eastAsia="zh-CN"/>
              </w:rPr>
              <w:t>点得</w:t>
            </w:r>
            <w:r>
              <w:rPr>
                <w:rFonts w:hint="eastAsia"/>
                <w:color w:val="auto"/>
                <w:lang w:val="en-US" w:eastAsia="zh-CN"/>
              </w:rPr>
              <w:t>4</w:t>
            </w:r>
            <w:r>
              <w:rPr>
                <w:rFonts w:hint="eastAsia"/>
                <w:color w:val="auto"/>
                <w:lang w:eastAsia="zh-CN"/>
              </w:rPr>
              <w:t>0分，满足任意3点得</w:t>
            </w:r>
            <w:r>
              <w:rPr>
                <w:rFonts w:hint="eastAsia"/>
                <w:color w:val="auto"/>
                <w:lang w:val="en-US" w:eastAsia="zh-CN"/>
              </w:rPr>
              <w:t>30</w:t>
            </w:r>
            <w:r>
              <w:rPr>
                <w:rFonts w:hint="eastAsia"/>
                <w:color w:val="auto"/>
                <w:lang w:eastAsia="zh-CN"/>
              </w:rPr>
              <w:t>分，满足任意2点得20分，其他情况不得分。</w:t>
            </w:r>
          </w:p>
          <w:p w14:paraId="4B3E21B0">
            <w:pPr>
              <w:jc w:val="left"/>
              <w:rPr>
                <w:rFonts w:hint="eastAsia"/>
                <w:color w:val="auto"/>
                <w:lang w:eastAsia="zh-CN"/>
              </w:rPr>
            </w:pPr>
            <w:r>
              <w:rPr>
                <w:rFonts w:hint="eastAsia"/>
                <w:color w:val="auto"/>
                <w:lang w:eastAsia="zh-CN"/>
              </w:rPr>
              <w:t>在此基础上，评审委员会根据方案进一步评审：</w:t>
            </w:r>
          </w:p>
          <w:p w14:paraId="3AD63ECE">
            <w:pPr>
              <w:jc w:val="left"/>
              <w:rPr>
                <w:rFonts w:hint="eastAsia"/>
                <w:color w:val="auto"/>
                <w:lang w:eastAsia="zh-CN"/>
              </w:rPr>
            </w:pPr>
            <w:r>
              <w:rPr>
                <w:rFonts w:hint="eastAsia"/>
                <w:color w:val="auto"/>
                <w:lang w:eastAsia="zh-CN"/>
              </w:rPr>
              <w:t>（1）内容完整、合理性强，评价为优加</w:t>
            </w:r>
            <w:r>
              <w:rPr>
                <w:rFonts w:hint="eastAsia"/>
                <w:color w:val="auto"/>
                <w:lang w:val="en-US" w:eastAsia="zh-CN"/>
              </w:rPr>
              <w:t>5</w:t>
            </w:r>
            <w:r>
              <w:rPr>
                <w:rFonts w:hint="eastAsia"/>
                <w:color w:val="auto"/>
                <w:lang w:eastAsia="zh-CN"/>
              </w:rPr>
              <w:t>0分；</w:t>
            </w:r>
          </w:p>
          <w:p w14:paraId="6F44305A">
            <w:pPr>
              <w:jc w:val="left"/>
              <w:rPr>
                <w:rFonts w:hint="eastAsia"/>
                <w:color w:val="auto"/>
                <w:lang w:eastAsia="zh-CN"/>
              </w:rPr>
            </w:pPr>
            <w:r>
              <w:rPr>
                <w:rFonts w:hint="eastAsia"/>
                <w:color w:val="auto"/>
                <w:lang w:eastAsia="zh-CN"/>
              </w:rPr>
              <w:t>（2）内容完整、合理性较强，评价为良加</w:t>
            </w:r>
            <w:r>
              <w:rPr>
                <w:rFonts w:hint="eastAsia"/>
                <w:color w:val="auto"/>
                <w:lang w:val="en-US" w:eastAsia="zh-CN"/>
              </w:rPr>
              <w:t>3</w:t>
            </w:r>
            <w:r>
              <w:rPr>
                <w:rFonts w:hint="eastAsia"/>
                <w:color w:val="auto"/>
                <w:lang w:eastAsia="zh-CN"/>
              </w:rPr>
              <w:t>0分；</w:t>
            </w:r>
          </w:p>
          <w:p w14:paraId="686BFD60">
            <w:pPr>
              <w:jc w:val="left"/>
              <w:rPr>
                <w:rFonts w:hint="eastAsia"/>
                <w:color w:val="auto"/>
                <w:lang w:eastAsia="zh-CN"/>
              </w:rPr>
            </w:pPr>
            <w:r>
              <w:rPr>
                <w:rFonts w:hint="eastAsia"/>
                <w:color w:val="auto"/>
                <w:lang w:eastAsia="zh-CN"/>
              </w:rPr>
              <w:t>（3）内容完整、合理性不足，评价为中加10分；</w:t>
            </w:r>
          </w:p>
          <w:p w14:paraId="628BAC93">
            <w:pPr>
              <w:jc w:val="left"/>
              <w:rPr>
                <w:rFonts w:hint="eastAsia"/>
                <w:color w:val="auto"/>
                <w:lang w:eastAsia="zh-CN"/>
              </w:rPr>
            </w:pPr>
            <w:r>
              <w:rPr>
                <w:rFonts w:hint="eastAsia"/>
                <w:color w:val="auto"/>
                <w:lang w:eastAsia="zh-CN"/>
              </w:rPr>
              <w:t>（4）内容简单，评价为差加0分。</w:t>
            </w:r>
          </w:p>
          <w:p w14:paraId="4CBCAFC6">
            <w:pPr>
              <w:jc w:val="left"/>
              <w:rPr>
                <w:szCs w:val="21"/>
              </w:rPr>
            </w:pPr>
            <w:r>
              <w:rPr>
                <w:rFonts w:hint="eastAsia"/>
                <w:color w:val="auto"/>
                <w:lang w:eastAsia="zh-CN"/>
              </w:rPr>
              <w:t>以上2项得分累计，最高得100分，</w:t>
            </w:r>
            <w:r>
              <w:rPr>
                <w:rFonts w:hint="eastAsia"/>
                <w:color w:val="auto"/>
                <w:lang w:val="en-US" w:eastAsia="zh-CN"/>
              </w:rPr>
              <w:t>如果</w:t>
            </w:r>
            <w:r>
              <w:rPr>
                <w:rFonts w:hint="eastAsia"/>
                <w:color w:val="auto"/>
                <w:lang w:eastAsia="zh-CN"/>
              </w:rPr>
              <w:t>评审为差，专家须书面说明理由并记录在档。</w:t>
            </w:r>
          </w:p>
        </w:tc>
      </w:tr>
      <w:tr w14:paraId="0E7D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continue"/>
            <w:vAlign w:val="center"/>
          </w:tcPr>
          <w:p w14:paraId="572DDA60">
            <w:pPr>
              <w:keepNext/>
              <w:keepLines/>
              <w:spacing w:before="340" w:after="330" w:line="240" w:lineRule="exact"/>
              <w:jc w:val="center"/>
              <w:outlineLvl w:val="0"/>
              <w:rPr>
                <w:szCs w:val="21"/>
              </w:rPr>
            </w:pPr>
          </w:p>
        </w:tc>
        <w:tc>
          <w:tcPr>
            <w:tcW w:w="505" w:type="dxa"/>
            <w:vAlign w:val="center"/>
          </w:tcPr>
          <w:p w14:paraId="02066019">
            <w:pPr>
              <w:spacing w:line="240" w:lineRule="exact"/>
              <w:jc w:val="center"/>
              <w:rPr>
                <w:szCs w:val="21"/>
              </w:rPr>
            </w:pPr>
            <w:r>
              <w:rPr>
                <w:rFonts w:hint="eastAsia"/>
                <w:szCs w:val="21"/>
              </w:rPr>
              <w:t>5</w:t>
            </w:r>
          </w:p>
        </w:tc>
        <w:tc>
          <w:tcPr>
            <w:tcW w:w="1762" w:type="dxa"/>
            <w:vAlign w:val="center"/>
          </w:tcPr>
          <w:p w14:paraId="34D0CAFF">
            <w:pPr>
              <w:jc w:val="center"/>
              <w:rPr>
                <w:kern w:val="0"/>
                <w:szCs w:val="21"/>
              </w:rPr>
            </w:pPr>
            <w:r>
              <w:rPr>
                <w:color w:val="auto"/>
              </w:rPr>
              <w:t>样品</w:t>
            </w:r>
            <w:r>
              <w:rPr>
                <w:rFonts w:hint="eastAsia"/>
                <w:color w:val="auto"/>
                <w:lang w:val="en-US" w:eastAsia="zh-CN"/>
              </w:rPr>
              <w:t>情况</w:t>
            </w:r>
          </w:p>
        </w:tc>
        <w:tc>
          <w:tcPr>
            <w:tcW w:w="851" w:type="dxa"/>
            <w:gridSpan w:val="2"/>
            <w:vAlign w:val="center"/>
          </w:tcPr>
          <w:p w14:paraId="0EEBA808">
            <w:pPr>
              <w:jc w:val="center"/>
              <w:rPr>
                <w:rFonts w:hint="default" w:eastAsia="宋体"/>
                <w:szCs w:val="21"/>
                <w:lang w:val="en-US" w:eastAsia="zh-CN"/>
              </w:rPr>
            </w:pPr>
            <w:r>
              <w:rPr>
                <w:rFonts w:hint="eastAsia"/>
                <w:color w:val="auto"/>
                <w:lang w:val="en-US" w:eastAsia="zh-CN"/>
              </w:rPr>
              <w:t>12</w:t>
            </w:r>
          </w:p>
        </w:tc>
        <w:tc>
          <w:tcPr>
            <w:tcW w:w="4558" w:type="dxa"/>
            <w:gridSpan w:val="2"/>
            <w:vAlign w:val="center"/>
          </w:tcPr>
          <w:p w14:paraId="2FFB3BC8">
            <w:pPr>
              <w:jc w:val="left"/>
              <w:rPr>
                <w:color w:val="auto"/>
              </w:rPr>
            </w:pPr>
            <w:r>
              <w:rPr>
                <w:color w:val="auto"/>
              </w:rPr>
              <w:t>（一）评分内容：</w:t>
            </w:r>
          </w:p>
          <w:p w14:paraId="60C41D02">
            <w:pPr>
              <w:jc w:val="left"/>
              <w:rPr>
                <w:color w:val="auto"/>
              </w:rPr>
            </w:pPr>
            <w:r>
              <w:rPr>
                <w:color w:val="auto"/>
              </w:rPr>
              <w:t>评审委员会根据投标人提供的样品进行打分，详见“</w:t>
            </w:r>
            <w:r>
              <w:rPr>
                <w:rFonts w:hint="eastAsia"/>
                <w:color w:val="auto"/>
              </w:rPr>
              <w:t>七</w:t>
            </w:r>
            <w:r>
              <w:rPr>
                <w:color w:val="auto"/>
              </w:rPr>
              <w:t>、样品要求”。</w:t>
            </w:r>
          </w:p>
          <w:p w14:paraId="67EE4928">
            <w:pPr>
              <w:jc w:val="left"/>
              <w:rPr>
                <w:color w:val="auto"/>
              </w:rPr>
            </w:pPr>
            <w:r>
              <w:rPr>
                <w:color w:val="auto"/>
              </w:rPr>
              <w:t>（二）评分依据：</w:t>
            </w:r>
          </w:p>
          <w:p w14:paraId="78E9406A">
            <w:pPr>
              <w:jc w:val="left"/>
              <w:rPr>
                <w:rFonts w:hint="eastAsia"/>
                <w:color w:val="auto"/>
              </w:rPr>
            </w:pPr>
            <w:r>
              <w:rPr>
                <w:rFonts w:hint="eastAsia"/>
                <w:color w:val="auto"/>
                <w:lang w:val="en-US" w:eastAsia="zh-CN"/>
              </w:rPr>
              <w:t>1.</w:t>
            </w:r>
            <w:r>
              <w:rPr>
                <w:rFonts w:hint="eastAsia"/>
                <w:color w:val="auto"/>
              </w:rPr>
              <w:t>提供一个符合要求的样品得10分，最高30分，未提供样品或不符合样品要求的样品不得分。若未按要求提供全部样品，不进行下一步评分。</w:t>
            </w:r>
          </w:p>
          <w:p w14:paraId="30F983B3">
            <w:pPr>
              <w:jc w:val="left"/>
              <w:rPr>
                <w:color w:val="auto"/>
              </w:rPr>
            </w:pPr>
            <w:r>
              <w:rPr>
                <w:rFonts w:hint="eastAsia"/>
                <w:color w:val="auto"/>
              </w:rPr>
              <w:t>2.</w:t>
            </w:r>
            <w:r>
              <w:rPr>
                <w:color w:val="auto"/>
              </w:rPr>
              <w:t>在</w:t>
            </w:r>
            <w:r>
              <w:rPr>
                <w:rFonts w:hint="eastAsia"/>
                <w:color w:val="auto"/>
              </w:rPr>
              <w:t>第1点</w:t>
            </w:r>
            <w:r>
              <w:rPr>
                <w:color w:val="auto"/>
              </w:rPr>
              <w:t>基础上，专家</w:t>
            </w:r>
            <w:r>
              <w:rPr>
                <w:rFonts w:hint="eastAsia"/>
                <w:color w:val="auto"/>
                <w:lang w:val="en-US" w:eastAsia="zh-CN"/>
              </w:rPr>
              <w:t>对</w:t>
            </w:r>
            <w:r>
              <w:rPr>
                <w:color w:val="auto"/>
              </w:rPr>
              <w:t>各投标人提供的样品具体响应内容（材质、工艺、性能等）进一步评审：</w:t>
            </w:r>
          </w:p>
          <w:p w14:paraId="5D284031">
            <w:pPr>
              <w:jc w:val="left"/>
              <w:rPr>
                <w:color w:val="auto"/>
              </w:rPr>
            </w:pPr>
            <w:r>
              <w:rPr>
                <w:color w:val="auto"/>
              </w:rPr>
              <w:t xml:space="preserve">（1）优：样品材质和工艺质量好，且制作工艺和设计合理精美的，加 </w:t>
            </w:r>
            <w:r>
              <w:rPr>
                <w:rFonts w:hint="eastAsia" w:eastAsia="宋体"/>
                <w:color w:val="auto"/>
                <w:lang w:val="en-US" w:eastAsia="zh-CN"/>
              </w:rPr>
              <w:t>7</w:t>
            </w:r>
            <w:r>
              <w:rPr>
                <w:color w:val="auto"/>
              </w:rPr>
              <w:t>0 分；</w:t>
            </w:r>
          </w:p>
          <w:p w14:paraId="37F6264C">
            <w:pPr>
              <w:jc w:val="left"/>
              <w:rPr>
                <w:color w:val="auto"/>
              </w:rPr>
            </w:pPr>
            <w:r>
              <w:rPr>
                <w:color w:val="auto"/>
              </w:rPr>
              <w:t>（2）良：样品材质和工艺质量较好，且制作工艺和设计较合理精美的，加</w:t>
            </w:r>
            <w:r>
              <w:rPr>
                <w:rFonts w:hint="eastAsia" w:eastAsia="宋体"/>
                <w:color w:val="auto"/>
                <w:lang w:val="en-US" w:eastAsia="zh-CN"/>
              </w:rPr>
              <w:t>5</w:t>
            </w:r>
            <w:r>
              <w:rPr>
                <w:color w:val="auto"/>
              </w:rPr>
              <w:t>0分；</w:t>
            </w:r>
          </w:p>
          <w:p w14:paraId="75143AA0">
            <w:pPr>
              <w:jc w:val="left"/>
              <w:rPr>
                <w:color w:val="auto"/>
              </w:rPr>
            </w:pPr>
            <w:r>
              <w:rPr>
                <w:color w:val="auto"/>
              </w:rPr>
              <w:t xml:space="preserve">（3）中：样品材质和工艺质量一般，且制作工艺和设计基本合理精美的，加 </w:t>
            </w:r>
            <w:r>
              <w:rPr>
                <w:rFonts w:hint="eastAsia" w:eastAsia="宋体"/>
                <w:color w:val="auto"/>
                <w:lang w:val="en-US" w:eastAsia="zh-CN"/>
              </w:rPr>
              <w:t>2</w:t>
            </w:r>
            <w:r>
              <w:rPr>
                <w:color w:val="auto"/>
              </w:rPr>
              <w:t>0 分；</w:t>
            </w:r>
          </w:p>
          <w:p w14:paraId="5556FE63">
            <w:pPr>
              <w:jc w:val="left"/>
              <w:rPr>
                <w:szCs w:val="21"/>
              </w:rPr>
            </w:pPr>
            <w:r>
              <w:rPr>
                <w:color w:val="auto"/>
              </w:rPr>
              <w:t>（4）差：样品材质和工艺质量差，且制作工艺和设计不合理精美的不加分。若评审为差，需书面说明理由并记录在档。</w:t>
            </w:r>
          </w:p>
        </w:tc>
      </w:tr>
      <w:tr w14:paraId="5E15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continue"/>
            <w:vAlign w:val="center"/>
          </w:tcPr>
          <w:p w14:paraId="5C4E3EBC">
            <w:pPr>
              <w:keepNext/>
              <w:keepLines/>
              <w:spacing w:before="340" w:after="330" w:line="240" w:lineRule="exact"/>
              <w:jc w:val="center"/>
              <w:outlineLvl w:val="0"/>
              <w:rPr>
                <w:szCs w:val="21"/>
              </w:rPr>
            </w:pPr>
          </w:p>
        </w:tc>
        <w:tc>
          <w:tcPr>
            <w:tcW w:w="505" w:type="dxa"/>
            <w:vAlign w:val="center"/>
          </w:tcPr>
          <w:p w14:paraId="44442056">
            <w:pPr>
              <w:spacing w:line="240" w:lineRule="exact"/>
              <w:jc w:val="center"/>
              <w:rPr>
                <w:rFonts w:hint="eastAsia" w:eastAsia="宋体"/>
                <w:szCs w:val="21"/>
                <w:lang w:val="en-US" w:eastAsia="zh-CN"/>
              </w:rPr>
            </w:pPr>
            <w:r>
              <w:rPr>
                <w:rFonts w:hint="eastAsia"/>
                <w:szCs w:val="21"/>
                <w:lang w:val="en-US" w:eastAsia="zh-CN"/>
              </w:rPr>
              <w:t>6</w:t>
            </w:r>
          </w:p>
        </w:tc>
        <w:tc>
          <w:tcPr>
            <w:tcW w:w="1762" w:type="dxa"/>
            <w:vAlign w:val="center"/>
          </w:tcPr>
          <w:p w14:paraId="6ECDA91A">
            <w:pPr>
              <w:jc w:val="center"/>
              <w:rPr>
                <w:rFonts w:hint="eastAsia" w:ascii="Calibri" w:hAnsi="Calibri"/>
                <w:szCs w:val="21"/>
                <w:lang w:bidi="ar"/>
              </w:rPr>
            </w:pPr>
            <w:r>
              <w:rPr>
                <w:rFonts w:hint="eastAsia"/>
                <w:color w:val="000000" w:themeColor="text1"/>
                <w14:textFill>
                  <w14:solidFill>
                    <w14:schemeClr w14:val="tx1"/>
                  </w14:solidFill>
                </w14:textFill>
              </w:rPr>
              <w:t>节能环保情况</w:t>
            </w:r>
          </w:p>
        </w:tc>
        <w:tc>
          <w:tcPr>
            <w:tcW w:w="851" w:type="dxa"/>
            <w:gridSpan w:val="2"/>
            <w:vAlign w:val="center"/>
          </w:tcPr>
          <w:p w14:paraId="7969C3D2">
            <w:pPr>
              <w:jc w:val="center"/>
              <w:rPr>
                <w:rFonts w:hint="eastAsia" w:ascii="Calibri" w:hAnsi="Calibri"/>
                <w:szCs w:val="21"/>
                <w:lang w:bidi="ar"/>
              </w:rPr>
            </w:pPr>
            <w:r>
              <w:rPr>
                <w:rFonts w:hint="eastAsia"/>
                <w:color w:val="auto"/>
                <w:lang w:val="en-US" w:eastAsia="zh-CN"/>
              </w:rPr>
              <w:t>2</w:t>
            </w:r>
          </w:p>
        </w:tc>
        <w:tc>
          <w:tcPr>
            <w:tcW w:w="4558" w:type="dxa"/>
            <w:gridSpan w:val="2"/>
          </w:tcPr>
          <w:p w14:paraId="20391BBA">
            <w:pPr>
              <w:pStyle w:val="11"/>
              <w:rPr>
                <w:rFonts w:hint="eastAsia" w:ascii="宋体" w:hAnsi="宋体" w:eastAsia="宋体" w:cs="宋体"/>
                <w:b/>
                <w:bCs/>
                <w:sz w:val="21"/>
                <w:szCs w:val="21"/>
                <w:lang w:val="en-US"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一</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评分内容：</w:t>
            </w:r>
          </w:p>
          <w:p w14:paraId="50E846EB">
            <w:pPr>
              <w:pStyle w:val="11"/>
              <w:rPr>
                <w:rFonts w:hint="eastAsia" w:ascii="宋体" w:hAnsi="宋体" w:eastAsia="宋体" w:cs="宋体"/>
                <w:sz w:val="21"/>
                <w:szCs w:val="21"/>
                <w:lang w:val="en-US" w:eastAsia="zh-CN"/>
              </w:rPr>
            </w:pPr>
            <w:r>
              <w:rPr>
                <w:rFonts w:hint="eastAsia" w:ascii="宋体" w:hAnsi="宋体" w:eastAsia="宋体" w:cs="宋体"/>
                <w:sz w:val="21"/>
                <w:szCs w:val="21"/>
              </w:rPr>
              <w:t>根据《关于印发环境标志产品政府采购品目清单的通知》（财库〔2019〕18号）的要求，投标人所投任一产品属于《环境标志产品政府采购品目清单》范围（以第三章 用户需求书 二、货物</w:t>
            </w:r>
            <w:r>
              <w:rPr>
                <w:rFonts w:hint="eastAsia" w:ascii="宋体" w:hAnsi="宋体" w:eastAsia="宋体" w:cs="宋体"/>
                <w:sz w:val="21"/>
                <w:szCs w:val="21"/>
                <w:lang w:val="en-US" w:eastAsia="zh-CN"/>
              </w:rPr>
              <w:t>清单</w:t>
            </w:r>
            <w:r>
              <w:rPr>
                <w:rFonts w:hint="eastAsia" w:ascii="宋体" w:hAnsi="宋体" w:eastAsia="宋体" w:cs="宋体"/>
                <w:sz w:val="21"/>
                <w:szCs w:val="21"/>
              </w:rPr>
              <w:t>明细中标记</w:t>
            </w:r>
            <w:r>
              <w:rPr>
                <w:rFonts w:hint="eastAsia" w:ascii="宋体" w:hAnsi="宋体" w:eastAsia="宋体" w:cs="宋体"/>
                <w:b/>
                <w:bCs/>
                <w:color w:val="FF0000"/>
                <w:sz w:val="21"/>
                <w:szCs w:val="21"/>
              </w:rPr>
              <w:t>“优先采购”</w:t>
            </w:r>
            <w:r>
              <w:rPr>
                <w:rFonts w:hint="eastAsia" w:ascii="宋体" w:hAnsi="宋体" w:eastAsia="宋体" w:cs="宋体"/>
                <w:sz w:val="21"/>
                <w:szCs w:val="21"/>
              </w:rPr>
              <w:t>的产品为准），且该产品获得依据国家确定的认证机构出具的、处于有效期之内的环境标志产品认证证书的，得100分。</w:t>
            </w:r>
          </w:p>
          <w:p w14:paraId="239AE4C7">
            <w:pPr>
              <w:pStyle w:val="11"/>
              <w:rPr>
                <w:rFonts w:hint="eastAsia" w:ascii="宋体" w:hAnsi="宋体" w:eastAsia="宋体" w:cs="宋体"/>
                <w:b/>
                <w:bCs/>
                <w:sz w:val="21"/>
                <w:szCs w:val="21"/>
                <w:lang w:val="en-US"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二</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评分依据：</w:t>
            </w:r>
          </w:p>
          <w:p w14:paraId="4576EC23">
            <w:pPr>
              <w:rPr>
                <w:rFonts w:hint="eastAsia" w:ascii="Calibri" w:hAnsi="Calibri"/>
                <w:szCs w:val="21"/>
                <w:lang w:bidi="ar"/>
              </w:rPr>
            </w:pPr>
            <w:r>
              <w:rPr>
                <w:rFonts w:hint="eastAsia" w:ascii="宋体" w:hAnsi="宋体" w:eastAsia="宋体" w:cs="宋体"/>
                <w:sz w:val="21"/>
                <w:szCs w:val="21"/>
              </w:rPr>
              <w:t>需提供依据《市场监管总局关于发布参与实施政府采购节能产品、环境标志产品认证机构名录的公告》（2019年第16号）确定的认证机构出具的、处于有效期之内的环境标志产品认证证书扫描件。未提供或不符合的不得分。</w:t>
            </w:r>
          </w:p>
        </w:tc>
      </w:tr>
      <w:tr w14:paraId="2741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05D96D96">
            <w:pPr>
              <w:spacing w:line="240" w:lineRule="exact"/>
              <w:jc w:val="center"/>
              <w:rPr>
                <w:szCs w:val="21"/>
              </w:rPr>
            </w:pPr>
            <w:r>
              <w:rPr>
                <w:szCs w:val="21"/>
              </w:rPr>
              <w:t>3</w:t>
            </w:r>
          </w:p>
        </w:tc>
        <w:tc>
          <w:tcPr>
            <w:tcW w:w="3118" w:type="dxa"/>
            <w:gridSpan w:val="4"/>
            <w:vAlign w:val="center"/>
          </w:tcPr>
          <w:p w14:paraId="24EBC5F7">
            <w:pPr>
              <w:spacing w:line="240" w:lineRule="exact"/>
              <w:jc w:val="center"/>
              <w:rPr>
                <w:szCs w:val="21"/>
              </w:rPr>
            </w:pPr>
            <w:r>
              <w:rPr>
                <w:szCs w:val="21"/>
              </w:rPr>
              <w:t>商务需求</w:t>
            </w:r>
          </w:p>
        </w:tc>
        <w:tc>
          <w:tcPr>
            <w:tcW w:w="4558" w:type="dxa"/>
            <w:gridSpan w:val="2"/>
            <w:vAlign w:val="center"/>
          </w:tcPr>
          <w:p w14:paraId="3A388872">
            <w:pPr>
              <w:jc w:val="center"/>
              <w:rPr>
                <w:rFonts w:hint="eastAsia" w:eastAsia="宋体"/>
                <w:szCs w:val="21"/>
                <w:lang w:eastAsia="zh-CN"/>
              </w:rPr>
            </w:pPr>
            <w:r>
              <w:rPr>
                <w:rFonts w:hint="eastAsia"/>
                <w:szCs w:val="21"/>
                <w:lang w:val="en-US" w:eastAsia="zh-CN"/>
              </w:rPr>
              <w:t>3</w:t>
            </w:r>
          </w:p>
        </w:tc>
      </w:tr>
      <w:tr w14:paraId="48D0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restart"/>
            <w:vAlign w:val="center"/>
          </w:tcPr>
          <w:p w14:paraId="1F3F1FE6">
            <w:pPr>
              <w:keepNext/>
              <w:keepLines/>
              <w:spacing w:before="340" w:after="330" w:line="240" w:lineRule="exact"/>
              <w:jc w:val="center"/>
              <w:outlineLvl w:val="0"/>
              <w:rPr>
                <w:szCs w:val="21"/>
              </w:rPr>
            </w:pPr>
          </w:p>
        </w:tc>
        <w:tc>
          <w:tcPr>
            <w:tcW w:w="505" w:type="dxa"/>
            <w:vAlign w:val="center"/>
          </w:tcPr>
          <w:p w14:paraId="3A50A3E2">
            <w:pPr>
              <w:spacing w:line="240" w:lineRule="exact"/>
              <w:jc w:val="center"/>
              <w:rPr>
                <w:szCs w:val="21"/>
              </w:rPr>
            </w:pPr>
            <w:r>
              <w:rPr>
                <w:szCs w:val="21"/>
              </w:rPr>
              <w:t>序号</w:t>
            </w:r>
          </w:p>
        </w:tc>
        <w:tc>
          <w:tcPr>
            <w:tcW w:w="1762" w:type="dxa"/>
            <w:vAlign w:val="center"/>
          </w:tcPr>
          <w:p w14:paraId="030317DC">
            <w:pPr>
              <w:spacing w:line="240" w:lineRule="exact"/>
              <w:jc w:val="center"/>
              <w:rPr>
                <w:szCs w:val="21"/>
              </w:rPr>
            </w:pPr>
            <w:r>
              <w:rPr>
                <w:szCs w:val="21"/>
              </w:rPr>
              <w:t>评分因素</w:t>
            </w:r>
          </w:p>
        </w:tc>
        <w:tc>
          <w:tcPr>
            <w:tcW w:w="851" w:type="dxa"/>
            <w:gridSpan w:val="2"/>
            <w:vAlign w:val="center"/>
          </w:tcPr>
          <w:p w14:paraId="33BB2B91">
            <w:pPr>
              <w:spacing w:line="240" w:lineRule="exact"/>
              <w:jc w:val="center"/>
              <w:rPr>
                <w:szCs w:val="21"/>
              </w:rPr>
            </w:pPr>
            <w:r>
              <w:rPr>
                <w:szCs w:val="21"/>
              </w:rPr>
              <w:t>权重（%）</w:t>
            </w:r>
          </w:p>
        </w:tc>
        <w:tc>
          <w:tcPr>
            <w:tcW w:w="4558" w:type="dxa"/>
            <w:gridSpan w:val="2"/>
            <w:vAlign w:val="center"/>
          </w:tcPr>
          <w:p w14:paraId="118AB2B1">
            <w:pPr>
              <w:jc w:val="center"/>
              <w:rPr>
                <w:szCs w:val="21"/>
              </w:rPr>
            </w:pPr>
            <w:r>
              <w:rPr>
                <w:szCs w:val="21"/>
              </w:rPr>
              <w:t>评分准则</w:t>
            </w:r>
          </w:p>
        </w:tc>
      </w:tr>
      <w:tr w14:paraId="67C1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continue"/>
            <w:vAlign w:val="center"/>
          </w:tcPr>
          <w:p w14:paraId="0C677FDB">
            <w:pPr>
              <w:keepNext/>
              <w:keepLines/>
              <w:spacing w:before="340" w:after="330" w:line="240" w:lineRule="exact"/>
              <w:jc w:val="center"/>
              <w:outlineLvl w:val="0"/>
              <w:rPr>
                <w:szCs w:val="21"/>
              </w:rPr>
            </w:pPr>
          </w:p>
        </w:tc>
        <w:tc>
          <w:tcPr>
            <w:tcW w:w="505" w:type="dxa"/>
            <w:vAlign w:val="center"/>
          </w:tcPr>
          <w:p w14:paraId="615A30E8">
            <w:pPr>
              <w:spacing w:line="240" w:lineRule="exact"/>
              <w:jc w:val="center"/>
              <w:rPr>
                <w:szCs w:val="21"/>
              </w:rPr>
            </w:pPr>
            <w:r>
              <w:rPr>
                <w:szCs w:val="21"/>
              </w:rPr>
              <w:t>1</w:t>
            </w:r>
          </w:p>
        </w:tc>
        <w:tc>
          <w:tcPr>
            <w:tcW w:w="1762" w:type="dxa"/>
            <w:vAlign w:val="center"/>
          </w:tcPr>
          <w:p w14:paraId="6A80BE07">
            <w:pPr>
              <w:jc w:val="center"/>
              <w:rPr>
                <w:szCs w:val="21"/>
              </w:rPr>
            </w:pPr>
            <w:r>
              <w:rPr>
                <w:color w:val="auto"/>
              </w:rPr>
              <w:t>免费保修期内售后服务条款偏离情况</w:t>
            </w:r>
          </w:p>
        </w:tc>
        <w:tc>
          <w:tcPr>
            <w:tcW w:w="851" w:type="dxa"/>
            <w:gridSpan w:val="2"/>
            <w:vAlign w:val="center"/>
          </w:tcPr>
          <w:p w14:paraId="0C1687F1">
            <w:pPr>
              <w:jc w:val="center"/>
              <w:rPr>
                <w:szCs w:val="21"/>
              </w:rPr>
            </w:pPr>
            <w:r>
              <w:rPr>
                <w:color w:val="auto"/>
              </w:rPr>
              <w:t>1</w:t>
            </w:r>
          </w:p>
        </w:tc>
        <w:tc>
          <w:tcPr>
            <w:tcW w:w="4558" w:type="dxa"/>
            <w:gridSpan w:val="2"/>
            <w:vAlign w:val="center"/>
          </w:tcPr>
          <w:p w14:paraId="7105E8A8">
            <w:pPr>
              <w:jc w:val="left"/>
              <w:rPr>
                <w:szCs w:val="21"/>
              </w:rPr>
            </w:pPr>
            <w:r>
              <w:rPr>
                <w:color w:val="auto"/>
              </w:rPr>
              <w:t>（一）评分内容：投标人应如实填写《商务要求偏离表（免费保修期内售后服务要求）》，评审委员会根据响应情况进行打分，全部满足要求的得100分，所有标注“▲”的重要参数每项负偏离扣</w:t>
            </w:r>
            <w:r>
              <w:rPr>
                <w:rFonts w:hint="eastAsia"/>
                <w:color w:val="auto"/>
                <w:lang w:val="en-US" w:eastAsia="zh-CN"/>
              </w:rPr>
              <w:t>30</w:t>
            </w:r>
            <w:r>
              <w:rPr>
                <w:color w:val="auto"/>
              </w:rPr>
              <w:t>分，一般参数每负偏离一条扣</w:t>
            </w:r>
            <w:r>
              <w:rPr>
                <w:rFonts w:hint="eastAsia"/>
                <w:color w:val="auto"/>
              </w:rPr>
              <w:t>10</w:t>
            </w:r>
            <w:r>
              <w:rPr>
                <w:color w:val="auto"/>
              </w:rPr>
              <w:t>分，扣完为止。</w:t>
            </w:r>
          </w:p>
        </w:tc>
      </w:tr>
      <w:tr w14:paraId="7412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continue"/>
            <w:vAlign w:val="center"/>
          </w:tcPr>
          <w:p w14:paraId="19243A45">
            <w:pPr>
              <w:keepNext/>
              <w:keepLines/>
              <w:spacing w:before="260" w:after="260" w:line="240" w:lineRule="exact"/>
              <w:jc w:val="center"/>
              <w:outlineLvl w:val="2"/>
              <w:rPr>
                <w:szCs w:val="21"/>
              </w:rPr>
            </w:pPr>
          </w:p>
        </w:tc>
        <w:tc>
          <w:tcPr>
            <w:tcW w:w="505" w:type="dxa"/>
            <w:vAlign w:val="center"/>
          </w:tcPr>
          <w:p w14:paraId="66B6B5B7">
            <w:pPr>
              <w:spacing w:line="240" w:lineRule="exact"/>
              <w:jc w:val="center"/>
              <w:rPr>
                <w:szCs w:val="21"/>
              </w:rPr>
            </w:pPr>
            <w:r>
              <w:rPr>
                <w:rFonts w:hint="eastAsia"/>
                <w:szCs w:val="21"/>
              </w:rPr>
              <w:t>2</w:t>
            </w:r>
          </w:p>
        </w:tc>
        <w:tc>
          <w:tcPr>
            <w:tcW w:w="1762" w:type="dxa"/>
            <w:vAlign w:val="center"/>
          </w:tcPr>
          <w:p w14:paraId="640C3B8C">
            <w:pPr>
              <w:jc w:val="center"/>
              <w:rPr>
                <w:color w:val="auto"/>
              </w:rPr>
            </w:pPr>
            <w:r>
              <w:rPr>
                <w:color w:val="auto"/>
              </w:rPr>
              <w:t>免费保修期外售后服务条款偏离情况</w:t>
            </w:r>
          </w:p>
          <w:p w14:paraId="420AD0C1">
            <w:pPr>
              <w:jc w:val="center"/>
              <w:rPr>
                <w:szCs w:val="21"/>
              </w:rPr>
            </w:pPr>
          </w:p>
        </w:tc>
        <w:tc>
          <w:tcPr>
            <w:tcW w:w="851" w:type="dxa"/>
            <w:gridSpan w:val="2"/>
            <w:vAlign w:val="center"/>
          </w:tcPr>
          <w:p w14:paraId="40F31B65">
            <w:pPr>
              <w:jc w:val="center"/>
              <w:rPr>
                <w:szCs w:val="21"/>
              </w:rPr>
            </w:pPr>
            <w:r>
              <w:rPr>
                <w:color w:val="auto"/>
              </w:rPr>
              <w:t>1</w:t>
            </w:r>
          </w:p>
        </w:tc>
        <w:tc>
          <w:tcPr>
            <w:tcW w:w="4558" w:type="dxa"/>
            <w:gridSpan w:val="2"/>
            <w:vAlign w:val="center"/>
          </w:tcPr>
          <w:p w14:paraId="4FB707F9">
            <w:pPr>
              <w:jc w:val="left"/>
              <w:rPr>
                <w:szCs w:val="21"/>
              </w:rPr>
            </w:pPr>
            <w:r>
              <w:rPr>
                <w:color w:val="auto"/>
              </w:rPr>
              <w:t>（一）评分内容：投标人应如实填写《商务要求偏离表（免费保修期外售后服务要求）》，评审委员会根据响应情况进行打分，全部满足要求的得100分，每负偏离一项扣</w:t>
            </w:r>
            <w:r>
              <w:rPr>
                <w:rFonts w:hint="eastAsia"/>
                <w:color w:val="auto"/>
              </w:rPr>
              <w:t>25</w:t>
            </w:r>
            <w:r>
              <w:rPr>
                <w:color w:val="auto"/>
              </w:rPr>
              <w:t>分，扣完为止。</w:t>
            </w:r>
          </w:p>
        </w:tc>
      </w:tr>
      <w:tr w14:paraId="558D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continue"/>
            <w:vAlign w:val="center"/>
          </w:tcPr>
          <w:p w14:paraId="72BB2757">
            <w:pPr>
              <w:keepNext/>
              <w:keepLines/>
              <w:spacing w:before="260" w:after="260" w:line="240" w:lineRule="exact"/>
              <w:jc w:val="center"/>
              <w:outlineLvl w:val="2"/>
              <w:rPr>
                <w:szCs w:val="21"/>
              </w:rPr>
            </w:pPr>
          </w:p>
        </w:tc>
        <w:tc>
          <w:tcPr>
            <w:tcW w:w="505" w:type="dxa"/>
            <w:vAlign w:val="center"/>
          </w:tcPr>
          <w:p w14:paraId="22FF7FA2">
            <w:pPr>
              <w:spacing w:line="240" w:lineRule="exact"/>
              <w:jc w:val="center"/>
              <w:rPr>
                <w:szCs w:val="21"/>
              </w:rPr>
            </w:pPr>
            <w:r>
              <w:rPr>
                <w:rFonts w:hint="eastAsia"/>
                <w:szCs w:val="21"/>
              </w:rPr>
              <w:t>3</w:t>
            </w:r>
          </w:p>
        </w:tc>
        <w:tc>
          <w:tcPr>
            <w:tcW w:w="1762" w:type="dxa"/>
            <w:vAlign w:val="center"/>
          </w:tcPr>
          <w:p w14:paraId="3377A670">
            <w:pPr>
              <w:jc w:val="center"/>
              <w:rPr>
                <w:szCs w:val="21"/>
              </w:rPr>
            </w:pPr>
            <w:r>
              <w:rPr>
                <w:color w:val="auto"/>
              </w:rPr>
              <w:t>其他商务条款偏离情况</w:t>
            </w:r>
          </w:p>
        </w:tc>
        <w:tc>
          <w:tcPr>
            <w:tcW w:w="851" w:type="dxa"/>
            <w:gridSpan w:val="2"/>
            <w:vAlign w:val="center"/>
          </w:tcPr>
          <w:p w14:paraId="7E5A341C">
            <w:pPr>
              <w:jc w:val="center"/>
              <w:rPr>
                <w:szCs w:val="21"/>
              </w:rPr>
            </w:pPr>
            <w:r>
              <w:rPr>
                <w:color w:val="auto"/>
              </w:rPr>
              <w:t>1</w:t>
            </w:r>
          </w:p>
        </w:tc>
        <w:tc>
          <w:tcPr>
            <w:tcW w:w="4558" w:type="dxa"/>
            <w:gridSpan w:val="2"/>
            <w:vAlign w:val="center"/>
          </w:tcPr>
          <w:p w14:paraId="6A7184A9">
            <w:pPr>
              <w:jc w:val="left"/>
              <w:rPr>
                <w:szCs w:val="21"/>
              </w:rPr>
            </w:pPr>
            <w:r>
              <w:rPr>
                <w:color w:val="auto"/>
              </w:rPr>
              <w:t>（一）评分内容：投标人应如实填写《商务要求偏离表（其他商务要求）》，评审委员会根据响应情况进行打分，全部满足要求的得100分，每负偏离一项扣</w:t>
            </w:r>
            <w:r>
              <w:rPr>
                <w:rFonts w:hint="eastAsia"/>
                <w:color w:val="auto"/>
                <w:lang w:val="en-US" w:eastAsia="zh-CN"/>
              </w:rPr>
              <w:t>5.3</w:t>
            </w:r>
            <w:r>
              <w:rPr>
                <w:color w:val="auto"/>
              </w:rPr>
              <w:t>分，扣完为止。</w:t>
            </w:r>
          </w:p>
        </w:tc>
      </w:tr>
      <w:tr w14:paraId="40BC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Align w:val="center"/>
          </w:tcPr>
          <w:p w14:paraId="421A739E">
            <w:pPr>
              <w:spacing w:line="240" w:lineRule="exact"/>
              <w:jc w:val="center"/>
              <w:rPr>
                <w:rFonts w:hint="eastAsia" w:ascii="宋体" w:hAnsi="宋体" w:cs="宋体"/>
                <w:szCs w:val="21"/>
              </w:rPr>
            </w:pPr>
            <w:r>
              <w:rPr>
                <w:rFonts w:hint="eastAsia" w:ascii="宋体" w:hAnsi="宋体" w:cs="宋体"/>
                <w:szCs w:val="21"/>
              </w:rPr>
              <w:t>4</w:t>
            </w:r>
          </w:p>
        </w:tc>
        <w:tc>
          <w:tcPr>
            <w:tcW w:w="3118" w:type="dxa"/>
            <w:gridSpan w:val="4"/>
            <w:vAlign w:val="center"/>
          </w:tcPr>
          <w:p w14:paraId="0938B07F">
            <w:pPr>
              <w:spacing w:line="240" w:lineRule="exact"/>
              <w:jc w:val="center"/>
              <w:rPr>
                <w:rFonts w:hint="eastAsia" w:ascii="宋体" w:hAnsi="宋体" w:cs="宋体"/>
                <w:szCs w:val="21"/>
              </w:rPr>
            </w:pPr>
            <w:r>
              <w:rPr>
                <w:rFonts w:hint="eastAsia" w:ascii="宋体" w:hAnsi="宋体" w:cs="宋体"/>
                <w:szCs w:val="21"/>
              </w:rPr>
              <w:t>综合实力部分</w:t>
            </w:r>
          </w:p>
        </w:tc>
        <w:tc>
          <w:tcPr>
            <w:tcW w:w="4552" w:type="dxa"/>
            <w:vAlign w:val="center"/>
          </w:tcPr>
          <w:p w14:paraId="7301D0DF">
            <w:pPr>
              <w:jc w:val="center"/>
              <w:rPr>
                <w:rFonts w:hint="default" w:ascii="宋体" w:hAnsi="宋体" w:eastAsia="宋体" w:cs="宋体"/>
                <w:szCs w:val="21"/>
                <w:lang w:val="en-US" w:eastAsia="zh-CN"/>
              </w:rPr>
            </w:pPr>
            <w:r>
              <w:rPr>
                <w:rFonts w:hint="eastAsia" w:ascii="宋体" w:hAnsi="宋体" w:cs="宋体"/>
                <w:b/>
                <w:bCs/>
                <w:color w:val="FF0000"/>
                <w:szCs w:val="21"/>
                <w:lang w:val="en-US" w:eastAsia="zh-CN"/>
              </w:rPr>
              <w:t>6</w:t>
            </w:r>
          </w:p>
        </w:tc>
      </w:tr>
      <w:tr w14:paraId="55D7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Merge w:val="restart"/>
            <w:vAlign w:val="center"/>
          </w:tcPr>
          <w:p w14:paraId="588C2A37">
            <w:pPr>
              <w:spacing w:line="240" w:lineRule="exact"/>
              <w:jc w:val="center"/>
              <w:rPr>
                <w:szCs w:val="21"/>
              </w:rPr>
            </w:pPr>
          </w:p>
        </w:tc>
        <w:tc>
          <w:tcPr>
            <w:tcW w:w="505" w:type="dxa"/>
            <w:vAlign w:val="center"/>
          </w:tcPr>
          <w:p w14:paraId="708F0C20">
            <w:pPr>
              <w:spacing w:line="240" w:lineRule="exact"/>
              <w:jc w:val="center"/>
              <w:rPr>
                <w:rFonts w:hint="eastAsia" w:ascii="宋体" w:hAnsi="宋体" w:cs="宋体"/>
                <w:szCs w:val="21"/>
              </w:rPr>
            </w:pPr>
            <w:r>
              <w:rPr>
                <w:rFonts w:hint="eastAsia" w:ascii="宋体" w:hAnsi="宋体" w:cs="宋体"/>
                <w:szCs w:val="21"/>
              </w:rPr>
              <w:t>序号</w:t>
            </w:r>
          </w:p>
        </w:tc>
        <w:tc>
          <w:tcPr>
            <w:tcW w:w="1832" w:type="dxa"/>
            <w:gridSpan w:val="2"/>
            <w:vAlign w:val="center"/>
          </w:tcPr>
          <w:p w14:paraId="079AF006">
            <w:pPr>
              <w:spacing w:line="240" w:lineRule="exact"/>
              <w:jc w:val="center"/>
              <w:rPr>
                <w:rFonts w:hint="eastAsia" w:ascii="宋体" w:hAnsi="宋体" w:cs="宋体"/>
                <w:szCs w:val="21"/>
              </w:rPr>
            </w:pPr>
            <w:r>
              <w:rPr>
                <w:rFonts w:hint="eastAsia" w:ascii="宋体" w:hAnsi="宋体" w:cs="宋体"/>
                <w:szCs w:val="21"/>
              </w:rPr>
              <w:t>评分因素</w:t>
            </w:r>
          </w:p>
        </w:tc>
        <w:tc>
          <w:tcPr>
            <w:tcW w:w="781" w:type="dxa"/>
            <w:vAlign w:val="center"/>
          </w:tcPr>
          <w:p w14:paraId="4A8FF7D8">
            <w:pPr>
              <w:spacing w:line="240" w:lineRule="exact"/>
              <w:jc w:val="center"/>
              <w:rPr>
                <w:rFonts w:hint="eastAsia" w:ascii="宋体" w:hAnsi="宋体" w:cs="宋体"/>
                <w:szCs w:val="21"/>
              </w:rPr>
            </w:pPr>
            <w:r>
              <w:rPr>
                <w:szCs w:val="21"/>
              </w:rPr>
              <w:t>权重（%）</w:t>
            </w:r>
          </w:p>
        </w:tc>
        <w:tc>
          <w:tcPr>
            <w:tcW w:w="4552" w:type="dxa"/>
            <w:vAlign w:val="center"/>
          </w:tcPr>
          <w:p w14:paraId="551C6D58">
            <w:pPr>
              <w:snapToGrid w:val="0"/>
              <w:jc w:val="center"/>
              <w:rPr>
                <w:kern w:val="0"/>
                <w:szCs w:val="21"/>
                <w:highlight w:val="yellow"/>
              </w:rPr>
            </w:pPr>
          </w:p>
        </w:tc>
      </w:tr>
      <w:tr w14:paraId="58A0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Merge w:val="continue"/>
            <w:vAlign w:val="center"/>
          </w:tcPr>
          <w:p w14:paraId="603A5F5B">
            <w:pPr>
              <w:spacing w:line="240" w:lineRule="exact"/>
              <w:jc w:val="center"/>
              <w:rPr>
                <w:szCs w:val="21"/>
              </w:rPr>
            </w:pPr>
          </w:p>
        </w:tc>
        <w:tc>
          <w:tcPr>
            <w:tcW w:w="505" w:type="dxa"/>
            <w:vAlign w:val="center"/>
          </w:tcPr>
          <w:p w14:paraId="052F2E4E">
            <w:pPr>
              <w:spacing w:line="240" w:lineRule="exact"/>
              <w:jc w:val="center"/>
              <w:rPr>
                <w:rFonts w:hint="eastAsia" w:ascii="宋体" w:hAnsi="宋体" w:cs="宋体"/>
                <w:szCs w:val="21"/>
              </w:rPr>
            </w:pPr>
            <w:r>
              <w:rPr>
                <w:rFonts w:hint="eastAsia" w:ascii="宋体" w:hAnsi="宋体" w:cs="宋体"/>
                <w:szCs w:val="21"/>
              </w:rPr>
              <w:t>1</w:t>
            </w:r>
          </w:p>
        </w:tc>
        <w:tc>
          <w:tcPr>
            <w:tcW w:w="1832" w:type="dxa"/>
            <w:gridSpan w:val="2"/>
            <w:vAlign w:val="center"/>
          </w:tcPr>
          <w:p w14:paraId="4110CE6C">
            <w:pPr>
              <w:jc w:val="center"/>
              <w:rPr>
                <w:rFonts w:hint="eastAsia" w:ascii="宋体" w:hAnsi="宋体" w:cs="宋体"/>
                <w:szCs w:val="21"/>
              </w:rPr>
            </w:pPr>
            <w:r>
              <w:rPr>
                <w:rFonts w:hint="eastAsia" w:ascii="宋体" w:hAnsi="宋体" w:cs="宋体"/>
                <w:color w:val="auto"/>
                <w:sz w:val="22"/>
                <w:szCs w:val="22"/>
              </w:rPr>
              <w:t>供应商认证证书</w:t>
            </w:r>
          </w:p>
        </w:tc>
        <w:tc>
          <w:tcPr>
            <w:tcW w:w="781" w:type="dxa"/>
            <w:vAlign w:val="center"/>
          </w:tcPr>
          <w:p w14:paraId="5810377A">
            <w:pPr>
              <w:jc w:val="center"/>
              <w:rPr>
                <w:rFonts w:hint="eastAsia" w:ascii="宋体" w:hAnsi="宋体" w:cs="宋体"/>
                <w:szCs w:val="21"/>
              </w:rPr>
            </w:pPr>
            <w:r>
              <w:rPr>
                <w:rFonts w:hint="eastAsia" w:ascii="宋体" w:hAnsi="宋体" w:cs="宋体"/>
                <w:color w:val="auto"/>
                <w:sz w:val="22"/>
                <w:szCs w:val="22"/>
                <w:lang w:val="en-US" w:eastAsia="zh-CN"/>
              </w:rPr>
              <w:t>3</w:t>
            </w:r>
          </w:p>
        </w:tc>
        <w:tc>
          <w:tcPr>
            <w:tcW w:w="4552" w:type="dxa"/>
            <w:vAlign w:val="top"/>
          </w:tcPr>
          <w:p w14:paraId="3FEA370F">
            <w:pPr>
              <w:rPr>
                <w:rFonts w:hint="eastAsia"/>
                <w:b w:val="0"/>
                <w:bCs w:val="0"/>
                <w:color w:val="auto"/>
                <w:szCs w:val="21"/>
              </w:rPr>
            </w:pPr>
            <w:r>
              <w:rPr>
                <w:rFonts w:hint="eastAsia"/>
                <w:b w:val="0"/>
                <w:bCs w:val="0"/>
                <w:color w:val="auto"/>
                <w:szCs w:val="21"/>
              </w:rPr>
              <w:t>（一）评分内容：</w:t>
            </w:r>
          </w:p>
          <w:p w14:paraId="09D094BC">
            <w:pPr>
              <w:rPr>
                <w:rFonts w:hint="eastAsia"/>
                <w:b w:val="0"/>
                <w:bCs w:val="0"/>
                <w:color w:val="auto"/>
                <w:szCs w:val="21"/>
              </w:rPr>
            </w:pPr>
            <w:r>
              <w:rPr>
                <w:color w:val="auto"/>
              </w:rPr>
              <w:t>投标人或所投</w:t>
            </w:r>
            <w:r>
              <w:rPr>
                <w:rFonts w:hint="eastAsia"/>
                <w:color w:val="auto"/>
                <w:lang w:val="en-US" w:eastAsia="zh-CN"/>
              </w:rPr>
              <w:t>任意</w:t>
            </w:r>
            <w:r>
              <w:rPr>
                <w:color w:val="auto"/>
              </w:rPr>
              <w:t>产品制造商</w:t>
            </w:r>
            <w:r>
              <w:rPr>
                <w:rFonts w:hint="eastAsia" w:ascii="宋体" w:hAnsi="宋体" w:eastAsia="宋体" w:cs="宋体"/>
                <w:sz w:val="20"/>
                <w:szCs w:val="20"/>
              </w:rPr>
              <w:t>（与“分项报价表”中“制造商名称”一致）</w:t>
            </w:r>
            <w:r>
              <w:rPr>
                <w:rFonts w:hint="eastAsia"/>
                <w:b w:val="0"/>
                <w:bCs w:val="0"/>
                <w:color w:val="auto"/>
                <w:szCs w:val="21"/>
              </w:rPr>
              <w:t>具有以下证书:</w:t>
            </w:r>
          </w:p>
          <w:p w14:paraId="7008092B">
            <w:pPr>
              <w:rPr>
                <w:rFonts w:hint="eastAsia"/>
                <w:b w:val="0"/>
                <w:bCs w:val="0"/>
                <w:color w:val="auto"/>
                <w:szCs w:val="21"/>
              </w:rPr>
            </w:pPr>
            <w:r>
              <w:rPr>
                <w:rFonts w:hint="eastAsia"/>
                <w:b w:val="0"/>
                <w:bCs w:val="0"/>
                <w:color w:val="auto"/>
                <w:szCs w:val="21"/>
              </w:rPr>
              <w:t>1.《质量管理体系认证证书》，认证范围同时包含：</w:t>
            </w:r>
            <w:r>
              <w:rPr>
                <w:rFonts w:hint="eastAsia"/>
                <w:b w:val="0"/>
                <w:bCs w:val="0"/>
                <w:color w:val="auto"/>
                <w:szCs w:val="21"/>
                <w:lang w:val="en-US" w:eastAsia="zh-CN"/>
              </w:rPr>
              <w:t>软体家具、金属家具、人造板类家具、实木类家具、公寓家具、综合类木家具</w:t>
            </w:r>
            <w:r>
              <w:rPr>
                <w:rFonts w:hint="eastAsia"/>
                <w:b w:val="0"/>
                <w:bCs w:val="0"/>
                <w:color w:val="auto"/>
                <w:szCs w:val="21"/>
              </w:rPr>
              <w:t>；</w:t>
            </w:r>
          </w:p>
          <w:p w14:paraId="4F815523">
            <w:pPr>
              <w:rPr>
                <w:rFonts w:hint="eastAsia"/>
                <w:b w:val="0"/>
                <w:bCs w:val="0"/>
                <w:color w:val="auto"/>
                <w:szCs w:val="21"/>
              </w:rPr>
            </w:pPr>
            <w:r>
              <w:rPr>
                <w:rFonts w:hint="eastAsia"/>
                <w:b w:val="0"/>
                <w:bCs w:val="0"/>
                <w:color w:val="auto"/>
                <w:szCs w:val="21"/>
              </w:rPr>
              <w:t>2.《</w:t>
            </w:r>
            <w:r>
              <w:rPr>
                <w:rFonts w:hint="eastAsia" w:eastAsia="宋体"/>
                <w:b w:val="0"/>
                <w:bCs w:val="0"/>
                <w:color w:val="auto"/>
                <w:szCs w:val="21"/>
                <w:lang w:val="en-US" w:eastAsia="zh-CN"/>
              </w:rPr>
              <w:t>人类工效学产品认证证书</w:t>
            </w:r>
            <w:r>
              <w:rPr>
                <w:rFonts w:hint="eastAsia"/>
                <w:b w:val="0"/>
                <w:bCs w:val="0"/>
                <w:color w:val="auto"/>
                <w:szCs w:val="21"/>
              </w:rPr>
              <w:t>》，认证</w:t>
            </w:r>
            <w:r>
              <w:rPr>
                <w:rFonts w:hint="eastAsia"/>
                <w:b w:val="0"/>
                <w:bCs w:val="0"/>
                <w:color w:val="auto"/>
                <w:szCs w:val="21"/>
                <w:lang w:val="en-US" w:eastAsia="zh-CN"/>
              </w:rPr>
              <w:t>单元</w:t>
            </w:r>
            <w:r>
              <w:rPr>
                <w:rFonts w:hint="eastAsia"/>
                <w:b w:val="0"/>
                <w:bCs w:val="0"/>
                <w:color w:val="auto"/>
                <w:szCs w:val="21"/>
              </w:rPr>
              <w:t>同时包含：</w:t>
            </w:r>
            <w:r>
              <w:rPr>
                <w:rFonts w:hint="eastAsia"/>
                <w:b w:val="0"/>
                <w:bCs w:val="0"/>
                <w:color w:val="auto"/>
                <w:szCs w:val="21"/>
                <w:lang w:val="en-US" w:eastAsia="zh-CN"/>
              </w:rPr>
              <w:t>桌台类、椅凳类、柜架类</w:t>
            </w:r>
            <w:r>
              <w:rPr>
                <w:rFonts w:hint="eastAsia"/>
                <w:b w:val="0"/>
                <w:bCs w:val="0"/>
                <w:color w:val="auto"/>
                <w:szCs w:val="21"/>
              </w:rPr>
              <w:t>；</w:t>
            </w:r>
          </w:p>
          <w:p w14:paraId="4583ABF5">
            <w:pPr>
              <w:rPr>
                <w:rFonts w:hint="eastAsia"/>
                <w:b w:val="0"/>
                <w:bCs w:val="0"/>
                <w:color w:val="auto"/>
                <w:szCs w:val="21"/>
              </w:rPr>
            </w:pPr>
            <w:r>
              <w:rPr>
                <w:rFonts w:hint="eastAsia"/>
                <w:b w:val="0"/>
                <w:bCs w:val="0"/>
                <w:color w:val="auto"/>
                <w:szCs w:val="21"/>
              </w:rPr>
              <w:t>具有上述任意</w:t>
            </w:r>
            <w:r>
              <w:rPr>
                <w:rFonts w:hint="eastAsia"/>
                <w:b w:val="0"/>
                <w:bCs w:val="0"/>
                <w:color w:val="auto"/>
                <w:szCs w:val="21"/>
                <w:lang w:val="en-US" w:eastAsia="zh-CN"/>
              </w:rPr>
              <w:t>1</w:t>
            </w:r>
            <w:r>
              <w:rPr>
                <w:rFonts w:hint="eastAsia"/>
                <w:b w:val="0"/>
                <w:bCs w:val="0"/>
                <w:color w:val="auto"/>
                <w:szCs w:val="21"/>
              </w:rPr>
              <w:t>项的得</w:t>
            </w:r>
            <w:ins w:id="0" w:author="lxq" w:date="2026-07-08T14:45:32Z">
              <w:r>
                <w:rPr>
                  <w:rFonts w:hint="eastAsia"/>
                  <w:b w:val="0"/>
                  <w:bCs w:val="0"/>
                  <w:color w:val="auto"/>
                  <w:szCs w:val="21"/>
                  <w:lang w:val="en-US" w:eastAsia="zh-CN"/>
                </w:rPr>
                <w:t>50</w:t>
              </w:r>
            </w:ins>
            <w:r>
              <w:rPr>
                <w:rFonts w:hint="eastAsia"/>
                <w:b w:val="0"/>
                <w:bCs w:val="0"/>
                <w:color w:val="auto"/>
                <w:szCs w:val="21"/>
              </w:rPr>
              <w:t>分，具有上述全部设备的得100分，其他情况不得分。</w:t>
            </w:r>
          </w:p>
          <w:p w14:paraId="0D77AA43">
            <w:pPr>
              <w:rPr>
                <w:rFonts w:hint="eastAsia"/>
                <w:b w:val="0"/>
                <w:bCs w:val="0"/>
                <w:color w:val="auto"/>
                <w:szCs w:val="21"/>
              </w:rPr>
            </w:pPr>
            <w:r>
              <w:rPr>
                <w:rFonts w:hint="eastAsia"/>
                <w:b w:val="0"/>
                <w:bCs w:val="0"/>
                <w:color w:val="auto"/>
                <w:szCs w:val="21"/>
              </w:rPr>
              <w:t>（二）评分依据：</w:t>
            </w:r>
          </w:p>
          <w:p w14:paraId="11DBC6C9">
            <w:pPr>
              <w:jc w:val="left"/>
              <w:rPr>
                <w:rFonts w:hint="eastAsia"/>
                <w:color w:val="auto"/>
              </w:rPr>
            </w:pPr>
            <w:r>
              <w:rPr>
                <w:rFonts w:hint="eastAsia"/>
                <w:color w:val="auto"/>
              </w:rPr>
              <w:t>1.要求提供所有有效的认证证书扫描件，及出具证书官网或全国认证认可信息公共服务平台（http://cx.cnca.cn/）的证书查询记录。认证证书在公开渠道无法查询的，需提供颁发机构的证明材料，证明证书真实有效。评分中出现无证明资料或专家无法凭所提供资料判断是否得分的情况，一律作不得分处理。</w:t>
            </w:r>
          </w:p>
          <w:p w14:paraId="45359972">
            <w:pPr>
              <w:jc w:val="left"/>
              <w:rPr>
                <w:rFonts w:hint="eastAsia"/>
                <w:color w:val="auto"/>
              </w:rPr>
            </w:pPr>
            <w:r>
              <w:rPr>
                <w:rFonts w:hint="eastAsia"/>
                <w:color w:val="auto"/>
              </w:rPr>
              <w:t>2.如果认证产品名称或认证单元或产品类别出现名称与上述要求不一致但属于同类产品的，需同时提供书面说明，以证明是同种产品，由专家判断是否得分，未提供不得分。</w:t>
            </w:r>
          </w:p>
          <w:p w14:paraId="0C6A6C3E">
            <w:pPr>
              <w:jc w:val="left"/>
              <w:rPr>
                <w:rFonts w:hint="default" w:eastAsia="宋体"/>
                <w:lang w:val="en-US" w:eastAsia="zh-CN"/>
              </w:rPr>
            </w:pPr>
            <w:r>
              <w:rPr>
                <w:rFonts w:hint="eastAsia"/>
                <w:color w:val="auto"/>
                <w:lang w:val="en-US" w:eastAsia="zh-CN"/>
              </w:rPr>
              <w:t>3</w:t>
            </w:r>
            <w:r>
              <w:rPr>
                <w:rFonts w:hint="eastAsia"/>
                <w:color w:val="auto"/>
              </w:rPr>
              <w:t>.评分中出现无证明资料或专家无法凭所提供资料判断是否得分的情况，一律作不得分处理。</w:t>
            </w:r>
          </w:p>
        </w:tc>
      </w:tr>
      <w:tr w14:paraId="3CDF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Merge w:val="continue"/>
            <w:vAlign w:val="center"/>
          </w:tcPr>
          <w:p w14:paraId="3E3091DE">
            <w:pPr>
              <w:spacing w:line="240" w:lineRule="exact"/>
              <w:jc w:val="center"/>
              <w:rPr>
                <w:szCs w:val="21"/>
              </w:rPr>
            </w:pPr>
          </w:p>
        </w:tc>
        <w:tc>
          <w:tcPr>
            <w:tcW w:w="505" w:type="dxa"/>
            <w:vAlign w:val="center"/>
          </w:tcPr>
          <w:p w14:paraId="73FDE35D">
            <w:pPr>
              <w:widowControl/>
              <w:wordWrap w:val="0"/>
              <w:jc w:val="center"/>
              <w:rPr>
                <w:rFonts w:hint="eastAsia" w:ascii="宋体" w:hAnsi="宋体" w:cs="宋体"/>
                <w:szCs w:val="21"/>
              </w:rPr>
            </w:pPr>
            <w:r>
              <w:rPr>
                <w:rFonts w:hint="eastAsia" w:ascii="宋体" w:hAnsi="宋体" w:cs="宋体"/>
                <w:szCs w:val="21"/>
              </w:rPr>
              <w:t>2</w:t>
            </w:r>
          </w:p>
        </w:tc>
        <w:tc>
          <w:tcPr>
            <w:tcW w:w="1832" w:type="dxa"/>
            <w:gridSpan w:val="2"/>
            <w:vAlign w:val="center"/>
          </w:tcPr>
          <w:p w14:paraId="3C7F317C">
            <w:pPr>
              <w:jc w:val="center"/>
              <w:rPr>
                <w:rFonts w:hint="eastAsia"/>
                <w:szCs w:val="21"/>
                <w:lang w:val="en-US" w:bidi="ar-SA"/>
              </w:rPr>
            </w:pPr>
            <w:r>
              <w:rPr>
                <w:rFonts w:hint="eastAsia" w:ascii="宋体" w:hAnsi="宋体" w:cs="宋体"/>
                <w:color w:val="auto"/>
                <w:sz w:val="22"/>
                <w:szCs w:val="22"/>
              </w:rPr>
              <w:t>同类业绩</w:t>
            </w:r>
          </w:p>
        </w:tc>
        <w:tc>
          <w:tcPr>
            <w:tcW w:w="781" w:type="dxa"/>
            <w:vAlign w:val="center"/>
          </w:tcPr>
          <w:p w14:paraId="7E28A081">
            <w:pPr>
              <w:jc w:val="center"/>
              <w:rPr>
                <w:rFonts w:hint="eastAsia"/>
                <w:szCs w:val="21"/>
              </w:rPr>
            </w:pPr>
            <w:r>
              <w:rPr>
                <w:rFonts w:hint="eastAsia" w:ascii="宋体" w:hAnsi="宋体" w:cs="宋体"/>
                <w:color w:val="auto"/>
                <w:sz w:val="22"/>
                <w:szCs w:val="22"/>
                <w:lang w:val="en-US" w:eastAsia="zh-CN"/>
              </w:rPr>
              <w:t>3</w:t>
            </w:r>
          </w:p>
        </w:tc>
        <w:tc>
          <w:tcPr>
            <w:tcW w:w="4552" w:type="dxa"/>
            <w:vAlign w:val="top"/>
          </w:tcPr>
          <w:p w14:paraId="6FD8E7EB">
            <w:pPr>
              <w:jc w:val="left"/>
              <w:rPr>
                <w:rFonts w:hint="eastAsia"/>
                <w:color w:val="auto"/>
              </w:rPr>
            </w:pPr>
            <w:r>
              <w:rPr>
                <w:rFonts w:hint="eastAsia"/>
                <w:color w:val="auto"/>
              </w:rPr>
              <w:t>（一）评分内容：</w:t>
            </w:r>
          </w:p>
          <w:p w14:paraId="5600C1C1">
            <w:pPr>
              <w:jc w:val="left"/>
              <w:rPr>
                <w:rFonts w:hint="eastAsia"/>
                <w:color w:val="auto"/>
              </w:rPr>
            </w:pPr>
            <w:r>
              <w:rPr>
                <w:rFonts w:hint="eastAsia"/>
                <w:color w:val="auto"/>
              </w:rPr>
              <w:t>投标</w:t>
            </w:r>
            <w:r>
              <w:rPr>
                <w:rFonts w:hint="eastAsia"/>
                <w:color w:val="auto"/>
                <w:lang w:val="en-US" w:eastAsia="zh-CN"/>
              </w:rPr>
              <w:t>人</w:t>
            </w:r>
            <w:r>
              <w:rPr>
                <w:rFonts w:hint="eastAsia"/>
                <w:color w:val="auto"/>
              </w:rPr>
              <w:t>或</w:t>
            </w:r>
            <w:r>
              <w:rPr>
                <w:rFonts w:hint="eastAsia"/>
                <w:color w:val="auto"/>
                <w:lang w:val="en-US" w:eastAsia="zh-CN"/>
              </w:rPr>
              <w:t>所投任意</w:t>
            </w:r>
            <w:r>
              <w:rPr>
                <w:rFonts w:hint="eastAsia"/>
                <w:color w:val="auto"/>
              </w:rPr>
              <w:t>产品制造商</w:t>
            </w:r>
            <w:r>
              <w:rPr>
                <w:rFonts w:hint="eastAsia" w:ascii="宋体" w:hAnsi="宋体" w:eastAsia="宋体" w:cs="宋体"/>
                <w:sz w:val="20"/>
                <w:szCs w:val="20"/>
              </w:rPr>
              <w:t>（与“分项报价表”中“制造商名称”一致）</w:t>
            </w:r>
            <w:r>
              <w:rPr>
                <w:rFonts w:hint="eastAsia"/>
                <w:color w:val="auto"/>
              </w:rPr>
              <w:t>202</w:t>
            </w:r>
            <w:r>
              <w:rPr>
                <w:rFonts w:hint="eastAsia" w:eastAsia="宋体"/>
                <w:color w:val="auto"/>
                <w:lang w:val="en-US" w:eastAsia="zh-CN"/>
              </w:rPr>
              <w:t>4</w:t>
            </w:r>
            <w:r>
              <w:rPr>
                <w:rFonts w:hint="eastAsia"/>
                <w:color w:val="auto"/>
              </w:rPr>
              <w:t>年1月1日至本项目投标截止日（以合同签订日期为准），承担过</w:t>
            </w:r>
            <w:r>
              <w:rPr>
                <w:rFonts w:hint="eastAsia" w:eastAsia="宋体"/>
                <w:color w:val="auto"/>
                <w:lang w:val="en-US" w:eastAsia="zh-CN"/>
              </w:rPr>
              <w:t>宿舍或公寓家具</w:t>
            </w:r>
            <w:r>
              <w:rPr>
                <w:rFonts w:hint="eastAsia"/>
                <w:color w:val="auto"/>
              </w:rPr>
              <w:t>采购项目，每提供一个业绩得</w:t>
            </w:r>
            <w:r>
              <w:rPr>
                <w:rFonts w:hint="eastAsia"/>
                <w:color w:val="auto"/>
                <w:lang w:val="en-US" w:eastAsia="zh-CN"/>
              </w:rPr>
              <w:t>17</w:t>
            </w:r>
            <w:r>
              <w:rPr>
                <w:rFonts w:hint="eastAsia"/>
                <w:color w:val="auto"/>
              </w:rPr>
              <w:t>分，累计最高得100分。</w:t>
            </w:r>
          </w:p>
          <w:p w14:paraId="49A2A7FA">
            <w:pPr>
              <w:jc w:val="left"/>
              <w:rPr>
                <w:rFonts w:hint="eastAsia"/>
                <w:color w:val="auto"/>
              </w:rPr>
            </w:pPr>
            <w:r>
              <w:rPr>
                <w:rFonts w:hint="eastAsia"/>
                <w:color w:val="auto"/>
              </w:rPr>
              <w:t>（二）评分依据：</w:t>
            </w:r>
          </w:p>
          <w:p w14:paraId="7A43FD73">
            <w:pPr>
              <w:jc w:val="left"/>
              <w:rPr>
                <w:rFonts w:hint="eastAsia"/>
                <w:color w:val="auto"/>
              </w:rPr>
            </w:pPr>
            <w:r>
              <w:rPr>
                <w:rFonts w:hint="eastAsia"/>
                <w:color w:val="auto"/>
              </w:rPr>
              <w:t>要求提供①合同关键信息（合同关键信息需包含合同首页、体现项目采购内容页、含签订合同双方的落款盖章页、签订日期的关键页）、②</w:t>
            </w:r>
            <w:r>
              <w:rPr>
                <w:rFonts w:hint="eastAsia"/>
                <w:color w:val="auto"/>
                <w:lang w:val="en-US" w:eastAsia="zh-CN"/>
              </w:rPr>
              <w:t>发票复印件</w:t>
            </w:r>
            <w:r>
              <w:rPr>
                <w:rFonts w:hint="eastAsia"/>
                <w:color w:val="auto"/>
              </w:rPr>
              <w:t>（</w:t>
            </w:r>
            <w:r>
              <w:rPr>
                <w:rFonts w:hint="eastAsia"/>
                <w:color w:val="auto"/>
                <w:lang w:val="en-US" w:eastAsia="zh-CN"/>
              </w:rPr>
              <w:t>与合同相对应金额的增值税发票复印件</w:t>
            </w:r>
            <w:r>
              <w:rPr>
                <w:rFonts w:hint="eastAsia"/>
                <w:color w:val="auto"/>
              </w:rPr>
              <w:t>，并附在国家税务总局全国增值税发票查验平台</w:t>
            </w:r>
            <w:r>
              <w:rPr>
                <w:rFonts w:hint="eastAsia"/>
                <w:color w:val="auto"/>
                <w:lang w:val="en-US" w:eastAsia="zh-CN"/>
              </w:rPr>
              <w:t>的</w:t>
            </w:r>
            <w:r>
              <w:rPr>
                <w:rFonts w:hint="eastAsia"/>
                <w:color w:val="auto"/>
              </w:rPr>
              <w:t>查询</w:t>
            </w:r>
            <w:r>
              <w:rPr>
                <w:rFonts w:hint="eastAsia"/>
                <w:color w:val="auto"/>
                <w:lang w:val="en-US" w:eastAsia="zh-CN"/>
              </w:rPr>
              <w:t>结果</w:t>
            </w:r>
            <w:r>
              <w:rPr>
                <w:rFonts w:hint="eastAsia"/>
                <w:color w:val="auto"/>
              </w:rPr>
              <w:t>截图）作为得分依据。</w:t>
            </w:r>
          </w:p>
          <w:p w14:paraId="33C0EF4B">
            <w:pPr>
              <w:jc w:val="left"/>
              <w:rPr>
                <w:kern w:val="0"/>
                <w:szCs w:val="21"/>
                <w:highlight w:val="yellow"/>
              </w:rPr>
            </w:pPr>
            <w:r>
              <w:rPr>
                <w:rFonts w:hint="eastAsia"/>
                <w:color w:val="auto"/>
              </w:rPr>
              <w:t>备注：评分中出现无证明资料或专家无法凭所提供资料判断是否得分的情况，一律作不得分处理。</w:t>
            </w:r>
          </w:p>
        </w:tc>
      </w:tr>
      <w:tr w14:paraId="0869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Align w:val="center"/>
          </w:tcPr>
          <w:p w14:paraId="35A33750">
            <w:pPr>
              <w:spacing w:line="240" w:lineRule="exact"/>
              <w:jc w:val="center"/>
              <w:rPr>
                <w:szCs w:val="21"/>
              </w:rPr>
            </w:pPr>
            <w:r>
              <w:rPr>
                <w:rFonts w:hint="eastAsia"/>
                <w:szCs w:val="21"/>
              </w:rPr>
              <w:t>5</w:t>
            </w:r>
          </w:p>
        </w:tc>
        <w:tc>
          <w:tcPr>
            <w:tcW w:w="3118" w:type="dxa"/>
            <w:gridSpan w:val="4"/>
            <w:vAlign w:val="center"/>
          </w:tcPr>
          <w:p w14:paraId="3E506E18">
            <w:pPr>
              <w:spacing w:line="240" w:lineRule="exact"/>
              <w:jc w:val="center"/>
              <w:rPr>
                <w:szCs w:val="21"/>
              </w:rPr>
            </w:pPr>
            <w:r>
              <w:rPr>
                <w:szCs w:val="21"/>
              </w:rPr>
              <w:t>诚信情况</w:t>
            </w:r>
          </w:p>
        </w:tc>
        <w:tc>
          <w:tcPr>
            <w:tcW w:w="4552" w:type="dxa"/>
            <w:vAlign w:val="center"/>
          </w:tcPr>
          <w:p w14:paraId="4582E6C0">
            <w:pPr>
              <w:snapToGrid w:val="0"/>
              <w:jc w:val="center"/>
              <w:rPr>
                <w:szCs w:val="21"/>
              </w:rPr>
            </w:pPr>
            <w:r>
              <w:rPr>
                <w:kern w:val="0"/>
                <w:szCs w:val="21"/>
                <w:highlight w:val="yellow"/>
              </w:rPr>
              <w:t>5</w:t>
            </w:r>
          </w:p>
        </w:tc>
      </w:tr>
      <w:tr w14:paraId="39DC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Merge w:val="restart"/>
            <w:vAlign w:val="center"/>
          </w:tcPr>
          <w:p w14:paraId="1C7BAE18">
            <w:pPr>
              <w:spacing w:line="240" w:lineRule="exact"/>
              <w:jc w:val="center"/>
              <w:rPr>
                <w:szCs w:val="21"/>
              </w:rPr>
            </w:pPr>
          </w:p>
        </w:tc>
        <w:tc>
          <w:tcPr>
            <w:tcW w:w="505" w:type="dxa"/>
            <w:vAlign w:val="center"/>
          </w:tcPr>
          <w:p w14:paraId="58F04C5F">
            <w:pPr>
              <w:spacing w:line="240" w:lineRule="exact"/>
              <w:jc w:val="center"/>
              <w:rPr>
                <w:szCs w:val="21"/>
              </w:rPr>
            </w:pPr>
            <w:r>
              <w:rPr>
                <w:szCs w:val="21"/>
              </w:rPr>
              <w:t>序号</w:t>
            </w:r>
          </w:p>
        </w:tc>
        <w:tc>
          <w:tcPr>
            <w:tcW w:w="1762" w:type="dxa"/>
            <w:vAlign w:val="center"/>
          </w:tcPr>
          <w:p w14:paraId="3448381F">
            <w:pPr>
              <w:spacing w:line="240" w:lineRule="exact"/>
              <w:jc w:val="center"/>
              <w:rPr>
                <w:szCs w:val="21"/>
              </w:rPr>
            </w:pPr>
            <w:r>
              <w:rPr>
                <w:szCs w:val="21"/>
              </w:rPr>
              <w:t>评分因素</w:t>
            </w:r>
          </w:p>
        </w:tc>
        <w:tc>
          <w:tcPr>
            <w:tcW w:w="851" w:type="dxa"/>
            <w:gridSpan w:val="2"/>
            <w:vAlign w:val="center"/>
          </w:tcPr>
          <w:p w14:paraId="47F81A1E">
            <w:pPr>
              <w:spacing w:line="240" w:lineRule="exact"/>
              <w:jc w:val="center"/>
              <w:rPr>
                <w:szCs w:val="21"/>
              </w:rPr>
            </w:pPr>
            <w:r>
              <w:rPr>
                <w:szCs w:val="21"/>
              </w:rPr>
              <w:t>权重（%）</w:t>
            </w:r>
          </w:p>
        </w:tc>
        <w:tc>
          <w:tcPr>
            <w:tcW w:w="4552" w:type="dxa"/>
            <w:vAlign w:val="center"/>
          </w:tcPr>
          <w:p w14:paraId="0B433903">
            <w:pPr>
              <w:jc w:val="center"/>
              <w:rPr>
                <w:szCs w:val="21"/>
              </w:rPr>
            </w:pPr>
            <w:r>
              <w:rPr>
                <w:szCs w:val="21"/>
              </w:rPr>
              <w:t>评分准则</w:t>
            </w:r>
          </w:p>
        </w:tc>
      </w:tr>
      <w:tr w14:paraId="39E9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Merge w:val="continue"/>
            <w:vAlign w:val="center"/>
          </w:tcPr>
          <w:p w14:paraId="204494EE">
            <w:pPr>
              <w:keepNext/>
              <w:keepLines/>
              <w:spacing w:before="340" w:after="330" w:line="240" w:lineRule="exact"/>
              <w:jc w:val="center"/>
              <w:outlineLvl w:val="0"/>
              <w:rPr>
                <w:szCs w:val="21"/>
              </w:rPr>
            </w:pPr>
          </w:p>
        </w:tc>
        <w:tc>
          <w:tcPr>
            <w:tcW w:w="505" w:type="dxa"/>
            <w:vAlign w:val="center"/>
          </w:tcPr>
          <w:p w14:paraId="42F8A49F">
            <w:pPr>
              <w:spacing w:line="240" w:lineRule="exact"/>
              <w:jc w:val="center"/>
              <w:rPr>
                <w:szCs w:val="21"/>
              </w:rPr>
            </w:pPr>
            <w:r>
              <w:rPr>
                <w:szCs w:val="21"/>
              </w:rPr>
              <w:t>1</w:t>
            </w:r>
          </w:p>
        </w:tc>
        <w:tc>
          <w:tcPr>
            <w:tcW w:w="1762" w:type="dxa"/>
            <w:vAlign w:val="center"/>
          </w:tcPr>
          <w:p w14:paraId="176E0D10">
            <w:pPr>
              <w:spacing w:line="240" w:lineRule="exact"/>
              <w:jc w:val="center"/>
              <w:rPr>
                <w:szCs w:val="21"/>
              </w:rPr>
            </w:pPr>
            <w:r>
              <w:rPr>
                <w:szCs w:val="21"/>
              </w:rPr>
              <w:t>诚信</w:t>
            </w:r>
          </w:p>
        </w:tc>
        <w:tc>
          <w:tcPr>
            <w:tcW w:w="851" w:type="dxa"/>
            <w:gridSpan w:val="2"/>
            <w:vAlign w:val="center"/>
          </w:tcPr>
          <w:p w14:paraId="777EDCE6">
            <w:pPr>
              <w:spacing w:line="240" w:lineRule="exact"/>
              <w:jc w:val="center"/>
              <w:rPr>
                <w:szCs w:val="21"/>
              </w:rPr>
            </w:pPr>
            <w:r>
              <w:rPr>
                <w:rFonts w:hint="eastAsia"/>
                <w:kern w:val="0"/>
                <w:szCs w:val="21"/>
              </w:rPr>
              <w:t>5</w:t>
            </w:r>
          </w:p>
        </w:tc>
        <w:tc>
          <w:tcPr>
            <w:tcW w:w="4552" w:type="dxa"/>
          </w:tcPr>
          <w:p w14:paraId="04F1509A">
            <w:pPr>
              <w:rPr>
                <w:rFonts w:hint="eastAsia" w:ascii="宋体" w:hAnsi="宋体" w:cs="宋体"/>
                <w:b/>
                <w:bCs/>
                <w:szCs w:val="21"/>
              </w:rPr>
            </w:pPr>
            <w:r>
              <w:rPr>
                <w:rFonts w:hint="eastAsia" w:ascii="宋体" w:hAnsi="宋体" w:cs="宋体"/>
                <w:b/>
                <w:bCs/>
                <w:szCs w:val="21"/>
              </w:rPr>
              <w:t>（一）评分内容：</w:t>
            </w:r>
          </w:p>
          <w:p w14:paraId="73761CE6">
            <w:pPr>
              <w:pStyle w:val="12"/>
              <w:wordWrap w:val="0"/>
              <w:spacing w:line="240" w:lineRule="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w:t>
            </w:r>
            <w:r>
              <w:rPr>
                <w:rFonts w:hint="eastAsia"/>
                <w:b w:val="0"/>
                <w:bCs w:val="0"/>
                <w:sz w:val="21"/>
                <w:szCs w:val="21"/>
              </w:rPr>
              <w:t>审委员会</w:t>
            </w:r>
            <w:r>
              <w:rPr>
                <w:rFonts w:hint="eastAsia" w:asciiTheme="minorEastAsia" w:hAnsiTheme="minorEastAsia" w:eastAsiaTheme="minorEastAsia" w:cstheme="minorEastAsia"/>
                <w:b w:val="0"/>
                <w:bCs w:val="0"/>
                <w:sz w:val="21"/>
                <w:szCs w:val="21"/>
              </w:rPr>
              <w:t>提供有关供应商诚信查询结果。</w:t>
            </w:r>
          </w:p>
          <w:p w14:paraId="041A9A49">
            <w:pPr>
              <w:rPr>
                <w:rFonts w:hint="eastAsia" w:ascii="宋体" w:hAnsi="宋体" w:cs="宋体"/>
                <w:b/>
                <w:bCs/>
                <w:szCs w:val="21"/>
              </w:rPr>
            </w:pPr>
            <w:r>
              <w:rPr>
                <w:rFonts w:hint="eastAsia" w:ascii="宋体" w:hAnsi="宋体" w:cs="宋体"/>
                <w:b/>
                <w:bCs/>
                <w:szCs w:val="21"/>
              </w:rPr>
              <w:t>（二）评分依据：</w:t>
            </w:r>
          </w:p>
          <w:p w14:paraId="0FD8FA96">
            <w:pPr>
              <w:adjustRightInd w:val="0"/>
              <w:snapToGrid w:val="0"/>
              <w:spacing w:line="360" w:lineRule="auto"/>
              <w:jc w:val="left"/>
              <w:rPr>
                <w:szCs w:val="21"/>
              </w:rPr>
            </w:pPr>
            <w:r>
              <w:rPr>
                <w:rFonts w:hint="eastAsia" w:asciiTheme="minorEastAsia" w:hAnsiTheme="minorEastAsia" w:eastAsiaTheme="minorEastAsia" w:cstheme="minorEastAsia"/>
                <w:szCs w:val="21"/>
              </w:rPr>
              <w:t>查询渠道：通过“信用中国”（www.creditchina.gov.cn，下载信用信息报告）、“中国政府采购网”（www.ccgp.gov.cn）、“深圳市政府采购监管网”（http://zfcg.sz.gov.cn）以及财政部门认可的“供应商诚信档案库”查询供应商信用信息，信用信息以开标当日的查询结果为准。</w:t>
            </w:r>
          </w:p>
        </w:tc>
      </w:tr>
    </w:tbl>
    <w:p w14:paraId="1F91F012"/>
    <w:p w14:paraId="1D9D6622">
      <w:pPr>
        <w:pStyle w:val="39"/>
      </w:pPr>
    </w:p>
    <w:p w14:paraId="6748F4A7">
      <w:pPr>
        <w:pStyle w:val="39"/>
      </w:pPr>
    </w:p>
    <w:p w14:paraId="4B242BA0">
      <w:pPr>
        <w:jc w:val="center"/>
        <w:rPr>
          <w:b/>
          <w:sz w:val="84"/>
          <w:szCs w:val="84"/>
        </w:rPr>
      </w:pPr>
    </w:p>
    <w:p w14:paraId="7D2A842C">
      <w:pPr>
        <w:jc w:val="center"/>
        <w:rPr>
          <w:b/>
          <w:sz w:val="84"/>
          <w:szCs w:val="84"/>
        </w:rPr>
      </w:pPr>
    </w:p>
    <w:p w14:paraId="7D756BD5">
      <w:pPr>
        <w:jc w:val="center"/>
        <w:rPr>
          <w:b/>
          <w:sz w:val="120"/>
          <w:szCs w:val="120"/>
        </w:rPr>
      </w:pPr>
      <w:r>
        <w:rPr>
          <w:rFonts w:hint="eastAsia"/>
          <w:b/>
          <w:sz w:val="120"/>
          <w:szCs w:val="120"/>
        </w:rPr>
        <w:t>政府采购</w:t>
      </w:r>
    </w:p>
    <w:p w14:paraId="49C9AC54">
      <w:pPr>
        <w:jc w:val="center"/>
        <w:rPr>
          <w:b/>
          <w:sz w:val="120"/>
          <w:szCs w:val="120"/>
        </w:rPr>
      </w:pPr>
      <w:r>
        <w:rPr>
          <w:rFonts w:hint="eastAsia"/>
          <w:b/>
          <w:sz w:val="120"/>
          <w:szCs w:val="120"/>
        </w:rPr>
        <w:t>招标文件</w:t>
      </w:r>
    </w:p>
    <w:p w14:paraId="26840393">
      <w:pPr>
        <w:jc w:val="center"/>
        <w:rPr>
          <w:b/>
          <w:sz w:val="52"/>
          <w:szCs w:val="52"/>
        </w:rPr>
      </w:pPr>
      <w:r>
        <w:rPr>
          <w:rFonts w:hint="eastAsia"/>
          <w:b/>
          <w:sz w:val="52"/>
          <w:szCs w:val="52"/>
        </w:rPr>
        <w:t>（货物类）</w:t>
      </w:r>
    </w:p>
    <w:p w14:paraId="03A6E06A"/>
    <w:p w14:paraId="31B4BB91"/>
    <w:p w14:paraId="44AB05C2"/>
    <w:p w14:paraId="1A48B2DA"/>
    <w:p w14:paraId="45C018F6"/>
    <w:p w14:paraId="59661D8B"/>
    <w:p w14:paraId="339A3782"/>
    <w:p w14:paraId="7986F55C"/>
    <w:p w14:paraId="01B0812B"/>
    <w:p w14:paraId="0F7A5D6B"/>
    <w:p w14:paraId="397D4E3D"/>
    <w:p w14:paraId="17F06779"/>
    <w:p w14:paraId="2FFEC263"/>
    <w:p w14:paraId="730CD1A1"/>
    <w:p w14:paraId="22DE50DB"/>
    <w:p w14:paraId="1923EEA0"/>
    <w:p w14:paraId="68E3935A"/>
    <w:p w14:paraId="2E2D150C"/>
    <w:p w14:paraId="0C1474FB"/>
    <w:p w14:paraId="0BE1CE29">
      <w:pPr>
        <w:jc w:val="center"/>
        <w:rPr>
          <w:b/>
          <w:sz w:val="44"/>
          <w:szCs w:val="44"/>
        </w:rPr>
      </w:pPr>
      <w:bookmarkStart w:id="2" w:name="_Hlk71465316"/>
      <w:r>
        <w:rPr>
          <w:rFonts w:hint="eastAsia"/>
          <w:b/>
          <w:sz w:val="44"/>
          <w:szCs w:val="44"/>
        </w:rPr>
        <w:t>深圳公共资源交易中心</w:t>
      </w:r>
    </w:p>
    <w:p w14:paraId="08E3FE11">
      <w:pPr>
        <w:jc w:val="center"/>
        <w:rPr>
          <w:b/>
          <w:sz w:val="44"/>
          <w:szCs w:val="44"/>
        </w:rPr>
      </w:pPr>
      <w:r>
        <w:rPr>
          <w:rFonts w:hint="eastAsia"/>
          <w:b/>
          <w:sz w:val="44"/>
          <w:szCs w:val="44"/>
        </w:rPr>
        <w:t>（2026）</w:t>
      </w:r>
    </w:p>
    <w:bookmarkEnd w:id="2"/>
    <w:p w14:paraId="07D9D224">
      <w:pPr>
        <w:widowControl/>
        <w:jc w:val="center"/>
      </w:pPr>
    </w:p>
    <w:p w14:paraId="5BCDCB1C">
      <w:pPr>
        <w:widowControl/>
        <w:jc w:val="center"/>
      </w:pPr>
      <w:r>
        <w:br w:type="page"/>
      </w:r>
    </w:p>
    <w:p w14:paraId="454A6625">
      <w:pPr>
        <w:spacing w:before="240" w:beforeLines="100" w:after="240" w:afterLines="100"/>
        <w:jc w:val="center"/>
        <w:rPr>
          <w:rFonts w:hint="eastAsia" w:ascii="黑体" w:hAnsi="黑体" w:eastAsia="黑体" w:cs="黑体"/>
          <w:b/>
          <w:bCs/>
          <w:sz w:val="28"/>
          <w:szCs w:val="36"/>
        </w:rPr>
      </w:pPr>
      <w:bookmarkStart w:id="3" w:name="_Hlk72218009"/>
      <w:r>
        <w:rPr>
          <w:rFonts w:hint="eastAsia" w:ascii="黑体" w:hAnsi="黑体" w:eastAsia="黑体" w:cs="黑体"/>
          <w:b/>
          <w:bCs/>
          <w:sz w:val="28"/>
          <w:szCs w:val="36"/>
        </w:rPr>
        <w:t>目   录</w:t>
      </w:r>
    </w:p>
    <w:p w14:paraId="3D500770">
      <w:pPr>
        <w:outlineLvl w:val="0"/>
        <w:rPr>
          <w:b/>
          <w:sz w:val="24"/>
        </w:rPr>
      </w:pPr>
      <w:r>
        <w:rPr>
          <w:rFonts w:hint="eastAsia"/>
          <w:b/>
          <w:sz w:val="24"/>
        </w:rPr>
        <w:t>第一册    专用条款</w:t>
      </w:r>
    </w:p>
    <w:p w14:paraId="25C21372">
      <w:pPr>
        <w:ind w:firstLine="960" w:firstLineChars="400"/>
        <w:rPr>
          <w:sz w:val="24"/>
        </w:rPr>
      </w:pPr>
      <w:r>
        <w:rPr>
          <w:rFonts w:hint="eastAsia"/>
          <w:sz w:val="24"/>
        </w:rPr>
        <w:t>关键信息</w:t>
      </w:r>
    </w:p>
    <w:p w14:paraId="55F928DB">
      <w:pPr>
        <w:ind w:left="630" w:leftChars="300" w:firstLine="630" w:firstLineChars="300"/>
        <w:rPr>
          <w:rFonts w:hint="eastAsia" w:ascii="宋体" w:hAnsi="宋体"/>
          <w:szCs w:val="21"/>
        </w:rPr>
      </w:pPr>
      <w:r>
        <w:rPr>
          <w:rFonts w:hint="eastAsia" w:ascii="宋体" w:hAnsi="宋体"/>
          <w:szCs w:val="21"/>
        </w:rPr>
        <w:t>第一章  招标公告</w:t>
      </w:r>
    </w:p>
    <w:p w14:paraId="256A585A">
      <w:pPr>
        <w:ind w:left="630" w:leftChars="300" w:firstLine="630" w:firstLineChars="300"/>
        <w:rPr>
          <w:rFonts w:hint="eastAsia" w:ascii="宋体" w:hAnsi="宋体"/>
          <w:szCs w:val="21"/>
        </w:rPr>
      </w:pPr>
      <w:r>
        <w:rPr>
          <w:rFonts w:hint="eastAsia" w:ascii="宋体" w:hAnsi="宋体"/>
          <w:szCs w:val="21"/>
        </w:rPr>
        <w:t xml:space="preserve">第二章  </w:t>
      </w:r>
      <w:bookmarkStart w:id="4" w:name="_Hlk71994379"/>
      <w:r>
        <w:rPr>
          <w:rFonts w:hint="eastAsia" w:ascii="宋体" w:hAnsi="宋体"/>
          <w:szCs w:val="21"/>
        </w:rPr>
        <w:t>对通用条款的补充内容及其他关键信息</w:t>
      </w:r>
      <w:bookmarkEnd w:id="4"/>
    </w:p>
    <w:p w14:paraId="6D87CDB6">
      <w:pPr>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521B4C94">
      <w:pPr>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05341AD3">
      <w:pPr>
        <w:ind w:left="630" w:leftChars="300" w:firstLine="630" w:firstLineChars="300"/>
        <w:rPr>
          <w:rFonts w:hint="eastAsia" w:ascii="宋体" w:hAnsi="宋体"/>
          <w:szCs w:val="21"/>
        </w:rPr>
      </w:pPr>
      <w:r>
        <w:rPr>
          <w:rFonts w:hint="eastAsia" w:ascii="宋体" w:hAnsi="宋体"/>
          <w:szCs w:val="21"/>
        </w:rPr>
        <w:t>第五章  合同条款及格式</w:t>
      </w:r>
    </w:p>
    <w:p w14:paraId="5F92AC7E">
      <w:pPr>
        <w:rPr>
          <w:b/>
          <w:sz w:val="24"/>
        </w:rPr>
      </w:pPr>
    </w:p>
    <w:p w14:paraId="06E310A1">
      <w:pPr>
        <w:outlineLvl w:val="0"/>
        <w:rPr>
          <w:b/>
          <w:sz w:val="24"/>
        </w:rPr>
      </w:pPr>
      <w:r>
        <w:rPr>
          <w:rFonts w:hint="eastAsia"/>
          <w:b/>
          <w:sz w:val="24"/>
        </w:rPr>
        <w:t>第二册    通用条款</w:t>
      </w:r>
    </w:p>
    <w:p w14:paraId="358E312D">
      <w:pPr>
        <w:ind w:left="630" w:leftChars="300" w:firstLine="411" w:firstLineChars="196"/>
        <w:rPr>
          <w:rFonts w:hint="eastAsia" w:ascii="宋体" w:hAnsi="宋体"/>
          <w:szCs w:val="21"/>
        </w:rPr>
      </w:pPr>
      <w:r>
        <w:rPr>
          <w:rFonts w:hint="eastAsia" w:ascii="宋体" w:hAnsi="宋体"/>
          <w:szCs w:val="21"/>
        </w:rPr>
        <w:t>第一章  总则</w:t>
      </w:r>
    </w:p>
    <w:p w14:paraId="6A4EAC99">
      <w:pPr>
        <w:ind w:left="630" w:leftChars="300" w:firstLine="411" w:firstLineChars="196"/>
        <w:rPr>
          <w:rFonts w:hint="eastAsia" w:ascii="宋体" w:hAnsi="宋体"/>
          <w:szCs w:val="21"/>
        </w:rPr>
      </w:pPr>
      <w:r>
        <w:rPr>
          <w:rFonts w:hint="eastAsia" w:ascii="宋体" w:hAnsi="宋体"/>
          <w:szCs w:val="21"/>
        </w:rPr>
        <w:t>第二章  招标文件</w:t>
      </w:r>
    </w:p>
    <w:p w14:paraId="17FB7AC6">
      <w:pPr>
        <w:ind w:left="630" w:leftChars="300" w:firstLine="411" w:firstLineChars="196"/>
        <w:rPr>
          <w:rFonts w:hint="eastAsia" w:ascii="宋体" w:hAnsi="宋体"/>
          <w:szCs w:val="21"/>
        </w:rPr>
      </w:pPr>
      <w:r>
        <w:rPr>
          <w:rFonts w:hint="eastAsia" w:ascii="宋体" w:hAnsi="宋体"/>
          <w:szCs w:val="21"/>
        </w:rPr>
        <w:t>第三章  投标文件的编制</w:t>
      </w:r>
    </w:p>
    <w:p w14:paraId="31AEABC8">
      <w:pPr>
        <w:ind w:left="630" w:leftChars="300" w:firstLine="411" w:firstLineChars="196"/>
        <w:rPr>
          <w:rFonts w:hint="eastAsia" w:ascii="宋体" w:hAnsi="宋体"/>
          <w:szCs w:val="21"/>
        </w:rPr>
      </w:pPr>
      <w:r>
        <w:rPr>
          <w:rFonts w:hint="eastAsia" w:ascii="宋体" w:hAnsi="宋体"/>
          <w:szCs w:val="21"/>
        </w:rPr>
        <w:t>第四章  投标文件的递交</w:t>
      </w:r>
    </w:p>
    <w:p w14:paraId="47797927">
      <w:pPr>
        <w:ind w:left="630" w:leftChars="300" w:firstLine="411" w:firstLineChars="196"/>
        <w:rPr>
          <w:rFonts w:hint="eastAsia" w:ascii="宋体" w:hAnsi="宋体"/>
          <w:szCs w:val="21"/>
        </w:rPr>
      </w:pPr>
      <w:r>
        <w:rPr>
          <w:rFonts w:hint="eastAsia" w:ascii="宋体" w:hAnsi="宋体"/>
          <w:szCs w:val="21"/>
        </w:rPr>
        <w:t>第五章  开标</w:t>
      </w:r>
    </w:p>
    <w:p w14:paraId="14B1A43B">
      <w:pPr>
        <w:ind w:left="630" w:leftChars="300" w:firstLine="411" w:firstLineChars="196"/>
        <w:rPr>
          <w:rFonts w:hint="eastAsia" w:ascii="宋体" w:hAnsi="宋体"/>
          <w:szCs w:val="21"/>
        </w:rPr>
      </w:pPr>
      <w:r>
        <w:rPr>
          <w:rFonts w:hint="eastAsia" w:ascii="宋体" w:hAnsi="宋体"/>
          <w:szCs w:val="21"/>
        </w:rPr>
        <w:t>第六章  评审要求</w:t>
      </w:r>
    </w:p>
    <w:p w14:paraId="6BFB6D4A">
      <w:pPr>
        <w:ind w:left="630" w:leftChars="300" w:firstLine="411" w:firstLineChars="196"/>
        <w:rPr>
          <w:rFonts w:hint="eastAsia" w:ascii="宋体" w:hAnsi="宋体"/>
          <w:szCs w:val="21"/>
        </w:rPr>
      </w:pPr>
      <w:r>
        <w:rPr>
          <w:rFonts w:hint="eastAsia" w:ascii="宋体" w:hAnsi="宋体"/>
          <w:szCs w:val="21"/>
        </w:rPr>
        <w:t>第七章  评审程序及评审方法</w:t>
      </w:r>
    </w:p>
    <w:p w14:paraId="6EEC5C77">
      <w:pPr>
        <w:ind w:left="630" w:leftChars="300" w:firstLine="411" w:firstLineChars="196"/>
        <w:rPr>
          <w:rFonts w:hint="eastAsia" w:ascii="宋体" w:hAnsi="宋体"/>
          <w:szCs w:val="21"/>
        </w:rPr>
      </w:pPr>
      <w:r>
        <w:rPr>
          <w:rFonts w:hint="eastAsia" w:ascii="宋体" w:hAnsi="宋体"/>
          <w:szCs w:val="21"/>
        </w:rPr>
        <w:t>第八章  定标及公示</w:t>
      </w:r>
    </w:p>
    <w:p w14:paraId="25FD10B1">
      <w:pPr>
        <w:ind w:left="630" w:leftChars="300" w:firstLine="411" w:firstLineChars="196"/>
        <w:rPr>
          <w:rFonts w:hint="eastAsia" w:ascii="宋体" w:hAnsi="宋体"/>
          <w:szCs w:val="21"/>
        </w:rPr>
      </w:pPr>
      <w:r>
        <w:rPr>
          <w:rFonts w:hint="eastAsia" w:ascii="宋体" w:hAnsi="宋体"/>
          <w:szCs w:val="21"/>
        </w:rPr>
        <w:t>第九章  公开招标失败的后续处理</w:t>
      </w:r>
    </w:p>
    <w:p w14:paraId="36B7D041">
      <w:pPr>
        <w:ind w:left="630" w:leftChars="300" w:firstLine="411" w:firstLineChars="196"/>
        <w:rPr>
          <w:rFonts w:hint="eastAsia" w:ascii="宋体" w:hAnsi="宋体"/>
          <w:szCs w:val="21"/>
        </w:rPr>
      </w:pPr>
      <w:r>
        <w:rPr>
          <w:rFonts w:hint="eastAsia" w:ascii="宋体" w:hAnsi="宋体"/>
          <w:szCs w:val="21"/>
        </w:rPr>
        <w:t>第十章  合同的授予与备案</w:t>
      </w:r>
    </w:p>
    <w:p w14:paraId="142513B0">
      <w:pPr>
        <w:ind w:firstLine="1050" w:firstLineChars="500"/>
      </w:pPr>
      <w:r>
        <w:rPr>
          <w:rFonts w:hint="eastAsia"/>
        </w:rPr>
        <w:t>第十一章  质疑处理</w:t>
      </w:r>
    </w:p>
    <w:p w14:paraId="2603E22D">
      <w:pPr>
        <w:pStyle w:val="13"/>
      </w:pPr>
    </w:p>
    <w:p w14:paraId="417521F1">
      <w:pPr>
        <w:pStyle w:val="12"/>
        <w:sectPr>
          <w:pgSz w:w="11907" w:h="16840"/>
          <w:pgMar w:top="1440" w:right="1797" w:bottom="1440" w:left="1797" w:header="851" w:footer="992" w:gutter="0"/>
          <w:cols w:space="425" w:num="1"/>
          <w:titlePg/>
          <w:docGrid w:linePitch="462" w:charSpace="0"/>
        </w:sectPr>
      </w:pPr>
    </w:p>
    <w:bookmarkEnd w:id="3"/>
    <w:p w14:paraId="74FC731F">
      <w:pPr>
        <w:pStyle w:val="5"/>
        <w:rPr>
          <w:rFonts w:hint="eastAsia"/>
          <w:color w:val="FF0000"/>
          <w:sz w:val="24"/>
        </w:rPr>
      </w:pPr>
      <w:bookmarkStart w:id="5" w:name="bt技术标投标文件格式"/>
      <w:bookmarkEnd w:id="5"/>
      <w:bookmarkStart w:id="6" w:name="bt开标一览表"/>
      <w:bookmarkEnd w:id="6"/>
      <w:bookmarkStart w:id="7" w:name="bt投标函"/>
      <w:bookmarkEnd w:id="7"/>
      <w:bookmarkStart w:id="8" w:name="bt其他资料2"/>
      <w:bookmarkEnd w:id="8"/>
      <w:bookmarkStart w:id="9" w:name="bt投标文件签署授权委托书"/>
      <w:bookmarkEnd w:id="9"/>
      <w:bookmarkStart w:id="10" w:name="bt其他资料由投标人自定"/>
      <w:bookmarkEnd w:id="10"/>
      <w:bookmarkStart w:id="11" w:name="bt合同条款"/>
      <w:bookmarkEnd w:id="11"/>
      <w:bookmarkStart w:id="12" w:name="bt项目管理班子配备情况"/>
      <w:bookmarkEnd w:id="12"/>
      <w:bookmarkStart w:id="13" w:name="bt投标人情况介绍"/>
      <w:bookmarkEnd w:id="13"/>
      <w:bookmarkStart w:id="14" w:name="bt合同条款及格式"/>
      <w:bookmarkEnd w:id="14"/>
      <w:bookmarkStart w:id="15" w:name="bt投标人须知"/>
      <w:bookmarkEnd w:id="15"/>
      <w:bookmarkStart w:id="16" w:name="bt说明"/>
      <w:bookmarkEnd w:id="16"/>
      <w:bookmarkStart w:id="17" w:name="bt投标报价汇总表"/>
      <w:bookmarkEnd w:id="17"/>
      <w:bookmarkStart w:id="18" w:name="bt合同格式"/>
      <w:bookmarkEnd w:id="18"/>
      <w:bookmarkStart w:id="19" w:name="bt商务标投标文件格式"/>
      <w:bookmarkEnd w:id="19"/>
      <w:bookmarkStart w:id="20" w:name="合同格式"/>
      <w:bookmarkEnd w:id="20"/>
      <w:bookmarkStart w:id="21" w:name="bt本工程承诺书"/>
      <w:bookmarkEnd w:id="21"/>
      <w:r>
        <w:rPr>
          <w:rFonts w:hint="eastAsia"/>
        </w:rPr>
        <w:t>第一册  专用条款</w:t>
      </w:r>
    </w:p>
    <w:p w14:paraId="62399597">
      <w:pPr>
        <w:pStyle w:val="8"/>
        <w:rPr>
          <w:rFonts w:hint="eastAsia"/>
          <w:sz w:val="28"/>
          <w:szCs w:val="28"/>
        </w:rPr>
      </w:pPr>
      <w:r>
        <w:rPr>
          <w:rFonts w:hint="eastAsia"/>
          <w:sz w:val="28"/>
          <w:szCs w:val="28"/>
        </w:rPr>
        <w:t>第一章  招标公告</w:t>
      </w:r>
    </w:p>
    <w:p w14:paraId="6ABD8523">
      <w:pPr>
        <w:spacing w:line="360" w:lineRule="auto"/>
        <w:rPr>
          <w:rFonts w:hint="eastAsia" w:ascii="宋体" w:hAnsi="宋体" w:cs="宋体"/>
          <w:b/>
          <w:bCs/>
          <w:kern w:val="0"/>
          <w:szCs w:val="21"/>
        </w:rPr>
      </w:pPr>
      <w:r>
        <w:rPr>
          <w:rFonts w:hint="eastAsia" w:ascii="宋体" w:hAnsi="宋体" w:cs="宋体"/>
          <w:b/>
          <w:bCs/>
          <w:kern w:val="0"/>
          <w:szCs w:val="21"/>
        </w:rPr>
        <w:t>申请人的资格要求：</w:t>
      </w:r>
    </w:p>
    <w:p w14:paraId="3625AA41">
      <w:pPr>
        <w:ind w:firstLine="630" w:firstLineChars="300"/>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w:t>
      </w:r>
      <w:bookmarkStart w:id="22" w:name="_Hlk72162904"/>
      <w:r>
        <w:rPr>
          <w:rFonts w:hint="eastAsia" w:ascii="宋体" w:hAnsi="宋体" w:cs="宋体"/>
          <w:kern w:val="0"/>
          <w:szCs w:val="21"/>
        </w:rPr>
        <w:t>具有独立法人资格或是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bookmarkEnd w:id="22"/>
    </w:p>
    <w:p w14:paraId="71732FB1">
      <w:pPr>
        <w:ind w:firstLine="630" w:firstLineChars="300"/>
        <w:rPr>
          <w:rFonts w:hint="eastAsia" w:ascii="宋体" w:hAnsi="宋体" w:cs="宋体"/>
          <w:kern w:val="0"/>
          <w:szCs w:val="21"/>
        </w:rPr>
      </w:pPr>
      <w:r>
        <w:rPr>
          <w:rFonts w:hint="eastAsia" w:ascii="宋体" w:hAnsi="宋体" w:cs="宋体"/>
          <w:color w:val="FF0000"/>
          <w:kern w:val="0"/>
          <w:szCs w:val="21"/>
        </w:rPr>
        <w:t>2.本项目不接受联合体投标，不允许分包，禁止转包，不接受投标人选用进口产品参与投标（由供应商在《政府采购投标及履约承诺函》中作出声明）；</w:t>
      </w:r>
    </w:p>
    <w:p w14:paraId="47D5E5B5">
      <w:pPr>
        <w:ind w:firstLine="630" w:firstLineChars="30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参与本项目政府采购活动时不存在被有关部门禁止参与政府采购活动且在有效期内的情况（由供应商在《政府采购投标及履约承诺函》中作出声明）；</w:t>
      </w:r>
    </w:p>
    <w:p w14:paraId="1A875DBD">
      <w:pPr>
        <w:ind w:firstLine="630" w:firstLineChars="3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具备《中华人民共和国政府采购法》第二十二条第一款的条件（由供应商在《政府采购投标及履约承诺函》中作出声明）；</w:t>
      </w:r>
    </w:p>
    <w:p w14:paraId="2B7039E1">
      <w:pPr>
        <w:ind w:firstLine="630" w:firstLineChars="30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未被列入失信被执行人、重大税收违法案件当事人名单、政府采购严重违法失信行为记录名单（由供应商在《政府采购投标及履约承诺函》中作出声明）；</w:t>
      </w:r>
    </w:p>
    <w:p w14:paraId="799EEF68">
      <w:pPr>
        <w:ind w:firstLine="630" w:firstLineChars="300"/>
        <w:rPr>
          <w:rFonts w:hint="eastAsia"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6.不存在《深圳市财政局政府采购供应商信用信息管理办法》（深财规〔2023〕3号）列明的严重违法失信行为（由供应商在《政府采购投标及履约承诺函》中作出声明）；</w:t>
      </w:r>
    </w:p>
    <w:p w14:paraId="05D5ED0A">
      <w:pPr>
        <w:ind w:firstLine="630" w:firstLineChars="300"/>
        <w:rPr>
          <w:rFonts w:hint="eastAsia" w:ascii="宋体" w:hAnsi="宋体" w:cs="宋体"/>
          <w:kern w:val="0"/>
          <w:szCs w:val="21"/>
        </w:rPr>
      </w:pPr>
      <w:r>
        <w:rPr>
          <w:rFonts w:hint="eastAsia" w:ascii="宋体" w:hAnsi="宋体" w:cs="宋体"/>
          <w:kern w:val="0"/>
          <w:szCs w:val="21"/>
        </w:rPr>
        <w:t>7.为采购项目提供整体设计、规范编制或者项目管理、监理、检测等服务的供应商，不得再参加该采购项目的其他采购活动（由供应商在《政府采购投标及履约承诺函》中作出声明）；</w:t>
      </w:r>
    </w:p>
    <w:p w14:paraId="2A8D9325">
      <w:pPr>
        <w:ind w:firstLine="630" w:firstLineChars="300"/>
        <w:rPr>
          <w:rFonts w:hint="eastAsia" w:ascii="宋体" w:hAnsi="宋体" w:cs="宋体"/>
          <w:color w:val="FF0000"/>
          <w:kern w:val="0"/>
          <w:szCs w:val="21"/>
        </w:rPr>
      </w:pPr>
      <w:r>
        <w:rPr>
          <w:rFonts w:hint="eastAsia" w:ascii="宋体" w:hAnsi="宋体" w:cs="宋体"/>
          <w:color w:val="FF0000"/>
          <w:kern w:val="0"/>
          <w:szCs w:val="21"/>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4C85A3DF">
      <w:pPr>
        <w:ind w:firstLine="630" w:firstLineChars="300"/>
        <w:rPr>
          <w:rFonts w:hint="eastAsia" w:ascii="宋体" w:hAnsi="宋体" w:cs="宋体"/>
          <w:b/>
          <w:bCs/>
          <w:color w:val="FF0000"/>
          <w:kern w:val="0"/>
          <w:szCs w:val="21"/>
        </w:rPr>
      </w:pPr>
      <w:r>
        <w:rPr>
          <w:rFonts w:hint="eastAsia" w:ascii="宋体" w:hAnsi="宋体" w:cs="宋体"/>
          <w:kern w:val="0"/>
          <w:szCs w:val="21"/>
        </w:rPr>
        <w:t>9.本项目为非专门面向中小企业采购项目</w:t>
      </w:r>
      <w:r>
        <w:rPr>
          <w:rFonts w:hint="eastAsia" w:ascii="宋体" w:hAnsi="宋体" w:cs="宋体"/>
          <w:kern w:val="0"/>
          <w:szCs w:val="21"/>
          <w:lang w:eastAsia="zh-CN"/>
        </w:rPr>
        <w:t>；</w:t>
      </w:r>
    </w:p>
    <w:p w14:paraId="3CB6F8FE">
      <w:pPr>
        <w:ind w:firstLine="630" w:firstLineChars="300"/>
        <w:rPr>
          <w:rFonts w:hint="eastAsia" w:ascii="宋体" w:hAnsi="宋体" w:cs="宋体"/>
          <w:color w:val="FF0000"/>
          <w:kern w:val="0"/>
          <w:szCs w:val="21"/>
        </w:rPr>
      </w:pPr>
    </w:p>
    <w:p w14:paraId="4A6C4764">
      <w:pPr>
        <w:wordWrap w:val="0"/>
        <w:ind w:firstLine="420" w:firstLineChars="200"/>
        <w:rPr>
          <w:rFonts w:hint="eastAsia" w:ascii="宋体" w:hAnsi="宋体" w:cs="宋体"/>
          <w:kern w:val="0"/>
          <w:szCs w:val="21"/>
        </w:rPr>
      </w:pPr>
    </w:p>
    <w:p w14:paraId="62E75804">
      <w:pPr>
        <w:wordWrap w:val="0"/>
        <w:ind w:firstLine="420" w:firstLineChars="200"/>
        <w:rPr>
          <w:rFonts w:hint="eastAsia"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深圳市政府采购监管网”（http://zfcg.sz.gov.cn）</w:t>
      </w:r>
      <w:r>
        <w:rPr>
          <w:rFonts w:hint="eastAsia" w:asciiTheme="minorEastAsia" w:hAnsiTheme="minorEastAsia" w:eastAsiaTheme="minorEastAsia" w:cstheme="minorEastAsia"/>
          <w:szCs w:val="21"/>
        </w:rPr>
        <w:t>以及财政部门认可的“供应商诚信档案库”</w:t>
      </w:r>
      <w:r>
        <w:rPr>
          <w:rFonts w:hint="eastAsia" w:ascii="宋体" w:hAnsi="宋体" w:cs="宋体"/>
          <w:kern w:val="0"/>
          <w:szCs w:val="21"/>
        </w:rPr>
        <w:t>为供应商信用信息的查询渠道，相关信息以开标当日的查询结果为准；</w:t>
      </w:r>
    </w:p>
    <w:p w14:paraId="7C19EA78">
      <w:pPr>
        <w:ind w:firstLine="420" w:firstLineChars="200"/>
        <w:rPr>
          <w:rFonts w:hint="eastAsia" w:ascii="宋体" w:hAnsi="宋体"/>
        </w:rPr>
      </w:pPr>
      <w:r>
        <w:rPr>
          <w:rFonts w:hint="eastAsia" w:ascii="宋体" w:hAnsi="宋体"/>
        </w:rPr>
        <w:t>（2）供应商投标（上传投标文件）必须先行办理注册手续，具体请按照本公告“六、其他补充事宜</w:t>
      </w:r>
      <w:r>
        <w:rPr>
          <w:rFonts w:ascii="宋体" w:hAnsi="宋体"/>
        </w:rPr>
        <w:t>”</w:t>
      </w:r>
      <w:r>
        <w:rPr>
          <w:rFonts w:hint="eastAsia" w:ascii="宋体" w:hAnsi="宋体"/>
        </w:rPr>
        <w:t>相关内容指引办理。</w:t>
      </w:r>
    </w:p>
    <w:p w14:paraId="13FE136E">
      <w:pPr>
        <w:ind w:firstLine="420" w:firstLineChars="200"/>
        <w:rPr>
          <w:rFonts w:hint="eastAsia" w:ascii="宋体" w:hAnsi="宋体"/>
        </w:rPr>
      </w:pPr>
    </w:p>
    <w:p w14:paraId="3600F286">
      <w:pPr>
        <w:ind w:firstLine="442" w:firstLineChars="200"/>
        <w:rPr>
          <w:b/>
        </w:rPr>
      </w:pPr>
      <w:r>
        <w:rPr>
          <w:rFonts w:hint="eastAsia"/>
          <w:b/>
          <w:sz w:val="22"/>
          <w:szCs w:val="18"/>
        </w:rPr>
        <w:t>完整公告内容详见：深圳公共资源交易网（</w:t>
      </w:r>
      <w:r>
        <w:rPr>
          <w:b/>
          <w:sz w:val="22"/>
          <w:szCs w:val="18"/>
        </w:rPr>
        <w:t>https://www.szggzy.com</w:t>
      </w:r>
      <w:r>
        <w:rPr>
          <w:rFonts w:hint="eastAsia"/>
          <w:b/>
          <w:sz w:val="22"/>
          <w:szCs w:val="18"/>
        </w:rPr>
        <w:t>）</w:t>
      </w:r>
    </w:p>
    <w:p w14:paraId="13E239BB">
      <w:pPr>
        <w:ind w:firstLine="422" w:firstLineChars="200"/>
        <w:rPr>
          <w:b/>
        </w:rPr>
      </w:pPr>
    </w:p>
    <w:p w14:paraId="7BCEAEBD">
      <w:pPr>
        <w:rPr>
          <w:sz w:val="24"/>
        </w:rPr>
        <w:sectPr>
          <w:pgSz w:w="11907" w:h="16840"/>
          <w:pgMar w:top="1440" w:right="1797" w:bottom="1440" w:left="1797" w:header="851" w:footer="992" w:gutter="0"/>
          <w:cols w:space="425" w:num="1"/>
          <w:titlePg/>
          <w:docGrid w:linePitch="462" w:charSpace="0"/>
        </w:sectPr>
      </w:pPr>
    </w:p>
    <w:p w14:paraId="38C1A87E">
      <w:pPr>
        <w:pStyle w:val="8"/>
        <w:rPr>
          <w:rFonts w:hint="eastAsia"/>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3FEF66BE">
      <w:pPr>
        <w:pStyle w:val="8"/>
        <w:spacing w:before="120" w:beforeLines="50" w:after="120" w:afterLines="50"/>
        <w:rPr>
          <w:rFonts w:hint="eastAsia"/>
          <w:szCs w:val="24"/>
        </w:rPr>
      </w:pPr>
      <w:bookmarkStart w:id="24" w:name="_Toc73517639"/>
      <w:bookmarkStart w:id="25" w:name="_Toc60560625"/>
      <w:bookmarkStart w:id="26" w:name="_Toc73521635"/>
      <w:bookmarkStart w:id="27" w:name="_Toc101074876"/>
      <w:bookmarkStart w:id="28" w:name="_Toc60631620"/>
      <w:bookmarkStart w:id="29" w:name="_Toc73521547"/>
      <w:bookmarkStart w:id="30" w:name="_Toc73518117"/>
      <w:bookmarkStart w:id="31" w:name="_Toc100052364"/>
      <w:r>
        <w:rPr>
          <w:rFonts w:hint="eastAsia"/>
          <w:szCs w:val="24"/>
        </w:rPr>
        <w:t>一、对通用条款的补充内容</w:t>
      </w:r>
    </w:p>
    <w:bookmarkEnd w:id="24"/>
    <w:bookmarkEnd w:id="25"/>
    <w:bookmarkEnd w:id="26"/>
    <w:bookmarkEnd w:id="27"/>
    <w:bookmarkEnd w:id="28"/>
    <w:bookmarkEnd w:id="29"/>
    <w:bookmarkEnd w:id="30"/>
    <w:bookmarkEnd w:id="31"/>
    <w:tbl>
      <w:tblPr>
        <w:tblStyle w:val="21"/>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230405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FDABB4E">
            <w:pPr>
              <w:jc w:val="center"/>
              <w:rPr>
                <w:rFonts w:hint="eastAsia" w:ascii="宋体" w:hAnsi="宋体"/>
                <w:b/>
                <w:bCs/>
              </w:rPr>
            </w:pPr>
            <w:bookmarkStart w:id="32" w:name="_Hlk72218097"/>
            <w:r>
              <w:rPr>
                <w:rFonts w:hint="eastAsia" w:ascii="宋体" w:hAnsi="宋体"/>
                <w:b/>
                <w:bCs/>
              </w:rPr>
              <w:t>通用条款序号</w:t>
            </w:r>
          </w:p>
        </w:tc>
        <w:tc>
          <w:tcPr>
            <w:tcW w:w="2409" w:type="dxa"/>
            <w:vAlign w:val="center"/>
          </w:tcPr>
          <w:p w14:paraId="39D75B6C">
            <w:pPr>
              <w:jc w:val="center"/>
              <w:rPr>
                <w:rFonts w:hint="eastAsia" w:ascii="宋体" w:hAnsi="宋体"/>
                <w:b/>
                <w:bCs/>
              </w:rPr>
            </w:pPr>
            <w:r>
              <w:rPr>
                <w:rFonts w:hint="eastAsia" w:ascii="宋体" w:hAnsi="宋体"/>
                <w:b/>
                <w:bCs/>
              </w:rPr>
              <w:t>涉及事项</w:t>
            </w:r>
          </w:p>
        </w:tc>
        <w:tc>
          <w:tcPr>
            <w:tcW w:w="4980" w:type="dxa"/>
            <w:vAlign w:val="center"/>
          </w:tcPr>
          <w:p w14:paraId="44C55997">
            <w:pPr>
              <w:jc w:val="center"/>
              <w:rPr>
                <w:rFonts w:hint="eastAsia"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27DEF0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D0E5BAE">
            <w:pPr>
              <w:jc w:val="center"/>
              <w:rPr>
                <w:rFonts w:hint="eastAsia" w:ascii="宋体" w:hAnsi="宋体"/>
              </w:rPr>
            </w:pPr>
            <w:r>
              <w:rPr>
                <w:rFonts w:hint="eastAsia" w:ascii="宋体" w:hAnsi="宋体"/>
              </w:rPr>
              <w:t>3</w:t>
            </w:r>
            <w:r>
              <w:rPr>
                <w:rFonts w:ascii="宋体" w:hAnsi="宋体"/>
              </w:rPr>
              <w:t>.1</w:t>
            </w:r>
          </w:p>
        </w:tc>
        <w:tc>
          <w:tcPr>
            <w:tcW w:w="2409" w:type="dxa"/>
            <w:vAlign w:val="center"/>
          </w:tcPr>
          <w:p w14:paraId="4ABE9FDE">
            <w:pPr>
              <w:jc w:val="center"/>
            </w:pPr>
            <w:r>
              <w:rPr>
                <w:rFonts w:hint="eastAsia"/>
              </w:rPr>
              <w:t>采购人</w:t>
            </w:r>
          </w:p>
        </w:tc>
        <w:tc>
          <w:tcPr>
            <w:tcW w:w="4980" w:type="dxa"/>
            <w:vAlign w:val="center"/>
          </w:tcPr>
          <w:p w14:paraId="3EEA3C24">
            <w:pPr>
              <w:jc w:val="center"/>
              <w:rPr>
                <w:rFonts w:hint="eastAsia" w:ascii="宋体" w:hAnsi="宋体"/>
              </w:rPr>
            </w:pPr>
            <w:r>
              <w:rPr>
                <w:rFonts w:hint="eastAsia" w:ascii="宋体" w:hAnsi="宋体"/>
              </w:rPr>
              <w:t>深圳市第三人民医院</w:t>
            </w:r>
          </w:p>
        </w:tc>
      </w:tr>
      <w:tr w14:paraId="08404B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2B1C9C3">
            <w:pPr>
              <w:jc w:val="center"/>
              <w:rPr>
                <w:rFonts w:hint="eastAsia" w:ascii="宋体" w:hAnsi="宋体"/>
              </w:rPr>
            </w:pPr>
            <w:r>
              <w:rPr>
                <w:rFonts w:hint="eastAsia" w:ascii="宋体" w:hAnsi="宋体"/>
              </w:rPr>
              <w:t>3</w:t>
            </w:r>
            <w:r>
              <w:rPr>
                <w:rFonts w:ascii="宋体" w:hAnsi="宋体"/>
              </w:rPr>
              <w:t>.2</w:t>
            </w:r>
          </w:p>
        </w:tc>
        <w:tc>
          <w:tcPr>
            <w:tcW w:w="2409" w:type="dxa"/>
            <w:vAlign w:val="center"/>
          </w:tcPr>
          <w:p w14:paraId="2A2FFB63">
            <w:pPr>
              <w:jc w:val="center"/>
              <w:rPr>
                <w:rFonts w:hint="eastAsia" w:ascii="宋体" w:hAnsi="宋体"/>
              </w:rPr>
            </w:pPr>
            <w:r>
              <w:rPr>
                <w:rFonts w:hint="eastAsia" w:ascii="宋体" w:hAnsi="宋体"/>
              </w:rPr>
              <w:t>政府集中采购机构</w:t>
            </w:r>
          </w:p>
        </w:tc>
        <w:tc>
          <w:tcPr>
            <w:tcW w:w="4980" w:type="dxa"/>
            <w:vAlign w:val="center"/>
          </w:tcPr>
          <w:p w14:paraId="4B7AE4AF">
            <w:pPr>
              <w:jc w:val="center"/>
              <w:rPr>
                <w:rFonts w:hint="eastAsia" w:ascii="宋体" w:hAnsi="宋体"/>
              </w:rPr>
            </w:pPr>
            <w:r>
              <w:rPr>
                <w:rFonts w:hint="eastAsia" w:ascii="宋体" w:hAnsi="宋体"/>
              </w:rPr>
              <w:t>深圳公共资源交易中心</w:t>
            </w:r>
          </w:p>
          <w:p w14:paraId="0CE288B1">
            <w:pPr>
              <w:jc w:val="center"/>
              <w:rPr>
                <w:rFonts w:hint="eastAsia" w:ascii="宋体" w:hAnsi="宋体"/>
              </w:rPr>
            </w:pPr>
            <w:r>
              <w:rPr>
                <w:rFonts w:hint="eastAsia" w:ascii="宋体" w:hAnsi="宋体"/>
              </w:rPr>
              <w:t>（深圳交易集团有限公司政府采购业务分公司）</w:t>
            </w:r>
          </w:p>
        </w:tc>
      </w:tr>
      <w:tr w14:paraId="60E65F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CC4A456">
            <w:pPr>
              <w:jc w:val="center"/>
              <w:rPr>
                <w:rFonts w:hint="eastAsia" w:ascii="宋体" w:hAnsi="宋体"/>
              </w:rPr>
            </w:pPr>
            <w:r>
              <w:rPr>
                <w:rFonts w:hint="eastAsia" w:ascii="宋体" w:hAnsi="宋体"/>
              </w:rPr>
              <w:t>9</w:t>
            </w:r>
          </w:p>
        </w:tc>
        <w:tc>
          <w:tcPr>
            <w:tcW w:w="2409" w:type="dxa"/>
            <w:vAlign w:val="center"/>
          </w:tcPr>
          <w:p w14:paraId="6E804F00">
            <w:pPr>
              <w:jc w:val="center"/>
              <w:rPr>
                <w:rFonts w:hint="eastAsia" w:ascii="宋体" w:hAnsi="宋体"/>
              </w:rPr>
            </w:pPr>
            <w:r>
              <w:rPr>
                <w:rFonts w:hint="eastAsia" w:ascii="宋体" w:hAnsi="宋体"/>
              </w:rPr>
              <w:t>踏勘现场</w:t>
            </w:r>
          </w:p>
        </w:tc>
        <w:tc>
          <w:tcPr>
            <w:tcW w:w="4980" w:type="dxa"/>
            <w:vAlign w:val="center"/>
          </w:tcPr>
          <w:p w14:paraId="7DF16D5E">
            <w:pPr>
              <w:jc w:val="center"/>
              <w:rPr>
                <w:rFonts w:hint="eastAsia" w:ascii="宋体" w:hAnsi="宋体"/>
              </w:rPr>
            </w:pPr>
            <w:r>
              <w:rPr>
                <w:rFonts w:hint="eastAsia" w:ascii="宋体" w:hAnsi="宋体"/>
              </w:rPr>
              <w:t>不组织</w:t>
            </w:r>
          </w:p>
        </w:tc>
      </w:tr>
      <w:tr w14:paraId="6BDF9E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B625895">
            <w:pPr>
              <w:jc w:val="center"/>
              <w:rPr>
                <w:rFonts w:hint="eastAsia" w:ascii="宋体" w:hAnsi="宋体"/>
              </w:rPr>
            </w:pPr>
            <w:r>
              <w:rPr>
                <w:rFonts w:hint="eastAsia" w:ascii="宋体" w:hAnsi="宋体"/>
              </w:rPr>
              <w:t>1</w:t>
            </w:r>
            <w:r>
              <w:rPr>
                <w:rFonts w:ascii="宋体" w:hAnsi="宋体"/>
              </w:rPr>
              <w:t>0</w:t>
            </w:r>
          </w:p>
        </w:tc>
        <w:tc>
          <w:tcPr>
            <w:tcW w:w="2409" w:type="dxa"/>
            <w:vAlign w:val="center"/>
          </w:tcPr>
          <w:p w14:paraId="266E8292">
            <w:pPr>
              <w:jc w:val="center"/>
              <w:rPr>
                <w:rFonts w:hint="eastAsia" w:ascii="宋体" w:hAnsi="宋体"/>
              </w:rPr>
            </w:pPr>
            <w:r>
              <w:rPr>
                <w:rFonts w:hint="eastAsia" w:ascii="宋体" w:hAnsi="宋体"/>
              </w:rPr>
              <w:t>标前会议</w:t>
            </w:r>
          </w:p>
        </w:tc>
        <w:tc>
          <w:tcPr>
            <w:tcW w:w="4980" w:type="dxa"/>
            <w:vAlign w:val="center"/>
          </w:tcPr>
          <w:p w14:paraId="653AEA34">
            <w:pPr>
              <w:jc w:val="center"/>
              <w:rPr>
                <w:rFonts w:hint="eastAsia" w:ascii="宋体" w:hAnsi="宋体"/>
              </w:rPr>
            </w:pPr>
            <w:r>
              <w:rPr>
                <w:rFonts w:hint="eastAsia" w:ascii="宋体" w:hAnsi="宋体"/>
              </w:rPr>
              <w:t>不组织</w:t>
            </w:r>
          </w:p>
        </w:tc>
      </w:tr>
      <w:tr w14:paraId="2A402A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3602D84">
            <w:pPr>
              <w:jc w:val="center"/>
              <w:rPr>
                <w:rFonts w:hint="eastAsia"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1377E108">
            <w:pPr>
              <w:jc w:val="center"/>
              <w:rPr>
                <w:rFonts w:hint="eastAsia" w:ascii="宋体" w:hAnsi="宋体"/>
              </w:rPr>
            </w:pPr>
            <w:r>
              <w:rPr>
                <w:rFonts w:hint="eastAsia" w:ascii="宋体" w:hAnsi="宋体"/>
              </w:rPr>
              <w:t>招标文件的澄清和修改</w:t>
            </w:r>
          </w:p>
        </w:tc>
        <w:tc>
          <w:tcPr>
            <w:tcW w:w="4980" w:type="dxa"/>
            <w:vAlign w:val="center"/>
          </w:tcPr>
          <w:p w14:paraId="3F4C1BF4">
            <w:pPr>
              <w:jc w:val="center"/>
              <w:rPr>
                <w:rFonts w:hint="eastAsia" w:ascii="宋体" w:hAnsi="宋体"/>
              </w:rPr>
            </w:pPr>
            <w:r>
              <w:rPr>
                <w:rFonts w:hint="eastAsia" w:ascii="宋体" w:hAnsi="宋体"/>
              </w:rPr>
              <w:t>投标截止日三日前，投标人有义务在招标期间在政府集中采购机构网站浏览与本项目有关的澄清和修改信息</w:t>
            </w:r>
          </w:p>
        </w:tc>
      </w:tr>
      <w:tr w14:paraId="7EF435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8B6A9C5">
            <w:pPr>
              <w:jc w:val="center"/>
              <w:rPr>
                <w:rFonts w:hint="eastAsia" w:ascii="宋体" w:hAnsi="宋体"/>
              </w:rPr>
            </w:pPr>
            <w:r>
              <w:rPr>
                <w:rFonts w:hint="eastAsia" w:ascii="宋体" w:hAnsi="宋体"/>
              </w:rPr>
              <w:t>2</w:t>
            </w:r>
            <w:r>
              <w:rPr>
                <w:rFonts w:ascii="宋体" w:hAnsi="宋体"/>
              </w:rPr>
              <w:t>0</w:t>
            </w:r>
          </w:p>
        </w:tc>
        <w:tc>
          <w:tcPr>
            <w:tcW w:w="2409" w:type="dxa"/>
            <w:vAlign w:val="center"/>
          </w:tcPr>
          <w:p w14:paraId="0F5BC5A9">
            <w:pPr>
              <w:jc w:val="center"/>
              <w:rPr>
                <w:rFonts w:hint="eastAsia" w:ascii="宋体" w:hAnsi="宋体"/>
              </w:rPr>
            </w:pPr>
            <w:r>
              <w:rPr>
                <w:rFonts w:hint="eastAsia" w:ascii="宋体" w:hAnsi="宋体"/>
              </w:rPr>
              <w:t>投标有效期</w:t>
            </w:r>
          </w:p>
        </w:tc>
        <w:tc>
          <w:tcPr>
            <w:tcW w:w="4980" w:type="dxa"/>
            <w:vAlign w:val="center"/>
          </w:tcPr>
          <w:p w14:paraId="5445EFF3">
            <w:pPr>
              <w:jc w:val="center"/>
              <w:rPr>
                <w:rFonts w:hint="eastAsia" w:ascii="宋体" w:hAnsi="宋体"/>
              </w:rPr>
            </w:pPr>
            <w:r>
              <w:rPr>
                <w:rFonts w:hint="eastAsia" w:ascii="宋体" w:hAnsi="宋体"/>
              </w:rPr>
              <w:t>120个日历日</w:t>
            </w:r>
          </w:p>
        </w:tc>
      </w:tr>
      <w:tr w14:paraId="4C848C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2E04768">
            <w:pPr>
              <w:jc w:val="center"/>
              <w:rPr>
                <w:rFonts w:hint="eastAsia" w:ascii="宋体" w:hAnsi="宋体"/>
              </w:rPr>
            </w:pPr>
            <w:r>
              <w:rPr>
                <w:rFonts w:hint="eastAsia" w:ascii="宋体" w:hAnsi="宋体"/>
              </w:rPr>
              <w:t>2</w:t>
            </w:r>
            <w:r>
              <w:rPr>
                <w:rFonts w:ascii="宋体" w:hAnsi="宋体"/>
              </w:rPr>
              <w:t>2</w:t>
            </w:r>
          </w:p>
        </w:tc>
        <w:tc>
          <w:tcPr>
            <w:tcW w:w="2409" w:type="dxa"/>
            <w:vAlign w:val="center"/>
          </w:tcPr>
          <w:p w14:paraId="541A269A">
            <w:pPr>
              <w:jc w:val="center"/>
              <w:rPr>
                <w:rFonts w:hint="eastAsia" w:ascii="宋体" w:hAnsi="宋体"/>
              </w:rPr>
            </w:pPr>
            <w:r>
              <w:rPr>
                <w:rFonts w:hint="eastAsia" w:ascii="宋体" w:hAnsi="宋体"/>
              </w:rPr>
              <w:t>投标人的替代方案</w:t>
            </w:r>
          </w:p>
        </w:tc>
        <w:tc>
          <w:tcPr>
            <w:tcW w:w="4980" w:type="dxa"/>
            <w:vAlign w:val="center"/>
          </w:tcPr>
          <w:p w14:paraId="07F86C98">
            <w:pPr>
              <w:jc w:val="center"/>
              <w:rPr>
                <w:rFonts w:hint="eastAsia" w:ascii="宋体" w:hAnsi="宋体"/>
              </w:rPr>
            </w:pPr>
            <w:r>
              <w:rPr>
                <w:rFonts w:hint="eastAsia" w:ascii="宋体" w:hAnsi="宋体"/>
              </w:rPr>
              <w:t>不接受</w:t>
            </w:r>
          </w:p>
        </w:tc>
      </w:tr>
      <w:tr w14:paraId="06255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71BA2FF">
            <w:pPr>
              <w:jc w:val="center"/>
              <w:rPr>
                <w:rFonts w:hint="eastAsia" w:ascii="宋体" w:hAnsi="宋体"/>
              </w:rPr>
            </w:pPr>
            <w:r>
              <w:rPr>
                <w:rFonts w:hint="eastAsia" w:ascii="宋体" w:hAnsi="宋体"/>
              </w:rPr>
              <w:t>2</w:t>
            </w:r>
            <w:r>
              <w:rPr>
                <w:rFonts w:ascii="宋体" w:hAnsi="宋体"/>
              </w:rPr>
              <w:t>5</w:t>
            </w:r>
          </w:p>
        </w:tc>
        <w:tc>
          <w:tcPr>
            <w:tcW w:w="2409" w:type="dxa"/>
            <w:vAlign w:val="center"/>
          </w:tcPr>
          <w:p w14:paraId="1BF2AAE3">
            <w:pPr>
              <w:jc w:val="center"/>
              <w:rPr>
                <w:rFonts w:hint="eastAsia" w:ascii="宋体" w:hAnsi="宋体"/>
              </w:rPr>
            </w:pPr>
            <w:r>
              <w:rPr>
                <w:rFonts w:hint="eastAsia" w:ascii="宋体" w:hAnsi="宋体"/>
              </w:rPr>
              <w:t>投标文件的大小</w:t>
            </w:r>
          </w:p>
        </w:tc>
        <w:tc>
          <w:tcPr>
            <w:tcW w:w="4980" w:type="dxa"/>
            <w:vAlign w:val="center"/>
          </w:tcPr>
          <w:p w14:paraId="3ECC176C">
            <w:pPr>
              <w:jc w:val="center"/>
              <w:rPr>
                <w:rFonts w:hint="eastAsia" w:ascii="宋体" w:hAnsi="宋体"/>
              </w:rPr>
            </w:pPr>
            <w:r>
              <w:rPr>
                <w:rFonts w:hint="eastAsia" w:ascii="宋体" w:hAnsi="宋体"/>
              </w:rPr>
              <w:t>投标文件大小不得超过250MB</w:t>
            </w:r>
          </w:p>
        </w:tc>
      </w:tr>
      <w:tr w14:paraId="78456E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28C7DB0">
            <w:pPr>
              <w:jc w:val="center"/>
              <w:rPr>
                <w:rFonts w:hint="eastAsia" w:ascii="宋体" w:hAnsi="宋体"/>
              </w:rPr>
            </w:pPr>
            <w:r>
              <w:rPr>
                <w:rFonts w:hint="eastAsia" w:ascii="宋体" w:hAnsi="宋体"/>
              </w:rPr>
              <w:t>2</w:t>
            </w:r>
            <w:r>
              <w:rPr>
                <w:rFonts w:ascii="宋体" w:hAnsi="宋体"/>
              </w:rPr>
              <w:t>6</w:t>
            </w:r>
          </w:p>
        </w:tc>
        <w:tc>
          <w:tcPr>
            <w:tcW w:w="2409" w:type="dxa"/>
            <w:vAlign w:val="center"/>
          </w:tcPr>
          <w:p w14:paraId="0F7B1EB8">
            <w:pPr>
              <w:jc w:val="center"/>
              <w:rPr>
                <w:rFonts w:hint="eastAsia" w:ascii="宋体" w:hAnsi="宋体"/>
              </w:rPr>
            </w:pPr>
            <w:bookmarkStart w:id="33" w:name="_Hlk71664860"/>
            <w:r>
              <w:rPr>
                <w:rFonts w:hint="eastAsia" w:ascii="宋体" w:hAnsi="宋体"/>
              </w:rPr>
              <w:t>样品、现场演示、方案讲解</w:t>
            </w:r>
            <w:bookmarkEnd w:id="33"/>
          </w:p>
        </w:tc>
        <w:tc>
          <w:tcPr>
            <w:tcW w:w="4980" w:type="dxa"/>
            <w:vAlign w:val="center"/>
          </w:tcPr>
          <w:p w14:paraId="2E6F516E">
            <w:pPr>
              <w:jc w:val="center"/>
              <w:rPr>
                <w:rFonts w:hint="eastAsia" w:ascii="宋体" w:hAnsi="宋体"/>
              </w:rPr>
            </w:pPr>
            <w:r>
              <w:rPr>
                <w:rFonts w:hint="eastAsia" w:ascii="宋体" w:hAnsi="宋体"/>
              </w:rPr>
              <w:t>如有样品、演示、方案讲解，具体安排见第三章 用户需求书相关要求</w:t>
            </w:r>
          </w:p>
        </w:tc>
      </w:tr>
      <w:tr w14:paraId="33518F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B92B3A4">
            <w:pPr>
              <w:jc w:val="center"/>
              <w:rPr>
                <w:rFonts w:hint="eastAsia" w:ascii="宋体" w:hAnsi="宋体"/>
              </w:rPr>
            </w:pPr>
            <w:r>
              <w:rPr>
                <w:rFonts w:hint="eastAsia" w:ascii="宋体" w:hAnsi="宋体"/>
              </w:rPr>
              <w:t>3</w:t>
            </w:r>
            <w:r>
              <w:rPr>
                <w:rFonts w:ascii="宋体" w:hAnsi="宋体"/>
              </w:rPr>
              <w:t>7</w:t>
            </w:r>
          </w:p>
        </w:tc>
        <w:tc>
          <w:tcPr>
            <w:tcW w:w="2409" w:type="dxa"/>
            <w:vAlign w:val="center"/>
          </w:tcPr>
          <w:p w14:paraId="16342A15">
            <w:pPr>
              <w:jc w:val="center"/>
              <w:rPr>
                <w:rFonts w:hint="eastAsia" w:ascii="宋体" w:hAnsi="宋体"/>
              </w:rPr>
            </w:pPr>
            <w:r>
              <w:rPr>
                <w:rFonts w:hint="eastAsia" w:ascii="宋体" w:hAnsi="宋体"/>
              </w:rPr>
              <w:t>评审方法</w:t>
            </w:r>
          </w:p>
        </w:tc>
        <w:tc>
          <w:tcPr>
            <w:tcW w:w="4980" w:type="dxa"/>
            <w:vAlign w:val="center"/>
          </w:tcPr>
          <w:p w14:paraId="04E4D033">
            <w:pPr>
              <w:jc w:val="left"/>
              <w:rPr>
                <w:rFonts w:hint="eastAsia" w:ascii="宋体" w:hAnsi="宋体"/>
              </w:rPr>
            </w:pPr>
            <w:r>
              <w:rPr>
                <w:rFonts w:hint="eastAsia" w:ascii="宋体" w:hAnsi="宋体"/>
              </w:rPr>
              <w:t>综合评分法</w:t>
            </w:r>
          </w:p>
        </w:tc>
      </w:tr>
      <w:tr w14:paraId="1C3EC6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35" w:hRule="atLeast"/>
          <w:jc w:val="center"/>
        </w:trPr>
        <w:tc>
          <w:tcPr>
            <w:tcW w:w="978" w:type="dxa"/>
            <w:vAlign w:val="center"/>
          </w:tcPr>
          <w:p w14:paraId="54ECE2C3">
            <w:pPr>
              <w:jc w:val="center"/>
              <w:rPr>
                <w:rFonts w:hint="eastAsia" w:ascii="宋体" w:hAnsi="宋体"/>
              </w:rPr>
            </w:pPr>
            <w:r>
              <w:rPr>
                <w:rFonts w:hint="eastAsia" w:ascii="宋体" w:hAnsi="宋体"/>
              </w:rPr>
              <w:t>3</w:t>
            </w:r>
            <w:r>
              <w:rPr>
                <w:rFonts w:ascii="宋体" w:hAnsi="宋体"/>
              </w:rPr>
              <w:t>8</w:t>
            </w:r>
          </w:p>
        </w:tc>
        <w:tc>
          <w:tcPr>
            <w:tcW w:w="2409" w:type="dxa"/>
            <w:vAlign w:val="center"/>
          </w:tcPr>
          <w:p w14:paraId="45595A23">
            <w:pPr>
              <w:jc w:val="center"/>
              <w:rPr>
                <w:rFonts w:hint="eastAsia" w:ascii="宋体" w:hAnsi="宋体"/>
              </w:rPr>
            </w:pPr>
            <w:r>
              <w:rPr>
                <w:rFonts w:hint="eastAsia" w:ascii="宋体" w:hAnsi="宋体"/>
              </w:rPr>
              <w:t>定标方法</w:t>
            </w:r>
          </w:p>
        </w:tc>
        <w:tc>
          <w:tcPr>
            <w:tcW w:w="4980" w:type="dxa"/>
            <w:vAlign w:val="center"/>
          </w:tcPr>
          <w:p w14:paraId="03D96382">
            <w:pPr>
              <w:jc w:val="left"/>
              <w:rPr>
                <w:rFonts w:hint="eastAsia" w:ascii="宋体" w:hAnsi="宋体"/>
              </w:rPr>
            </w:pPr>
            <w:r>
              <w:rPr>
                <w:rFonts w:hint="eastAsia" w:ascii="宋体" w:hAnsi="宋体"/>
              </w:rPr>
              <w:t>非评定分离</w:t>
            </w:r>
          </w:p>
        </w:tc>
      </w:tr>
      <w:tr w14:paraId="7D8077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843B39F">
            <w:pPr>
              <w:jc w:val="center"/>
              <w:rPr>
                <w:rFonts w:hint="eastAsia" w:ascii="宋体" w:hAnsi="宋体"/>
              </w:rPr>
            </w:pPr>
            <w:r>
              <w:rPr>
                <w:rFonts w:hint="eastAsia" w:ascii="宋体" w:hAnsi="宋体"/>
              </w:rPr>
              <w:t>4</w:t>
            </w:r>
            <w:r>
              <w:rPr>
                <w:rFonts w:ascii="宋体" w:hAnsi="宋体"/>
              </w:rPr>
              <w:t>6</w:t>
            </w:r>
          </w:p>
        </w:tc>
        <w:tc>
          <w:tcPr>
            <w:tcW w:w="2409" w:type="dxa"/>
            <w:vAlign w:val="center"/>
          </w:tcPr>
          <w:p w14:paraId="6825E65B">
            <w:pPr>
              <w:jc w:val="center"/>
              <w:rPr>
                <w:rFonts w:hint="eastAsia" w:ascii="宋体" w:hAnsi="宋体"/>
              </w:rPr>
            </w:pPr>
            <w:r>
              <w:rPr>
                <w:rFonts w:hint="eastAsia" w:ascii="宋体" w:hAnsi="宋体"/>
              </w:rPr>
              <w:t>履约担保</w:t>
            </w:r>
          </w:p>
        </w:tc>
        <w:tc>
          <w:tcPr>
            <w:tcW w:w="4980" w:type="dxa"/>
            <w:vAlign w:val="center"/>
          </w:tcPr>
          <w:p w14:paraId="6EC8165E">
            <w:pPr>
              <w:jc w:val="left"/>
            </w:pPr>
            <w:r>
              <w:rPr>
                <w:rFonts w:hint="eastAsia" w:ascii="宋体" w:hAnsi="宋体"/>
              </w:rPr>
              <w:t>需要，</w:t>
            </w:r>
            <w:r>
              <w:rPr>
                <w:rFonts w:hint="eastAsia"/>
              </w:rPr>
              <w:t xml:space="preserve">合同金额的  </w:t>
            </w:r>
            <w:r>
              <w:rPr>
                <w:rFonts w:hint="eastAsia"/>
                <w:lang w:val="en-US" w:eastAsia="zh-CN"/>
              </w:rPr>
              <w:t>5</w:t>
            </w:r>
            <w:r>
              <w:rPr>
                <w:rFonts w:hint="eastAsia"/>
              </w:rPr>
              <w:t xml:space="preserve">  %，投标供应商自主选择以支票、汇票、本票、保函等非现金形式缴纳或提交。履约保证金在中标人履行完成合同约定权利义务事项</w:t>
            </w:r>
            <w:r>
              <w:rPr>
                <w:rFonts w:hint="eastAsia"/>
                <w:lang w:val="en-US" w:eastAsia="zh-CN"/>
              </w:rPr>
              <w:t>后按</w:t>
            </w:r>
            <w:r>
              <w:rPr>
                <w:rFonts w:hint="eastAsia"/>
              </w:rPr>
              <w:t>原方式退还，不计利息。采购人逾期退还履约保证金的，向中标人每日偿付履约保证金的0.5‰的利息。因中标人原因而未能达到本项目验收标准或验收不通过的，履约保证金不予退还。</w:t>
            </w:r>
          </w:p>
        </w:tc>
      </w:tr>
    </w:tbl>
    <w:p w14:paraId="58AC88AE">
      <w:pPr>
        <w:rPr>
          <w:b/>
        </w:rPr>
      </w:pPr>
      <w:r>
        <w:rPr>
          <w:rFonts w:hint="eastAsia"/>
          <w:szCs w:val="21"/>
        </w:rPr>
        <w:t>备注：本表是通用条款相关条款的补充和明确，如与通用条款内容相冲突的，以本表为准。</w:t>
      </w:r>
    </w:p>
    <w:bookmarkEnd w:id="32"/>
    <w:p w14:paraId="6507F8AB">
      <w:pPr>
        <w:pStyle w:val="8"/>
        <w:spacing w:before="120" w:beforeLines="50" w:after="120" w:afterLines="50"/>
        <w:rPr>
          <w:rFonts w:hint="eastAsia"/>
          <w:szCs w:val="24"/>
        </w:rPr>
      </w:pPr>
      <w:bookmarkStart w:id="34" w:name="_Hlk72218117"/>
      <w:r>
        <w:rPr>
          <w:rFonts w:hint="eastAsia"/>
          <w:szCs w:val="24"/>
        </w:rPr>
        <w:t>二、其他关键信息</w:t>
      </w:r>
    </w:p>
    <w:p w14:paraId="012CA4E1">
      <w:pPr>
        <w:ind w:firstLine="422" w:firstLineChars="200"/>
        <w:rPr>
          <w:b/>
          <w:bCs/>
        </w:rPr>
      </w:pPr>
      <w:bookmarkStart w:id="35" w:name="_Hlk72579427"/>
      <w:r>
        <w:rPr>
          <w:rFonts w:hint="eastAsia"/>
          <w:b/>
          <w:bCs/>
        </w:rPr>
        <w:t>（一）与“对通用条款的补充内容”章节相关的事项</w:t>
      </w:r>
    </w:p>
    <w:p w14:paraId="6630783E">
      <w:pPr>
        <w:spacing w:line="276" w:lineRule="auto"/>
        <w:ind w:firstLine="422" w:firstLineChars="200"/>
        <w:jc w:val="left"/>
        <w:rPr>
          <w:rFonts w:hint="eastAsia"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6A53CF7C">
      <w:pPr>
        <w:jc w:val="center"/>
      </w:pPr>
      <w:r>
        <w:rPr>
          <w:rFonts w:hint="eastAsia"/>
          <w:b/>
        </w:rPr>
        <w:t>非评定分离项目</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90"/>
        <w:gridCol w:w="4537"/>
      </w:tblGrid>
      <w:tr w14:paraId="169A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pct"/>
          </w:tcPr>
          <w:p w14:paraId="14058A14">
            <w:pPr>
              <w:jc w:val="center"/>
            </w:pPr>
            <w:r>
              <w:rPr>
                <w:rFonts w:hint="eastAsia"/>
              </w:rPr>
              <w:t>评标方法</w:t>
            </w:r>
          </w:p>
        </w:tc>
        <w:tc>
          <w:tcPr>
            <w:tcW w:w="2660" w:type="pct"/>
          </w:tcPr>
          <w:p w14:paraId="06FF446C">
            <w:pPr>
              <w:jc w:val="center"/>
            </w:pPr>
            <w:r>
              <w:rPr>
                <w:rFonts w:hint="eastAsia"/>
              </w:rPr>
              <w:t>综合评分法</w:t>
            </w:r>
          </w:p>
        </w:tc>
      </w:tr>
      <w:tr w14:paraId="2C84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pct"/>
          </w:tcPr>
          <w:p w14:paraId="2F01F4AC">
            <w:pPr>
              <w:jc w:val="center"/>
            </w:pPr>
            <w:r>
              <w:rPr>
                <w:rFonts w:hint="eastAsia"/>
              </w:rPr>
              <w:t>候选中标供应商家数</w:t>
            </w:r>
          </w:p>
        </w:tc>
        <w:tc>
          <w:tcPr>
            <w:tcW w:w="2660" w:type="pct"/>
          </w:tcPr>
          <w:p w14:paraId="2DB0ED53">
            <w:pPr>
              <w:jc w:val="center"/>
            </w:pPr>
            <w:r>
              <w:rPr>
                <w:rFonts w:hint="eastAsia"/>
              </w:rPr>
              <w:t>3</w:t>
            </w:r>
          </w:p>
        </w:tc>
      </w:tr>
      <w:tr w14:paraId="128F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pct"/>
          </w:tcPr>
          <w:p w14:paraId="2B3F96D8">
            <w:pPr>
              <w:jc w:val="center"/>
            </w:pPr>
            <w:r>
              <w:rPr>
                <w:rFonts w:hint="eastAsia"/>
              </w:rPr>
              <w:t>中标供应商家数</w:t>
            </w:r>
          </w:p>
        </w:tc>
        <w:tc>
          <w:tcPr>
            <w:tcW w:w="2660" w:type="pct"/>
          </w:tcPr>
          <w:p w14:paraId="2D23F789">
            <w:pPr>
              <w:jc w:val="center"/>
            </w:pPr>
            <w:r>
              <w:rPr>
                <w:rFonts w:hint="eastAsia"/>
              </w:rPr>
              <w:t>1</w:t>
            </w:r>
          </w:p>
        </w:tc>
      </w:tr>
    </w:tbl>
    <w:p w14:paraId="5C3D9BED">
      <w:pPr>
        <w:ind w:firstLine="422" w:firstLineChars="200"/>
        <w:rPr>
          <w:b/>
        </w:rPr>
      </w:pPr>
    </w:p>
    <w:bookmarkEnd w:id="34"/>
    <w:bookmarkEnd w:id="35"/>
    <w:p w14:paraId="485742FC">
      <w:pPr>
        <w:ind w:firstLine="422" w:firstLineChars="200"/>
        <w:rPr>
          <w:b/>
        </w:rPr>
      </w:pPr>
      <w:r>
        <w:rPr>
          <w:rFonts w:hint="eastAsia"/>
          <w:b/>
        </w:rPr>
        <w:t>（二）政府采购政策的有关事项说明</w:t>
      </w:r>
    </w:p>
    <w:p w14:paraId="03002B19">
      <w:pPr>
        <w:ind w:firstLine="422" w:firstLineChars="200"/>
        <w:rPr>
          <w:b/>
          <w:bCs/>
        </w:rPr>
      </w:pPr>
      <w:r>
        <w:rPr>
          <w:b/>
          <w:bCs/>
        </w:rPr>
        <w:t>1</w:t>
      </w:r>
      <w:r>
        <w:rPr>
          <w:rFonts w:hint="eastAsia"/>
          <w:b/>
          <w:bCs/>
        </w:rPr>
        <w:t>、关于享受中小企业扶持政策的主体、价格扣除比例及采购标的所属行业等事项的说明</w:t>
      </w:r>
    </w:p>
    <w:p w14:paraId="102D5817">
      <w:pPr>
        <w:ind w:firstLine="630" w:firstLineChars="300"/>
      </w:pPr>
      <w:r>
        <w:rPr>
          <w:rFonts w:hint="eastAsia"/>
        </w:rPr>
        <w:t>（1）适用主体：中型企业、小型、微型企业（残疾人福利性单位视同小型、微型企业；监狱企业视同小型、微型企业）。接受联合体的项目，供应商以联合体形式参加政府采购活动，联合体各方均为中小企业的，联合体视同中小企业。其中，联合体各方均为小微企业的，联合体视同小微企业。</w:t>
      </w:r>
    </w:p>
    <w:p w14:paraId="32C98C22">
      <w:pPr>
        <w:pStyle w:val="39"/>
        <w:ind w:firstLine="420" w:firstLineChars="200"/>
      </w:pPr>
      <w:r>
        <w:rPr>
          <w:rFonts w:hint="eastAsia"/>
        </w:rPr>
        <w:t>备注：（a）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b）在货物采购项目中，货物由中小企业制造，即货物由中小企业生产且使用该中小企业商号或者注册商标（供应商提供的货物既有中小企业制造货物，也有大型企业制造货物的，不享受中小企业扶持政策）；在工程采购项目中，工程由中小企业承建，即工程施工单位为中小企业；在服务采购项目中，服务由中小企业承接，即提供服务的人员为中小企业依照《中华人民共和国劳动合同法》订立劳动合同的从业人员。</w:t>
      </w:r>
    </w:p>
    <w:p w14:paraId="23A9B4CF">
      <w:pPr>
        <w:ind w:firstLine="630" w:firstLineChars="300"/>
      </w:pPr>
      <w:r>
        <w:rPr>
          <w:rFonts w:hint="eastAsia"/>
        </w:rPr>
        <w:t>（2）预留份额专门面向中小企业采购的项目，不再执行价格扣除比例。</w:t>
      </w:r>
    </w:p>
    <w:p w14:paraId="32929F15">
      <w:pPr>
        <w:ind w:firstLine="630" w:firstLineChars="300"/>
      </w:pPr>
      <w:r>
        <w:rPr>
          <w:rFonts w:hint="eastAsia"/>
        </w:rPr>
        <w:t>（3）未预留份额专门面向中小企业采购的项目，应执行价格扣除比例：投标人提供的货物（以招标文件用户需求书“货物清单明细”的“货物名称”一栏为准）</w:t>
      </w:r>
      <w:r>
        <w:rPr>
          <w:rFonts w:hint="eastAsia"/>
          <w:b/>
          <w:bCs/>
          <w:color w:val="FF0000"/>
        </w:rPr>
        <w:t>全部均由小型、微型企业制造</w:t>
      </w:r>
      <w:r>
        <w:rPr>
          <w:rFonts w:hint="eastAsia"/>
        </w:rPr>
        <w:t>，则对其投标总价给予</w:t>
      </w:r>
      <w:r>
        <w:rPr>
          <w:b/>
          <w:bCs/>
          <w:color w:val="FF0000"/>
          <w:u w:val="single"/>
        </w:rPr>
        <w:t xml:space="preserve">  </w:t>
      </w:r>
      <w:r>
        <w:rPr>
          <w:rFonts w:hint="eastAsia"/>
          <w:b/>
          <w:bCs/>
          <w:color w:val="FF0000"/>
          <w:u w:val="single"/>
        </w:rPr>
        <w:t xml:space="preserve">   10 </w:t>
      </w:r>
      <w:r>
        <w:rPr>
          <w:b/>
          <w:bCs/>
          <w:color w:val="FF0000"/>
          <w:u w:val="single"/>
        </w:rPr>
        <w:t xml:space="preserve">  </w:t>
      </w:r>
      <w:r>
        <w:rPr>
          <w:rFonts w:hint="eastAsia"/>
          <w:b/>
          <w:bCs/>
          <w:color w:val="FF0000"/>
          <w:u w:val="single"/>
        </w:rPr>
        <w:t xml:space="preserve"> </w:t>
      </w:r>
      <w:r>
        <w:rPr>
          <w:rFonts w:hint="eastAsia"/>
          <w:b/>
          <w:bCs/>
          <w:color w:val="FF0000"/>
        </w:rPr>
        <w:t xml:space="preserve"> </w:t>
      </w:r>
      <w:r>
        <w:rPr>
          <w:b/>
          <w:bCs/>
          <w:color w:val="FF0000"/>
        </w:rPr>
        <w:t>%</w:t>
      </w:r>
      <w:r>
        <w:rPr>
          <w:rFonts w:hint="eastAsia"/>
          <w:color w:val="000000" w:themeColor="text1"/>
          <w14:textFill>
            <w14:solidFill>
              <w14:schemeClr w14:val="tx1"/>
            </w14:solidFill>
          </w14:textFill>
        </w:rPr>
        <w:t>（10%~20%）</w:t>
      </w:r>
      <w:r>
        <w:rPr>
          <w:rFonts w:hint="eastAsia"/>
        </w:rPr>
        <w:t>的扣除，用扣除后的价格参与评审。</w:t>
      </w:r>
    </w:p>
    <w:p w14:paraId="4BEAAB54">
      <w:pPr>
        <w:ind w:firstLine="630" w:firstLineChars="300"/>
        <w:rPr>
          <w:rFonts w:hint="eastAsia" w:asciiTheme="minorEastAsia" w:hAnsiTheme="minorEastAsia" w:eastAsiaTheme="minorEastAsia" w:cstheme="minorEastAsia"/>
          <w:b/>
          <w:bCs/>
          <w:color w:val="FF0000"/>
          <w:szCs w:val="21"/>
        </w:rPr>
      </w:pPr>
      <w:bookmarkStart w:id="36" w:name="_Hlk71970739"/>
      <w:r>
        <w:rPr>
          <w:rFonts w:hint="eastAsia"/>
        </w:rPr>
        <w:t>（4）</w:t>
      </w:r>
      <w:r>
        <w:rPr>
          <w:rFonts w:hint="eastAsia" w:asciiTheme="minorEastAsia" w:hAnsiTheme="minorEastAsia" w:eastAsiaTheme="minorEastAsia" w:cstheme="minorEastAsia"/>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Cs w:val="21"/>
        </w:rPr>
        <w:t>《中小企业声明函》中相关企业（货物制造商）所属行业应当与采购标的所属行业相一致，</w:t>
      </w:r>
      <w:r>
        <w:rPr>
          <w:rFonts w:hint="eastAsia"/>
          <w:b/>
          <w:bCs/>
          <w:color w:val="FF0000"/>
        </w:rPr>
        <w:t>标的所属行业以招标文件第一册第三章用户需求书“货物清单明细”的“标的所属行业”一栏为准</w:t>
      </w:r>
      <w:r>
        <w:rPr>
          <w:rFonts w:hint="eastAsia" w:asciiTheme="minorEastAsia" w:hAnsiTheme="minorEastAsia" w:eastAsiaTheme="minorEastAsia" w:cstheme="minorEastAsia"/>
          <w:b/>
          <w:bCs/>
          <w:color w:val="FF0000"/>
          <w:szCs w:val="21"/>
        </w:rPr>
        <w:t>。</w:t>
      </w:r>
    </w:p>
    <w:bookmarkEnd w:id="36"/>
    <w:p w14:paraId="1053FC94">
      <w:pPr>
        <w:ind w:firstLine="630" w:firstLineChars="300"/>
      </w:pPr>
      <w:r>
        <w:rPr>
          <w:rFonts w:hint="eastAsia" w:asciiTheme="minorEastAsia" w:hAnsiTheme="minorEastAsia" w:eastAsiaTheme="minorEastAsia" w:cstheme="minorEastAsia"/>
          <w:szCs w:val="21"/>
        </w:rPr>
        <w:t>（5）中型企业、小型、微型企业为优惠主体的认定资料为《中小企业声明函》；残疾人福利性单位为优惠主体的认定资料为《残疾人福利性单</w:t>
      </w:r>
      <w:r>
        <w:rPr>
          <w:rFonts w:hint="eastAsia"/>
        </w:rPr>
        <w:t>位声明函》；监狱企业为优惠主体的认定资料为省级以上监狱管理局、戒毒管理局出具的监狱企业证明文件。声明函样式见本招标文件第一册专用条款“第四章  投标文件组成要求及格式”中“三、投标人情况及资格证明文件”章节提供的格式）。</w:t>
      </w:r>
    </w:p>
    <w:p w14:paraId="1FD13AE8">
      <w:pPr>
        <w:ind w:firstLine="630" w:firstLineChars="300"/>
        <w:rPr>
          <w:color w:val="FF0000"/>
        </w:rPr>
      </w:pPr>
      <w:r>
        <w:rPr>
          <w:rFonts w:hint="eastAsia"/>
        </w:rPr>
        <w:t>（6）依据《</w:t>
      </w:r>
      <w:r>
        <w:rPr>
          <w:rFonts w:hint="eastAsia" w:asciiTheme="minorEastAsia" w:hAnsiTheme="minorEastAsia" w:eastAsiaTheme="minorEastAsia" w:cstheme="minorEastAsia"/>
          <w:szCs w:val="21"/>
        </w:rPr>
        <w:t>政府采购促进中小企业发展管理办法》</w:t>
      </w:r>
      <w:r>
        <w:rPr>
          <w:rFonts w:hint="eastAsia"/>
        </w:rPr>
        <w:t>规定享受扶持政策获得政府采购合同的，小微企业不得将合同分包给大中型企业，中型企业不得将合同分包给大型企业。</w:t>
      </w:r>
    </w:p>
    <w:p w14:paraId="431F63B9">
      <w:pPr>
        <w:ind w:firstLine="422" w:firstLineChars="200"/>
        <w:rPr>
          <w:b/>
          <w:bCs/>
        </w:rPr>
      </w:pPr>
      <w:r>
        <w:rPr>
          <w:rFonts w:hint="eastAsia"/>
          <w:b/>
          <w:bCs/>
        </w:rPr>
        <w:t>2、关于享受对本国产品的政府采购支持政策的主体、价格扣除比例等事项的说明</w:t>
      </w:r>
    </w:p>
    <w:p w14:paraId="07CE453C">
      <w:pPr>
        <w:ind w:firstLine="420" w:firstLineChars="200"/>
      </w:pPr>
      <w:r>
        <w:rPr>
          <w:rFonts w:hint="eastAsia"/>
        </w:rPr>
        <w:t>（1）适用主体：国有企业、民营企业、外资企业等各类经营主体平等享受对本国产品的政府采购支持政策。</w:t>
      </w:r>
    </w:p>
    <w:p w14:paraId="5A617404">
      <w:pPr>
        <w:pStyle w:val="39"/>
        <w:ind w:firstLine="420" w:firstLineChars="200"/>
        <w:rPr>
          <w:rFonts w:ascii="Times New Roman" w:hAnsi="Times New Roman"/>
          <w:szCs w:val="24"/>
        </w:rPr>
      </w:pPr>
      <w:r>
        <w:rPr>
          <w:rFonts w:hint="eastAsia" w:ascii="Times New Roman" w:hAnsi="Times New Roman"/>
          <w:szCs w:val="24"/>
        </w:rPr>
        <w:t>（2）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273C06B">
      <w:pPr>
        <w:pStyle w:val="39"/>
        <w:ind w:firstLine="420" w:firstLineChars="200"/>
        <w:rPr>
          <w:rFonts w:ascii="Times New Roman" w:hAnsi="Times New Roman"/>
          <w:szCs w:val="24"/>
        </w:rPr>
      </w:pPr>
      <w:r>
        <w:rPr>
          <w:rFonts w:hint="eastAsia" w:ascii="Times New Roman" w:hAnsi="Times New Roman"/>
          <w:szCs w:val="24"/>
        </w:rPr>
        <w:t>（3）价格扣除：政府采购活动中既有本国产品又有非本国产品参与竞争的，依法对本国产品给予价格评审优惠，</w:t>
      </w:r>
      <w:r>
        <w:rPr>
          <w:rFonts w:hint="eastAsia" w:ascii="Times New Roman" w:hAnsi="Times New Roman"/>
          <w:b/>
          <w:bCs/>
          <w:color w:val="FF0000"/>
          <w:szCs w:val="24"/>
        </w:rPr>
        <w:t>对本国产品的报价给予20%的价格扣除</w:t>
      </w:r>
      <w:r>
        <w:rPr>
          <w:rFonts w:hint="eastAsia" w:ascii="Times New Roman" w:hAnsi="Times New Roman"/>
          <w:color w:val="000000" w:themeColor="text1"/>
          <w:szCs w:val="24"/>
          <w14:textFill>
            <w14:solidFill>
              <w14:schemeClr w14:val="tx1"/>
            </w14:solidFill>
          </w14:textFill>
        </w:rPr>
        <w:t>，</w:t>
      </w:r>
      <w:r>
        <w:rPr>
          <w:rFonts w:hint="eastAsia" w:ascii="Times New Roman" w:hAnsi="Times New Roman"/>
          <w:szCs w:val="24"/>
        </w:rPr>
        <w:t>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w:t>
      </w:r>
      <w:r>
        <w:rPr>
          <w:rFonts w:hint="eastAsia" w:ascii="Times New Roman" w:hAnsi="Times New Roman"/>
          <w:b/>
          <w:bCs/>
          <w:color w:val="FF0000"/>
          <w:szCs w:val="24"/>
        </w:rPr>
        <w:t>总报价给予20%的价格扣除</w:t>
      </w:r>
      <w:r>
        <w:rPr>
          <w:rFonts w:hint="eastAsia" w:ascii="Times New Roman" w:hAnsi="Times New Roman"/>
          <w:szCs w:val="24"/>
        </w:rPr>
        <w:t>，用扣除后的价格参与评审。</w:t>
      </w:r>
    </w:p>
    <w:p w14:paraId="40080D9D">
      <w:pPr>
        <w:pStyle w:val="39"/>
        <w:ind w:firstLine="420" w:firstLineChars="200"/>
      </w:pPr>
      <w:r>
        <w:rPr>
          <w:rFonts w:hint="eastAsia" w:ascii="Times New Roman" w:hAnsi="Times New Roman"/>
          <w:szCs w:val="24"/>
        </w:rPr>
        <w:t>（4）供应商出具符合要求的《关于符合本国产品标准的声明函》或财政部会同有关部门规定的有关证明文件，该产品视为本国产品。</w:t>
      </w:r>
      <w:r>
        <w:rPr>
          <w:rFonts w:hint="eastAsia"/>
        </w:rPr>
        <w:t>声明函样式见本招标文件第一册专用条款“第四章  投标文件组成要求及格式”中“三、投标人情况及资格证明文件”章节提供的格式）。</w:t>
      </w:r>
    </w:p>
    <w:p w14:paraId="0A602020">
      <w:pPr>
        <w:pStyle w:val="39"/>
        <w:ind w:firstLine="422" w:firstLineChars="200"/>
        <w:rPr>
          <w:b/>
          <w:bCs/>
        </w:rPr>
      </w:pPr>
      <w:r>
        <w:rPr>
          <w:rFonts w:hint="eastAsia"/>
          <w:b/>
          <w:bCs/>
        </w:rPr>
        <w:t>3、关于同时满足中小企业扶持政策和对本国产品的支持政策的事项说明</w:t>
      </w:r>
    </w:p>
    <w:p w14:paraId="307EE9BB">
      <w:pPr>
        <w:pStyle w:val="39"/>
        <w:ind w:firstLine="420" w:firstLineChars="200"/>
        <w:rPr>
          <w:rFonts w:ascii="Times New Roman" w:hAnsi="Times New Roman"/>
          <w:szCs w:val="24"/>
        </w:rPr>
      </w:pPr>
      <w:r>
        <w:rPr>
          <w:rFonts w:hint="eastAsia" w:ascii="Times New Roman" w:hAnsi="Times New Roman"/>
          <w:szCs w:val="24"/>
        </w:rPr>
        <w:t>本国产品政策实施后，政府采购活动中既有本国产品又有非本国产品参与竞争的，依法对本国产品给予价格评审优惠，对本国产品的报价给予20%的价格扣除，用扣除后的价格参与评审。</w:t>
      </w:r>
      <w:r>
        <w:rPr>
          <w:rFonts w:hint="eastAsia" w:ascii="Times New Roman" w:hAnsi="Times New Roman"/>
          <w:b/>
          <w:bCs/>
          <w:color w:val="FF0000"/>
          <w:szCs w:val="24"/>
        </w:rPr>
        <w:t>同时，若提供本国产品的供应商也符合政府采购支持中小企业政策，也按规定给与价格评审优惠。需要说明的是，相关价格评审扣除优惠，都应该在供应商报价基础上计算。</w:t>
      </w:r>
      <w:r>
        <w:rPr>
          <w:rFonts w:hint="eastAsia" w:ascii="Times New Roman" w:hAnsi="Times New Roman"/>
          <w:szCs w:val="24"/>
        </w:rPr>
        <w:t>例如:某一供应商的产品报价100元，其提供的产品符合本国产品标准，同时按照采购文件规定也享受对小微企业的10%的价格扣除优惠。则对其报价按规定进行两次扣除，用扣除后的价格参与评审。其参与评审的价格为100-100x20%-100x10%=70元。具体情形如下：</w:t>
      </w:r>
    </w:p>
    <w:p w14:paraId="5B5829D3">
      <w:pPr>
        <w:pStyle w:val="39"/>
        <w:ind w:firstLine="420" w:firstLineChars="200"/>
        <w:rPr>
          <w:rFonts w:ascii="Times New Roman" w:hAnsi="Times New Roman"/>
          <w:szCs w:val="24"/>
        </w:rPr>
      </w:pPr>
      <w:r>
        <w:rPr>
          <w:rFonts w:hint="eastAsia" w:ascii="Times New Roman" w:hAnsi="Times New Roman"/>
          <w:szCs w:val="24"/>
        </w:rPr>
        <w:t>（1）预留份额专门面向中小企业采购的项目，不再享受小微企业价格扣除优惠。若供应商所投货物同时满足对本国产品的支持政策的规定，应享受该政策20%价格扣除优惠；</w:t>
      </w:r>
    </w:p>
    <w:p w14:paraId="4BBAA0BD">
      <w:pPr>
        <w:pStyle w:val="39"/>
        <w:ind w:firstLine="420" w:firstLineChars="200"/>
        <w:rPr>
          <w:rFonts w:ascii="Times New Roman" w:hAnsi="Times New Roman"/>
          <w:szCs w:val="24"/>
        </w:rPr>
      </w:pPr>
      <w:r>
        <w:rPr>
          <w:rFonts w:hint="eastAsia" w:ascii="Times New Roman" w:hAnsi="Times New Roman"/>
          <w:szCs w:val="24"/>
        </w:rPr>
        <w:t>（2）未预留份额专门面向中小企业采购的项目，供应商同时满足小微企业和所投产品符合本国产品支持政策规定的，应同时对该供应商投标总报价给予多项价格扣除优惠，用扣除后的价格参与评审。</w:t>
      </w:r>
    </w:p>
    <w:p w14:paraId="1C570832">
      <w:pPr>
        <w:pStyle w:val="39"/>
        <w:ind w:firstLine="422" w:firstLineChars="200"/>
        <w:rPr>
          <w:b/>
          <w:bCs/>
        </w:rPr>
      </w:pPr>
      <w:r>
        <w:rPr>
          <w:rFonts w:hint="eastAsia"/>
          <w:b/>
          <w:bCs/>
        </w:rPr>
        <w:t>4、</w:t>
      </w:r>
      <w:r>
        <w:rPr>
          <w:b/>
          <w:bCs/>
        </w:rPr>
        <w:t>上述支持政策不改变最终中标</w:t>
      </w:r>
      <w:r>
        <w:rPr>
          <w:rFonts w:hint="eastAsia"/>
          <w:b/>
          <w:bCs/>
        </w:rPr>
        <w:t>（</w:t>
      </w:r>
      <w:r>
        <w:rPr>
          <w:b/>
          <w:bCs/>
        </w:rPr>
        <w:t>成交</w:t>
      </w:r>
      <w:r>
        <w:rPr>
          <w:rFonts w:hint="eastAsia"/>
          <w:b/>
          <w:bCs/>
        </w:rPr>
        <w:t>）</w:t>
      </w:r>
      <w:r>
        <w:rPr>
          <w:b/>
          <w:bCs/>
        </w:rPr>
        <w:t>价格，政府采购合同仍按照中标</w:t>
      </w:r>
      <w:r>
        <w:rPr>
          <w:rFonts w:hint="eastAsia"/>
          <w:b/>
          <w:bCs/>
        </w:rPr>
        <w:t>（</w:t>
      </w:r>
      <w:r>
        <w:rPr>
          <w:b/>
          <w:bCs/>
        </w:rPr>
        <w:t>成交</w:t>
      </w:r>
      <w:r>
        <w:rPr>
          <w:rFonts w:hint="eastAsia"/>
          <w:b/>
          <w:bCs/>
        </w:rPr>
        <w:t>）</w:t>
      </w:r>
      <w:r>
        <w:rPr>
          <w:b/>
          <w:bCs/>
        </w:rPr>
        <w:t>供应商的报价签订。</w:t>
      </w:r>
    </w:p>
    <w:p w14:paraId="5C09F9B4">
      <w:pPr>
        <w:ind w:firstLine="422" w:firstLineChars="200"/>
        <w:rPr>
          <w:b/>
        </w:rPr>
      </w:pPr>
    </w:p>
    <w:p w14:paraId="1F8D45CE">
      <w:pPr>
        <w:ind w:firstLine="422" w:firstLineChars="200"/>
        <w:rPr>
          <w:b/>
          <w:bCs/>
        </w:rPr>
      </w:pPr>
      <w:r>
        <w:rPr>
          <w:rFonts w:hint="eastAsia"/>
          <w:b/>
        </w:rPr>
        <w:t>（三）代理服务费</w:t>
      </w:r>
    </w:p>
    <w:p w14:paraId="440F0639">
      <w:pPr>
        <w:ind w:firstLine="422" w:firstLineChars="200"/>
        <w:rPr>
          <w:b/>
          <w:bCs/>
        </w:rPr>
      </w:pPr>
      <w:r>
        <w:rPr>
          <w:rFonts w:hint="eastAsia"/>
          <w:b/>
          <w:bCs/>
        </w:rPr>
        <w:t>本项目不向中标（成交）供应商收取代理服务费。</w:t>
      </w:r>
    </w:p>
    <w:p w14:paraId="167D2D34">
      <w:pPr>
        <w:rPr>
          <w:sz w:val="28"/>
          <w:szCs w:val="28"/>
        </w:rPr>
      </w:pPr>
      <w:r>
        <w:rPr>
          <w:rFonts w:hint="eastAsia"/>
          <w:sz w:val="28"/>
          <w:szCs w:val="28"/>
        </w:rPr>
        <w:br w:type="page"/>
      </w:r>
    </w:p>
    <w:p w14:paraId="6FCAFC9B">
      <w:pPr>
        <w:pStyle w:val="8"/>
        <w:rPr>
          <w:rFonts w:hint="eastAsia"/>
          <w:sz w:val="28"/>
          <w:szCs w:val="28"/>
        </w:rPr>
      </w:pPr>
      <w:r>
        <w:rPr>
          <w:rFonts w:hint="eastAsia"/>
          <w:sz w:val="28"/>
          <w:szCs w:val="28"/>
        </w:rPr>
        <w:t>第三章 用户需求书</w:t>
      </w:r>
    </w:p>
    <w:p w14:paraId="309D8959">
      <w:pPr>
        <w:pStyle w:val="8"/>
        <w:spacing w:before="120" w:beforeLines="50" w:after="120" w:afterLines="50"/>
        <w:rPr>
          <w:rFonts w:hint="eastAsia"/>
          <w:szCs w:val="24"/>
        </w:rPr>
      </w:pPr>
      <w:r>
        <w:rPr>
          <w:rFonts w:hint="eastAsia"/>
          <w:szCs w:val="24"/>
        </w:rPr>
        <w:t>一、项目基本信息</w:t>
      </w:r>
    </w:p>
    <w:p w14:paraId="150645AB">
      <w:pPr>
        <w:rPr>
          <w:rFonts w:hint="eastAsia" w:ascii="宋体" w:hAnsi="宋体"/>
          <w:b/>
          <w:color w:val="FF0000"/>
          <w:szCs w:val="21"/>
        </w:rPr>
      </w:pPr>
    </w:p>
    <w:tbl>
      <w:tblPr>
        <w:tblStyle w:val="21"/>
        <w:tblW w:w="5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1524"/>
        <w:gridCol w:w="2980"/>
        <w:gridCol w:w="2454"/>
        <w:gridCol w:w="2248"/>
      </w:tblGrid>
      <w:tr w14:paraId="399F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 w:type="pct"/>
            <w:vAlign w:val="center"/>
          </w:tcPr>
          <w:p w14:paraId="3F502724">
            <w:pPr>
              <w:jc w:val="center"/>
              <w:rPr>
                <w:b/>
                <w:szCs w:val="21"/>
              </w:rPr>
            </w:pPr>
            <w:r>
              <w:rPr>
                <w:rFonts w:hint="eastAsia"/>
                <w:b/>
                <w:szCs w:val="21"/>
              </w:rPr>
              <w:t>序号</w:t>
            </w:r>
          </w:p>
        </w:tc>
        <w:tc>
          <w:tcPr>
            <w:tcW w:w="789" w:type="pct"/>
            <w:vAlign w:val="center"/>
          </w:tcPr>
          <w:p w14:paraId="0E649EA4">
            <w:pPr>
              <w:jc w:val="center"/>
              <w:rPr>
                <w:b/>
                <w:szCs w:val="21"/>
              </w:rPr>
            </w:pPr>
            <w:r>
              <w:rPr>
                <w:rFonts w:hint="eastAsia"/>
                <w:b/>
                <w:szCs w:val="21"/>
              </w:rPr>
              <w:t>采购计划编号</w:t>
            </w:r>
          </w:p>
        </w:tc>
        <w:tc>
          <w:tcPr>
            <w:tcW w:w="1543" w:type="pct"/>
            <w:vAlign w:val="center"/>
          </w:tcPr>
          <w:p w14:paraId="4AE343BA">
            <w:pPr>
              <w:jc w:val="center"/>
              <w:rPr>
                <w:b/>
                <w:szCs w:val="21"/>
              </w:rPr>
            </w:pPr>
            <w:r>
              <w:rPr>
                <w:rFonts w:hint="eastAsia"/>
                <w:b/>
                <w:szCs w:val="21"/>
              </w:rPr>
              <w:t>采购项目名称</w:t>
            </w:r>
          </w:p>
        </w:tc>
        <w:tc>
          <w:tcPr>
            <w:tcW w:w="1271" w:type="pct"/>
            <w:vAlign w:val="center"/>
          </w:tcPr>
          <w:p w14:paraId="0FF49072">
            <w:pPr>
              <w:jc w:val="center"/>
              <w:rPr>
                <w:rFonts w:hint="eastAsia"/>
                <w:b/>
                <w:bCs/>
                <w:color w:val="FF0000"/>
                <w:szCs w:val="21"/>
              </w:rPr>
            </w:pPr>
            <w:r>
              <w:rPr>
                <w:rFonts w:hint="eastAsia"/>
                <w:b/>
                <w:bCs/>
                <w:color w:val="FF0000"/>
                <w:szCs w:val="21"/>
              </w:rPr>
              <w:t>预算金额（元）</w:t>
            </w:r>
          </w:p>
          <w:p w14:paraId="7FBFFBBE">
            <w:pPr>
              <w:pStyle w:val="2"/>
              <w:ind w:left="0" w:leftChars="0" w:firstLine="0" w:firstLineChars="0"/>
              <w:jc w:val="center"/>
            </w:pPr>
            <w:r>
              <w:rPr>
                <w:rFonts w:hint="eastAsia"/>
                <w:b/>
                <w:bCs/>
                <w:color w:val="FF0000"/>
                <w:szCs w:val="21"/>
                <w:lang w:val="en-US" w:eastAsia="zh-CN"/>
              </w:rPr>
              <w:t>最高支付上限（元）</w:t>
            </w:r>
          </w:p>
        </w:tc>
        <w:tc>
          <w:tcPr>
            <w:tcW w:w="1164" w:type="pct"/>
            <w:vAlign w:val="center"/>
          </w:tcPr>
          <w:p w14:paraId="7C611A49">
            <w:pPr>
              <w:jc w:val="center"/>
              <w:rPr>
                <w:rFonts w:hint="eastAsia"/>
                <w:b/>
                <w:szCs w:val="21"/>
              </w:rPr>
            </w:pPr>
            <w:r>
              <w:rPr>
                <w:rFonts w:hint="eastAsia"/>
                <w:b/>
                <w:bCs/>
                <w:color w:val="FF0000"/>
                <w:szCs w:val="21"/>
              </w:rPr>
              <w:t>最高限价（元）</w:t>
            </w:r>
          </w:p>
        </w:tc>
      </w:tr>
      <w:tr w14:paraId="6CB8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 w:type="pct"/>
            <w:vAlign w:val="center"/>
          </w:tcPr>
          <w:p w14:paraId="7C3CB325">
            <w:pPr>
              <w:jc w:val="center"/>
              <w:rPr>
                <w:bCs/>
                <w:szCs w:val="21"/>
              </w:rPr>
            </w:pPr>
            <w:r>
              <w:rPr>
                <w:rFonts w:hint="eastAsia"/>
                <w:bCs/>
                <w:szCs w:val="21"/>
              </w:rPr>
              <w:t>1</w:t>
            </w:r>
          </w:p>
        </w:tc>
        <w:tc>
          <w:tcPr>
            <w:tcW w:w="789" w:type="pct"/>
            <w:vAlign w:val="center"/>
          </w:tcPr>
          <w:p w14:paraId="5DE998E3">
            <w:pPr>
              <w:jc w:val="center"/>
              <w:rPr>
                <w:bCs/>
                <w:szCs w:val="21"/>
              </w:rPr>
            </w:pPr>
          </w:p>
        </w:tc>
        <w:tc>
          <w:tcPr>
            <w:tcW w:w="1543" w:type="pct"/>
            <w:vAlign w:val="center"/>
          </w:tcPr>
          <w:p w14:paraId="7525C0A1">
            <w:pPr>
              <w:jc w:val="center"/>
              <w:rPr>
                <w:rFonts w:hint="eastAsia" w:eastAsia="宋体"/>
                <w:bCs/>
                <w:szCs w:val="21"/>
                <w:lang w:eastAsia="zh-CN"/>
              </w:rPr>
            </w:pPr>
            <w:r>
              <w:rPr>
                <w:rFonts w:hint="eastAsia"/>
                <w:bCs/>
                <w:szCs w:val="21"/>
                <w:lang w:eastAsia="zh-CN"/>
              </w:rPr>
              <w:t>深圳市第三人民医院新建宿舍家具采购</w:t>
            </w:r>
          </w:p>
        </w:tc>
        <w:tc>
          <w:tcPr>
            <w:tcW w:w="1271" w:type="pct"/>
            <w:vAlign w:val="center"/>
          </w:tcPr>
          <w:p w14:paraId="4C84D4D3">
            <w:pPr>
              <w:jc w:val="center"/>
              <w:rPr>
                <w:bCs/>
                <w:szCs w:val="21"/>
              </w:rPr>
            </w:pPr>
            <w:r>
              <w:rPr>
                <w:rFonts w:hint="eastAsia"/>
                <w:bCs/>
                <w:color w:val="FF0000"/>
                <w:szCs w:val="21"/>
                <w:lang w:val="en-US" w:eastAsia="zh-CN"/>
              </w:rPr>
              <w:t>8308800</w:t>
            </w:r>
          </w:p>
        </w:tc>
        <w:tc>
          <w:tcPr>
            <w:tcW w:w="1164" w:type="pct"/>
            <w:vAlign w:val="center"/>
          </w:tcPr>
          <w:p w14:paraId="7837DA9A">
            <w:pPr>
              <w:jc w:val="center"/>
              <w:rPr>
                <w:rFonts w:hint="eastAsia"/>
                <w:bCs/>
                <w:szCs w:val="21"/>
              </w:rPr>
            </w:pPr>
            <w:r>
              <w:rPr>
                <w:rFonts w:hint="eastAsia"/>
                <w:bCs/>
                <w:color w:val="FF0000"/>
                <w:szCs w:val="21"/>
                <w:lang w:val="en-US" w:eastAsia="zh-CN"/>
              </w:rPr>
              <w:t>8308800</w:t>
            </w:r>
          </w:p>
        </w:tc>
      </w:tr>
    </w:tbl>
    <w:p w14:paraId="4B01BCF5">
      <w:pPr>
        <w:rPr>
          <w:rFonts w:hint="eastAsia" w:ascii="宋体" w:hAnsi="宋体"/>
          <w:b/>
          <w:szCs w:val="21"/>
        </w:rPr>
      </w:pPr>
    </w:p>
    <w:p w14:paraId="3173DCAD">
      <w:pPr>
        <w:pStyle w:val="8"/>
        <w:spacing w:before="120" w:beforeLines="50" w:after="120" w:afterLines="50"/>
        <w:rPr>
          <w:rFonts w:hint="eastAsia"/>
          <w:szCs w:val="24"/>
        </w:rPr>
      </w:pPr>
      <w:bookmarkStart w:id="37" w:name="_Hlk72258617"/>
      <w:r>
        <w:rPr>
          <w:rFonts w:hint="eastAsia"/>
          <w:szCs w:val="24"/>
        </w:rPr>
        <w:t>二、货物清单明细</w:t>
      </w:r>
    </w:p>
    <w:tbl>
      <w:tblPr>
        <w:tblStyle w:val="22"/>
        <w:tblW w:w="906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615"/>
        <w:gridCol w:w="1827"/>
        <w:gridCol w:w="1125"/>
        <w:gridCol w:w="552"/>
        <w:gridCol w:w="696"/>
        <w:gridCol w:w="660"/>
        <w:gridCol w:w="696"/>
        <w:gridCol w:w="812"/>
        <w:gridCol w:w="826"/>
        <w:gridCol w:w="742"/>
      </w:tblGrid>
      <w:tr w14:paraId="3E7A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45938D71">
            <w:pPr>
              <w:widowControl/>
              <w:snapToGrid w:val="0"/>
              <w:jc w:val="center"/>
              <w:textAlignment w:val="center"/>
              <w:rPr>
                <w:rFonts w:hint="eastAsia" w:hAnsi="宋体" w:cs="宋体"/>
                <w:b/>
                <w:bCs/>
                <w:color w:val="000000"/>
                <w:kern w:val="0"/>
                <w:szCs w:val="21"/>
              </w:rPr>
            </w:pPr>
            <w:bookmarkStart w:id="38" w:name="OLE_LINK1"/>
            <w:r>
              <w:rPr>
                <w:rFonts w:hint="eastAsia" w:hAnsi="宋体" w:cs="宋体"/>
                <w:b/>
                <w:bCs/>
                <w:color w:val="000000"/>
                <w:kern w:val="0"/>
                <w:szCs w:val="21"/>
              </w:rPr>
              <w:t>序号</w:t>
            </w:r>
          </w:p>
        </w:tc>
        <w:tc>
          <w:tcPr>
            <w:tcW w:w="615" w:type="dxa"/>
            <w:vAlign w:val="center"/>
          </w:tcPr>
          <w:p w14:paraId="33B24820">
            <w:pPr>
              <w:widowControl/>
              <w:snapToGrid w:val="0"/>
              <w:jc w:val="center"/>
              <w:textAlignment w:val="center"/>
              <w:rPr>
                <w:rFonts w:hint="eastAsia" w:hAnsi="宋体" w:cs="宋体"/>
                <w:b/>
                <w:bCs/>
                <w:color w:val="000000"/>
                <w:kern w:val="0"/>
                <w:szCs w:val="21"/>
              </w:rPr>
            </w:pPr>
            <w:r>
              <w:rPr>
                <w:rFonts w:hint="eastAsia" w:hAnsi="宋体" w:cs="宋体"/>
                <w:b/>
                <w:bCs/>
                <w:color w:val="000000"/>
                <w:kern w:val="0"/>
                <w:szCs w:val="21"/>
              </w:rPr>
              <w:t>采购计划编号</w:t>
            </w:r>
          </w:p>
        </w:tc>
        <w:tc>
          <w:tcPr>
            <w:tcW w:w="1827" w:type="dxa"/>
            <w:vAlign w:val="center"/>
          </w:tcPr>
          <w:p w14:paraId="645A7DB1">
            <w:pPr>
              <w:widowControl/>
              <w:snapToGrid w:val="0"/>
              <w:jc w:val="center"/>
              <w:textAlignment w:val="center"/>
              <w:rPr>
                <w:rFonts w:hint="eastAsia" w:hAnsi="宋体" w:cs="宋体"/>
                <w:b/>
                <w:bCs/>
                <w:color w:val="000000"/>
                <w:kern w:val="0"/>
                <w:szCs w:val="21"/>
              </w:rPr>
            </w:pPr>
            <w:r>
              <w:rPr>
                <w:rFonts w:hint="eastAsia" w:hAnsi="宋体" w:cs="宋体"/>
                <w:b/>
                <w:bCs/>
                <w:color w:val="000000"/>
                <w:kern w:val="0"/>
                <w:szCs w:val="21"/>
              </w:rPr>
              <w:t>货物名称</w:t>
            </w:r>
          </w:p>
          <w:p w14:paraId="6C1DF8D0">
            <w:pPr>
              <w:widowControl/>
              <w:snapToGrid w:val="0"/>
              <w:jc w:val="center"/>
              <w:textAlignment w:val="center"/>
              <w:rPr>
                <w:rFonts w:hint="eastAsia" w:hAnsi="宋体" w:cs="宋体"/>
                <w:b/>
                <w:bCs/>
                <w:color w:val="000000"/>
                <w:kern w:val="0"/>
                <w:szCs w:val="21"/>
              </w:rPr>
            </w:pPr>
            <w:r>
              <w:rPr>
                <w:rFonts w:hint="eastAsia" w:hAnsi="宋体" w:cs="宋体"/>
                <w:b/>
                <w:bCs/>
                <w:color w:val="000000"/>
                <w:kern w:val="0"/>
                <w:szCs w:val="21"/>
              </w:rPr>
              <w:t>（标的名称）</w:t>
            </w:r>
          </w:p>
        </w:tc>
        <w:tc>
          <w:tcPr>
            <w:tcW w:w="1125" w:type="dxa"/>
            <w:vAlign w:val="center"/>
          </w:tcPr>
          <w:p w14:paraId="6ABC2E49">
            <w:pPr>
              <w:widowControl/>
              <w:snapToGrid w:val="0"/>
              <w:jc w:val="center"/>
              <w:textAlignment w:val="center"/>
              <w:rPr>
                <w:rFonts w:hint="eastAsia" w:hAnsi="宋体" w:cs="宋体"/>
                <w:b/>
                <w:bCs/>
                <w:color w:val="000000"/>
                <w:kern w:val="0"/>
                <w:szCs w:val="21"/>
              </w:rPr>
            </w:pPr>
            <w:r>
              <w:rPr>
                <w:rFonts w:hint="eastAsia" w:hAnsi="宋体" w:cs="宋体"/>
                <w:b/>
                <w:bCs/>
                <w:color w:val="000000"/>
                <w:kern w:val="0"/>
                <w:szCs w:val="21"/>
              </w:rPr>
              <w:t>数量</w:t>
            </w:r>
          </w:p>
        </w:tc>
        <w:tc>
          <w:tcPr>
            <w:tcW w:w="552" w:type="dxa"/>
            <w:vAlign w:val="center"/>
          </w:tcPr>
          <w:p w14:paraId="33726D9B">
            <w:pPr>
              <w:widowControl/>
              <w:snapToGrid w:val="0"/>
              <w:jc w:val="center"/>
              <w:textAlignment w:val="center"/>
              <w:rPr>
                <w:rFonts w:hint="eastAsia" w:hAnsi="宋体" w:cs="宋体"/>
                <w:b/>
                <w:bCs/>
                <w:color w:val="000000"/>
                <w:kern w:val="0"/>
                <w:szCs w:val="21"/>
              </w:rPr>
            </w:pPr>
            <w:r>
              <w:rPr>
                <w:rFonts w:hint="eastAsia" w:hAnsi="宋体" w:cs="宋体"/>
                <w:b/>
                <w:bCs/>
                <w:color w:val="000000"/>
                <w:kern w:val="0"/>
                <w:szCs w:val="21"/>
              </w:rPr>
              <w:t>单位</w:t>
            </w:r>
          </w:p>
        </w:tc>
        <w:tc>
          <w:tcPr>
            <w:tcW w:w="696" w:type="dxa"/>
            <w:vAlign w:val="center"/>
          </w:tcPr>
          <w:p w14:paraId="5C4483FE">
            <w:pPr>
              <w:widowControl/>
              <w:snapToGrid w:val="0"/>
              <w:jc w:val="center"/>
              <w:textAlignment w:val="center"/>
              <w:rPr>
                <w:rFonts w:hint="eastAsia" w:hAnsi="宋体" w:cs="宋体"/>
                <w:b/>
                <w:bCs/>
                <w:color w:val="000000"/>
                <w:kern w:val="0"/>
                <w:szCs w:val="21"/>
              </w:rPr>
            </w:pPr>
            <w:r>
              <w:rPr>
                <w:rFonts w:hint="eastAsia"/>
                <w:b/>
                <w:bCs/>
                <w:color w:val="FF0000"/>
                <w:szCs w:val="21"/>
              </w:rPr>
              <w:t>是否接受进口</w:t>
            </w:r>
          </w:p>
        </w:tc>
        <w:tc>
          <w:tcPr>
            <w:tcW w:w="660" w:type="dxa"/>
            <w:vAlign w:val="center"/>
          </w:tcPr>
          <w:p w14:paraId="3E0BA836">
            <w:pPr>
              <w:snapToGrid w:val="0"/>
              <w:jc w:val="center"/>
              <w:rPr>
                <w:b/>
                <w:bCs/>
                <w:color w:val="FF0000"/>
                <w:szCs w:val="21"/>
              </w:rPr>
            </w:pPr>
            <w:r>
              <w:rPr>
                <w:rFonts w:hint="eastAsia"/>
                <w:b/>
                <w:bCs/>
                <w:color w:val="FF0000"/>
                <w:szCs w:val="21"/>
              </w:rPr>
              <w:t>是否为节能产品</w:t>
            </w:r>
          </w:p>
        </w:tc>
        <w:tc>
          <w:tcPr>
            <w:tcW w:w="696" w:type="dxa"/>
            <w:vAlign w:val="center"/>
          </w:tcPr>
          <w:p w14:paraId="71372821">
            <w:pPr>
              <w:snapToGrid w:val="0"/>
              <w:jc w:val="center"/>
              <w:rPr>
                <w:b/>
                <w:bCs/>
                <w:color w:val="FF0000"/>
                <w:szCs w:val="21"/>
              </w:rPr>
            </w:pPr>
            <w:r>
              <w:rPr>
                <w:rFonts w:hint="eastAsia"/>
                <w:b/>
                <w:bCs/>
                <w:color w:val="FF0000"/>
                <w:szCs w:val="21"/>
              </w:rPr>
              <w:t>是否为环境标志产品</w:t>
            </w:r>
          </w:p>
        </w:tc>
        <w:tc>
          <w:tcPr>
            <w:tcW w:w="812" w:type="dxa"/>
            <w:vAlign w:val="center"/>
          </w:tcPr>
          <w:p w14:paraId="5E73756A">
            <w:pPr>
              <w:snapToGrid w:val="0"/>
              <w:jc w:val="center"/>
              <w:rPr>
                <w:rFonts w:hint="eastAsia" w:hAnsi="宋体" w:cs="宋体"/>
                <w:b/>
                <w:bCs/>
                <w:color w:val="FF0000"/>
                <w:szCs w:val="21"/>
              </w:rPr>
            </w:pPr>
            <w:r>
              <w:rPr>
                <w:rFonts w:hint="eastAsia"/>
                <w:b/>
                <w:bCs/>
                <w:color w:val="FF0000"/>
                <w:szCs w:val="21"/>
              </w:rPr>
              <w:t>是否专门面向中小企业</w:t>
            </w:r>
          </w:p>
        </w:tc>
        <w:tc>
          <w:tcPr>
            <w:tcW w:w="826" w:type="dxa"/>
            <w:vAlign w:val="center"/>
          </w:tcPr>
          <w:p w14:paraId="4771105C">
            <w:pPr>
              <w:snapToGrid w:val="0"/>
              <w:jc w:val="center"/>
              <w:rPr>
                <w:rFonts w:hint="eastAsia" w:hAnsi="宋体" w:cs="宋体"/>
                <w:b/>
                <w:bCs/>
                <w:color w:val="000000"/>
                <w:kern w:val="0"/>
                <w:szCs w:val="21"/>
              </w:rPr>
            </w:pPr>
            <w:r>
              <w:rPr>
                <w:rFonts w:hint="eastAsia" w:hAnsi="宋体" w:cs="宋体"/>
                <w:b/>
                <w:bCs/>
                <w:color w:val="FF0000"/>
                <w:szCs w:val="21"/>
              </w:rPr>
              <w:t>标的所属行业</w:t>
            </w:r>
          </w:p>
        </w:tc>
        <w:tc>
          <w:tcPr>
            <w:tcW w:w="742" w:type="dxa"/>
            <w:vAlign w:val="center"/>
          </w:tcPr>
          <w:p w14:paraId="057380B3">
            <w:pPr>
              <w:spacing w:line="360" w:lineRule="auto"/>
              <w:jc w:val="center"/>
              <w:rPr>
                <w:rFonts w:hint="eastAsia" w:hAnsi="宋体" w:cs="宋体"/>
                <w:b/>
                <w:bCs/>
                <w:color w:val="FF0000"/>
                <w:szCs w:val="21"/>
              </w:rPr>
            </w:pPr>
            <w:r>
              <w:rPr>
                <w:rFonts w:hint="eastAsia"/>
                <w:b/>
                <w:bCs/>
                <w:color w:val="FF0000"/>
                <w:szCs w:val="21"/>
              </w:rPr>
              <w:t>预算单价</w:t>
            </w:r>
            <w:r>
              <w:rPr>
                <w:rFonts w:hint="eastAsia"/>
                <w:b/>
                <w:bCs/>
                <w:color w:val="FF0000"/>
                <w:szCs w:val="21"/>
                <w:lang w:val="en-US" w:eastAsia="zh-CN"/>
              </w:rPr>
              <w:t>限</w:t>
            </w:r>
            <w:r>
              <w:rPr>
                <w:rFonts w:hint="eastAsia"/>
                <w:b/>
                <w:bCs/>
                <w:color w:val="FF0000"/>
                <w:szCs w:val="21"/>
              </w:rPr>
              <w:t>额（元）</w:t>
            </w:r>
          </w:p>
        </w:tc>
      </w:tr>
      <w:tr w14:paraId="3A54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6071C979">
            <w:pPr>
              <w:snapToGrid w:val="0"/>
              <w:jc w:val="center"/>
              <w:rPr>
                <w:rFonts w:hint="eastAsia" w:ascii="新宋体" w:hAnsi="宋体" w:eastAsia="新宋体" w:cs="宋体"/>
                <w:sz w:val="20"/>
                <w:szCs w:val="21"/>
              </w:rPr>
            </w:pPr>
            <w:r>
              <w:rPr>
                <w:rFonts w:hint="eastAsia" w:ascii="新宋体" w:eastAsia="新宋体"/>
                <w:sz w:val="20"/>
              </w:rPr>
              <w:t>1</w:t>
            </w:r>
          </w:p>
        </w:tc>
        <w:tc>
          <w:tcPr>
            <w:tcW w:w="615" w:type="dxa"/>
            <w:vMerge w:val="restart"/>
            <w:vAlign w:val="center"/>
          </w:tcPr>
          <w:p w14:paraId="1B3FC3AE">
            <w:pPr>
              <w:snapToGrid w:val="0"/>
              <w:jc w:val="center"/>
              <w:rPr>
                <w:rFonts w:hint="eastAsia" w:ascii="新宋体" w:hAnsi="宋体" w:eastAsia="新宋体" w:cs="宋体"/>
                <w:color w:val="000000"/>
                <w:kern w:val="0"/>
                <w:sz w:val="20"/>
                <w:szCs w:val="21"/>
              </w:rPr>
            </w:pPr>
          </w:p>
        </w:tc>
        <w:tc>
          <w:tcPr>
            <w:tcW w:w="1827" w:type="dxa"/>
            <w:vAlign w:val="center"/>
          </w:tcPr>
          <w:p w14:paraId="2FB808F8">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床架</w:t>
            </w:r>
          </w:p>
        </w:tc>
        <w:tc>
          <w:tcPr>
            <w:tcW w:w="1125" w:type="dxa"/>
            <w:vAlign w:val="center"/>
          </w:tcPr>
          <w:p w14:paraId="53D9B3D5">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470</w:t>
            </w:r>
          </w:p>
        </w:tc>
        <w:tc>
          <w:tcPr>
            <w:tcW w:w="552" w:type="dxa"/>
            <w:vAlign w:val="center"/>
          </w:tcPr>
          <w:p w14:paraId="1AE65C69">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50DBD670">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08AA59EC">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6F2E03B2">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03E4ED42">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79B324F6">
            <w:pPr>
              <w:snapToGrid w:val="0"/>
              <w:jc w:val="center"/>
              <w:rPr>
                <w:rFonts w:hint="eastAsia" w:ascii="新宋体" w:hAnsi="宋体" w:eastAsia="新宋体" w:cs="宋体"/>
                <w:bCs/>
                <w:color w:val="FF0000"/>
                <w:sz w:val="20"/>
                <w:szCs w:val="21"/>
              </w:rPr>
            </w:pPr>
            <w:r>
              <w:rPr>
                <w:rFonts w:hint="eastAsia" w:ascii="新宋体" w:eastAsia="新宋体"/>
                <w:sz w:val="20"/>
              </w:rPr>
              <w:t>工业</w:t>
            </w:r>
          </w:p>
        </w:tc>
        <w:tc>
          <w:tcPr>
            <w:tcW w:w="742" w:type="dxa"/>
            <w:vAlign w:val="center"/>
          </w:tcPr>
          <w:p w14:paraId="49A3842A">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7CCB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2A00AD36">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2</w:t>
            </w:r>
          </w:p>
        </w:tc>
        <w:tc>
          <w:tcPr>
            <w:tcW w:w="615" w:type="dxa"/>
            <w:vMerge w:val="continue"/>
            <w:vAlign w:val="center"/>
          </w:tcPr>
          <w:p w14:paraId="402F9F05">
            <w:pPr>
              <w:snapToGrid w:val="0"/>
              <w:jc w:val="center"/>
              <w:rPr>
                <w:rFonts w:ascii="新宋体" w:eastAsia="新宋体"/>
                <w:bCs/>
                <w:sz w:val="20"/>
                <w:szCs w:val="21"/>
              </w:rPr>
            </w:pPr>
          </w:p>
        </w:tc>
        <w:tc>
          <w:tcPr>
            <w:tcW w:w="1827" w:type="dxa"/>
            <w:vAlign w:val="center"/>
          </w:tcPr>
          <w:p w14:paraId="5E0B7251">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床架(加长)</w:t>
            </w:r>
          </w:p>
        </w:tc>
        <w:tc>
          <w:tcPr>
            <w:tcW w:w="1125" w:type="dxa"/>
            <w:vAlign w:val="center"/>
          </w:tcPr>
          <w:p w14:paraId="6F463405">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34</w:t>
            </w:r>
          </w:p>
        </w:tc>
        <w:tc>
          <w:tcPr>
            <w:tcW w:w="552" w:type="dxa"/>
            <w:vAlign w:val="center"/>
          </w:tcPr>
          <w:p w14:paraId="20B7363D">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48C33A6A">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26AF50EC">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4EC48B0E">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5563B24B">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7AFBBB3F">
            <w:pPr>
              <w:snapToGrid w:val="0"/>
              <w:jc w:val="center"/>
              <w:rPr>
                <w:rFonts w:ascii="新宋体" w:eastAsia="新宋体"/>
                <w:sz w:val="20"/>
              </w:rPr>
            </w:pPr>
            <w:r>
              <w:rPr>
                <w:rFonts w:hint="eastAsia" w:ascii="新宋体" w:eastAsia="新宋体"/>
                <w:sz w:val="20"/>
              </w:rPr>
              <w:t>工业</w:t>
            </w:r>
          </w:p>
        </w:tc>
        <w:tc>
          <w:tcPr>
            <w:tcW w:w="742" w:type="dxa"/>
            <w:vAlign w:val="center"/>
          </w:tcPr>
          <w:p w14:paraId="0725A039">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5097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70537E65">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3</w:t>
            </w:r>
          </w:p>
        </w:tc>
        <w:tc>
          <w:tcPr>
            <w:tcW w:w="615" w:type="dxa"/>
            <w:vMerge w:val="continue"/>
            <w:vAlign w:val="center"/>
          </w:tcPr>
          <w:p w14:paraId="2B45EAF5">
            <w:pPr>
              <w:snapToGrid w:val="0"/>
              <w:jc w:val="center"/>
              <w:rPr>
                <w:rFonts w:ascii="新宋体" w:eastAsia="新宋体"/>
                <w:bCs/>
                <w:sz w:val="20"/>
                <w:szCs w:val="21"/>
              </w:rPr>
            </w:pPr>
          </w:p>
        </w:tc>
        <w:tc>
          <w:tcPr>
            <w:tcW w:w="1827" w:type="dxa"/>
            <w:vAlign w:val="center"/>
          </w:tcPr>
          <w:p w14:paraId="4D1035A5">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床垫1</w:t>
            </w:r>
          </w:p>
        </w:tc>
        <w:tc>
          <w:tcPr>
            <w:tcW w:w="1125" w:type="dxa"/>
            <w:vAlign w:val="center"/>
          </w:tcPr>
          <w:p w14:paraId="1982FA7D">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470</w:t>
            </w:r>
          </w:p>
        </w:tc>
        <w:tc>
          <w:tcPr>
            <w:tcW w:w="552" w:type="dxa"/>
            <w:vAlign w:val="center"/>
          </w:tcPr>
          <w:p w14:paraId="3AEAA503">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6DB06099">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0D1D4945">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63DC2F9A">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4173022D">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0B22FAA0">
            <w:pPr>
              <w:snapToGrid w:val="0"/>
              <w:jc w:val="center"/>
              <w:rPr>
                <w:rFonts w:ascii="新宋体" w:eastAsia="新宋体"/>
                <w:sz w:val="20"/>
              </w:rPr>
            </w:pPr>
            <w:r>
              <w:rPr>
                <w:rFonts w:hint="eastAsia" w:ascii="新宋体" w:eastAsia="新宋体"/>
                <w:sz w:val="20"/>
              </w:rPr>
              <w:t>工业</w:t>
            </w:r>
          </w:p>
        </w:tc>
        <w:tc>
          <w:tcPr>
            <w:tcW w:w="742" w:type="dxa"/>
            <w:vAlign w:val="center"/>
          </w:tcPr>
          <w:p w14:paraId="6C25BC0E">
            <w:pPr>
              <w:spacing w:line="360" w:lineRule="auto"/>
              <w:jc w:val="center"/>
              <w:rPr>
                <w:rFonts w:hint="eastAsia" w:ascii="新宋体" w:eastAsia="新宋体"/>
                <w:sz w:val="20"/>
              </w:rPr>
            </w:pPr>
            <w:r>
              <w:rPr>
                <w:rFonts w:hint="eastAsia" w:ascii="宋体" w:hAnsi="宋体" w:cs="宋体"/>
                <w:b/>
                <w:bCs/>
                <w:sz w:val="21"/>
                <w:szCs w:val="21"/>
                <w:lang w:val="en-US" w:eastAsia="zh-CN"/>
              </w:rPr>
              <w:t>550</w:t>
            </w:r>
          </w:p>
        </w:tc>
      </w:tr>
      <w:tr w14:paraId="1E08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7C86C017">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4</w:t>
            </w:r>
          </w:p>
        </w:tc>
        <w:tc>
          <w:tcPr>
            <w:tcW w:w="615" w:type="dxa"/>
            <w:vMerge w:val="continue"/>
            <w:vAlign w:val="center"/>
          </w:tcPr>
          <w:p w14:paraId="7ED20B18">
            <w:pPr>
              <w:snapToGrid w:val="0"/>
              <w:jc w:val="center"/>
              <w:rPr>
                <w:rFonts w:ascii="新宋体" w:eastAsia="新宋体"/>
                <w:bCs/>
                <w:sz w:val="20"/>
                <w:szCs w:val="21"/>
              </w:rPr>
            </w:pPr>
          </w:p>
        </w:tc>
        <w:tc>
          <w:tcPr>
            <w:tcW w:w="1827" w:type="dxa"/>
            <w:vAlign w:val="center"/>
          </w:tcPr>
          <w:p w14:paraId="1688A3F9">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床垫2</w:t>
            </w:r>
          </w:p>
        </w:tc>
        <w:tc>
          <w:tcPr>
            <w:tcW w:w="1125" w:type="dxa"/>
            <w:vAlign w:val="center"/>
          </w:tcPr>
          <w:p w14:paraId="107C62F0">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417</w:t>
            </w:r>
          </w:p>
        </w:tc>
        <w:tc>
          <w:tcPr>
            <w:tcW w:w="552" w:type="dxa"/>
            <w:vAlign w:val="center"/>
          </w:tcPr>
          <w:p w14:paraId="6F8D34E4">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3715920A">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4CBEB16A">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7F89B1C7">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5A76A425">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53406A93">
            <w:pPr>
              <w:snapToGrid w:val="0"/>
              <w:jc w:val="center"/>
              <w:rPr>
                <w:rFonts w:ascii="新宋体" w:eastAsia="新宋体"/>
                <w:sz w:val="20"/>
              </w:rPr>
            </w:pPr>
            <w:r>
              <w:rPr>
                <w:rFonts w:hint="eastAsia" w:ascii="新宋体" w:eastAsia="新宋体"/>
                <w:sz w:val="20"/>
              </w:rPr>
              <w:t>工业</w:t>
            </w:r>
          </w:p>
        </w:tc>
        <w:tc>
          <w:tcPr>
            <w:tcW w:w="742" w:type="dxa"/>
            <w:vAlign w:val="center"/>
          </w:tcPr>
          <w:p w14:paraId="5004397C">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00AA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56919F5D">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5</w:t>
            </w:r>
          </w:p>
        </w:tc>
        <w:tc>
          <w:tcPr>
            <w:tcW w:w="615" w:type="dxa"/>
            <w:vMerge w:val="continue"/>
            <w:vAlign w:val="center"/>
          </w:tcPr>
          <w:p w14:paraId="64829A1C">
            <w:pPr>
              <w:snapToGrid w:val="0"/>
              <w:jc w:val="center"/>
              <w:rPr>
                <w:rFonts w:ascii="新宋体" w:eastAsia="新宋体"/>
                <w:bCs/>
                <w:sz w:val="20"/>
                <w:szCs w:val="21"/>
              </w:rPr>
            </w:pPr>
          </w:p>
        </w:tc>
        <w:tc>
          <w:tcPr>
            <w:tcW w:w="1827" w:type="dxa"/>
            <w:vAlign w:val="center"/>
          </w:tcPr>
          <w:p w14:paraId="3EE60AD4">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床垫3</w:t>
            </w:r>
          </w:p>
        </w:tc>
        <w:tc>
          <w:tcPr>
            <w:tcW w:w="1125" w:type="dxa"/>
            <w:vAlign w:val="center"/>
          </w:tcPr>
          <w:p w14:paraId="22E8E45C">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91</w:t>
            </w:r>
          </w:p>
        </w:tc>
        <w:tc>
          <w:tcPr>
            <w:tcW w:w="552" w:type="dxa"/>
            <w:vAlign w:val="center"/>
          </w:tcPr>
          <w:p w14:paraId="5F2EE277">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76351BC1">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0ABFCAB9">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2DF1A0B2">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7C4439D1">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7187BC96">
            <w:pPr>
              <w:snapToGrid w:val="0"/>
              <w:jc w:val="center"/>
              <w:rPr>
                <w:rFonts w:ascii="新宋体" w:eastAsia="新宋体"/>
                <w:sz w:val="20"/>
              </w:rPr>
            </w:pPr>
            <w:r>
              <w:rPr>
                <w:rFonts w:hint="eastAsia" w:ascii="新宋体" w:eastAsia="新宋体"/>
                <w:sz w:val="20"/>
              </w:rPr>
              <w:t>工业</w:t>
            </w:r>
          </w:p>
        </w:tc>
        <w:tc>
          <w:tcPr>
            <w:tcW w:w="742" w:type="dxa"/>
            <w:vAlign w:val="center"/>
          </w:tcPr>
          <w:p w14:paraId="59AAAF27">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3E09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4375B177">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6</w:t>
            </w:r>
          </w:p>
        </w:tc>
        <w:tc>
          <w:tcPr>
            <w:tcW w:w="615" w:type="dxa"/>
            <w:vMerge w:val="continue"/>
            <w:vAlign w:val="center"/>
          </w:tcPr>
          <w:p w14:paraId="14E5F790">
            <w:pPr>
              <w:snapToGrid w:val="0"/>
              <w:jc w:val="center"/>
              <w:rPr>
                <w:rFonts w:ascii="新宋体" w:eastAsia="新宋体"/>
                <w:bCs/>
                <w:sz w:val="20"/>
                <w:szCs w:val="21"/>
              </w:rPr>
            </w:pPr>
          </w:p>
        </w:tc>
        <w:tc>
          <w:tcPr>
            <w:tcW w:w="1827" w:type="dxa"/>
            <w:vAlign w:val="center"/>
          </w:tcPr>
          <w:p w14:paraId="70761D94">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床垫(加长)</w:t>
            </w:r>
          </w:p>
        </w:tc>
        <w:tc>
          <w:tcPr>
            <w:tcW w:w="1125" w:type="dxa"/>
            <w:vAlign w:val="center"/>
          </w:tcPr>
          <w:p w14:paraId="4A2CA631">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34</w:t>
            </w:r>
          </w:p>
        </w:tc>
        <w:tc>
          <w:tcPr>
            <w:tcW w:w="552" w:type="dxa"/>
            <w:vAlign w:val="center"/>
          </w:tcPr>
          <w:p w14:paraId="26A2FBD7">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01F7831C">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1EECF6E7">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772CD52A">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78A7EA34">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247FE9C0">
            <w:pPr>
              <w:snapToGrid w:val="0"/>
              <w:jc w:val="center"/>
              <w:rPr>
                <w:rFonts w:ascii="新宋体" w:eastAsia="新宋体"/>
                <w:sz w:val="20"/>
              </w:rPr>
            </w:pPr>
            <w:r>
              <w:rPr>
                <w:rFonts w:hint="eastAsia" w:ascii="新宋体" w:eastAsia="新宋体"/>
                <w:sz w:val="20"/>
              </w:rPr>
              <w:t>工业</w:t>
            </w:r>
          </w:p>
        </w:tc>
        <w:tc>
          <w:tcPr>
            <w:tcW w:w="742" w:type="dxa"/>
            <w:vAlign w:val="center"/>
          </w:tcPr>
          <w:p w14:paraId="555D9FC6">
            <w:pPr>
              <w:spacing w:line="360" w:lineRule="auto"/>
              <w:jc w:val="center"/>
              <w:rPr>
                <w:rFonts w:hint="eastAsia" w:ascii="新宋体" w:eastAsia="新宋体"/>
                <w:sz w:val="20"/>
              </w:rPr>
            </w:pPr>
            <w:r>
              <w:rPr>
                <w:rFonts w:hint="eastAsia" w:ascii="宋体" w:hAnsi="宋体" w:cs="宋体"/>
                <w:b/>
                <w:bCs/>
                <w:sz w:val="21"/>
                <w:szCs w:val="21"/>
                <w:lang w:val="en-US" w:eastAsia="zh-CN"/>
              </w:rPr>
              <w:t>600</w:t>
            </w:r>
          </w:p>
        </w:tc>
      </w:tr>
      <w:tr w14:paraId="2DCE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5D0B2089">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7</w:t>
            </w:r>
          </w:p>
        </w:tc>
        <w:tc>
          <w:tcPr>
            <w:tcW w:w="615" w:type="dxa"/>
            <w:vMerge w:val="continue"/>
            <w:vAlign w:val="center"/>
          </w:tcPr>
          <w:p w14:paraId="3F8E19D3">
            <w:pPr>
              <w:snapToGrid w:val="0"/>
              <w:jc w:val="center"/>
              <w:rPr>
                <w:rFonts w:ascii="新宋体" w:eastAsia="新宋体"/>
                <w:bCs/>
                <w:sz w:val="20"/>
                <w:szCs w:val="21"/>
              </w:rPr>
            </w:pPr>
          </w:p>
        </w:tc>
        <w:tc>
          <w:tcPr>
            <w:tcW w:w="1827" w:type="dxa"/>
            <w:vAlign w:val="center"/>
          </w:tcPr>
          <w:p w14:paraId="30E23375">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书桌+书架1</w:t>
            </w:r>
          </w:p>
        </w:tc>
        <w:tc>
          <w:tcPr>
            <w:tcW w:w="1125" w:type="dxa"/>
            <w:vAlign w:val="center"/>
          </w:tcPr>
          <w:p w14:paraId="14C5FA5A">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470</w:t>
            </w:r>
          </w:p>
        </w:tc>
        <w:tc>
          <w:tcPr>
            <w:tcW w:w="552" w:type="dxa"/>
            <w:vAlign w:val="center"/>
          </w:tcPr>
          <w:p w14:paraId="25803BC6">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054CA904">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01E4C8F7">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7D26B335">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31B1B11E">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2761B653">
            <w:pPr>
              <w:snapToGrid w:val="0"/>
              <w:jc w:val="center"/>
              <w:rPr>
                <w:rFonts w:ascii="新宋体" w:eastAsia="新宋体"/>
                <w:sz w:val="20"/>
              </w:rPr>
            </w:pPr>
            <w:r>
              <w:rPr>
                <w:rFonts w:hint="eastAsia" w:ascii="新宋体" w:eastAsia="新宋体"/>
                <w:sz w:val="20"/>
              </w:rPr>
              <w:t>工业</w:t>
            </w:r>
          </w:p>
        </w:tc>
        <w:tc>
          <w:tcPr>
            <w:tcW w:w="742" w:type="dxa"/>
            <w:vAlign w:val="center"/>
          </w:tcPr>
          <w:p w14:paraId="35B5CDFF">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75C6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556FC3DE">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8</w:t>
            </w:r>
          </w:p>
        </w:tc>
        <w:tc>
          <w:tcPr>
            <w:tcW w:w="615" w:type="dxa"/>
            <w:vMerge w:val="continue"/>
            <w:vAlign w:val="center"/>
          </w:tcPr>
          <w:p w14:paraId="44016560">
            <w:pPr>
              <w:snapToGrid w:val="0"/>
              <w:jc w:val="center"/>
              <w:rPr>
                <w:rFonts w:ascii="新宋体" w:eastAsia="新宋体"/>
                <w:bCs/>
                <w:sz w:val="20"/>
                <w:szCs w:val="21"/>
              </w:rPr>
            </w:pPr>
          </w:p>
        </w:tc>
        <w:tc>
          <w:tcPr>
            <w:tcW w:w="1827" w:type="dxa"/>
            <w:vAlign w:val="center"/>
          </w:tcPr>
          <w:p w14:paraId="7233BB39">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书桌+书架2</w:t>
            </w:r>
          </w:p>
        </w:tc>
        <w:tc>
          <w:tcPr>
            <w:tcW w:w="1125" w:type="dxa"/>
            <w:vAlign w:val="center"/>
          </w:tcPr>
          <w:p w14:paraId="72EA7CE2">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41</w:t>
            </w:r>
            <w:r>
              <w:rPr>
                <w:rFonts w:hint="eastAsia" w:ascii="宋体" w:hAnsi="宋体" w:cs="宋体"/>
                <w:i w:val="0"/>
                <w:iCs w:val="0"/>
                <w:color w:val="000000"/>
                <w:kern w:val="0"/>
                <w:sz w:val="21"/>
                <w:szCs w:val="21"/>
                <w:u w:val="none"/>
                <w:lang w:val="en-US" w:eastAsia="zh-CN" w:bidi="ar"/>
              </w:rPr>
              <w:t>7</w:t>
            </w:r>
          </w:p>
        </w:tc>
        <w:tc>
          <w:tcPr>
            <w:tcW w:w="552" w:type="dxa"/>
            <w:vAlign w:val="center"/>
          </w:tcPr>
          <w:p w14:paraId="0987DD20">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3CE3F559">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1E2DFCCE">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6674A779">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235CA9E2">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0621CE83">
            <w:pPr>
              <w:snapToGrid w:val="0"/>
              <w:jc w:val="center"/>
              <w:rPr>
                <w:rFonts w:ascii="新宋体" w:eastAsia="新宋体"/>
                <w:sz w:val="20"/>
              </w:rPr>
            </w:pPr>
            <w:r>
              <w:rPr>
                <w:rFonts w:hint="eastAsia" w:ascii="新宋体" w:eastAsia="新宋体"/>
                <w:sz w:val="20"/>
              </w:rPr>
              <w:t>工业</w:t>
            </w:r>
          </w:p>
        </w:tc>
        <w:tc>
          <w:tcPr>
            <w:tcW w:w="742" w:type="dxa"/>
            <w:vAlign w:val="center"/>
          </w:tcPr>
          <w:p w14:paraId="3035748E">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30C5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04D79CBC">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9</w:t>
            </w:r>
          </w:p>
        </w:tc>
        <w:tc>
          <w:tcPr>
            <w:tcW w:w="615" w:type="dxa"/>
            <w:vMerge w:val="continue"/>
            <w:vAlign w:val="center"/>
          </w:tcPr>
          <w:p w14:paraId="58CF1DA2">
            <w:pPr>
              <w:snapToGrid w:val="0"/>
              <w:jc w:val="center"/>
              <w:rPr>
                <w:rFonts w:ascii="新宋体" w:eastAsia="新宋体"/>
                <w:bCs/>
                <w:sz w:val="20"/>
                <w:szCs w:val="21"/>
              </w:rPr>
            </w:pPr>
          </w:p>
        </w:tc>
        <w:tc>
          <w:tcPr>
            <w:tcW w:w="1827" w:type="dxa"/>
            <w:vAlign w:val="center"/>
          </w:tcPr>
          <w:p w14:paraId="3BACE994">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书桌+书架(加长)</w:t>
            </w:r>
          </w:p>
        </w:tc>
        <w:tc>
          <w:tcPr>
            <w:tcW w:w="1125" w:type="dxa"/>
            <w:vAlign w:val="center"/>
          </w:tcPr>
          <w:p w14:paraId="776EAD6A">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34</w:t>
            </w:r>
          </w:p>
        </w:tc>
        <w:tc>
          <w:tcPr>
            <w:tcW w:w="552" w:type="dxa"/>
            <w:vAlign w:val="center"/>
          </w:tcPr>
          <w:p w14:paraId="6EC3EA4E">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5CDE90FB">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738C68FF">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05027D24">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659E8653">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283175D9">
            <w:pPr>
              <w:snapToGrid w:val="0"/>
              <w:jc w:val="center"/>
              <w:rPr>
                <w:rFonts w:ascii="新宋体" w:eastAsia="新宋体"/>
                <w:sz w:val="20"/>
              </w:rPr>
            </w:pPr>
            <w:r>
              <w:rPr>
                <w:rFonts w:hint="eastAsia" w:ascii="新宋体" w:eastAsia="新宋体"/>
                <w:sz w:val="20"/>
              </w:rPr>
              <w:t>工业</w:t>
            </w:r>
          </w:p>
        </w:tc>
        <w:tc>
          <w:tcPr>
            <w:tcW w:w="742" w:type="dxa"/>
            <w:vAlign w:val="center"/>
          </w:tcPr>
          <w:p w14:paraId="7AF5B312">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44EB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437B516C">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10</w:t>
            </w:r>
          </w:p>
        </w:tc>
        <w:tc>
          <w:tcPr>
            <w:tcW w:w="615" w:type="dxa"/>
            <w:vMerge w:val="continue"/>
            <w:vAlign w:val="center"/>
          </w:tcPr>
          <w:p w14:paraId="4F93DF8D">
            <w:pPr>
              <w:snapToGrid w:val="0"/>
              <w:jc w:val="center"/>
              <w:rPr>
                <w:rFonts w:ascii="新宋体" w:eastAsia="新宋体"/>
                <w:bCs/>
                <w:sz w:val="20"/>
                <w:szCs w:val="21"/>
              </w:rPr>
            </w:pPr>
          </w:p>
        </w:tc>
        <w:tc>
          <w:tcPr>
            <w:tcW w:w="1827" w:type="dxa"/>
            <w:vAlign w:val="center"/>
          </w:tcPr>
          <w:p w14:paraId="4A1DD625">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椅子1</w:t>
            </w:r>
          </w:p>
        </w:tc>
        <w:tc>
          <w:tcPr>
            <w:tcW w:w="1125" w:type="dxa"/>
            <w:vAlign w:val="center"/>
          </w:tcPr>
          <w:p w14:paraId="666CAEE3">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921</w:t>
            </w:r>
          </w:p>
        </w:tc>
        <w:tc>
          <w:tcPr>
            <w:tcW w:w="552" w:type="dxa"/>
            <w:vAlign w:val="center"/>
          </w:tcPr>
          <w:p w14:paraId="00F3F717">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01EC3259">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644C5886">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0CCFE1E9">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07612C44">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213C0BBF">
            <w:pPr>
              <w:snapToGrid w:val="0"/>
              <w:jc w:val="center"/>
              <w:rPr>
                <w:rFonts w:ascii="新宋体" w:eastAsia="新宋体"/>
                <w:sz w:val="20"/>
              </w:rPr>
            </w:pPr>
            <w:r>
              <w:rPr>
                <w:rFonts w:hint="eastAsia" w:ascii="新宋体" w:eastAsia="新宋体"/>
                <w:sz w:val="20"/>
              </w:rPr>
              <w:t>工业</w:t>
            </w:r>
          </w:p>
        </w:tc>
        <w:tc>
          <w:tcPr>
            <w:tcW w:w="742" w:type="dxa"/>
            <w:vAlign w:val="center"/>
          </w:tcPr>
          <w:p w14:paraId="00577DC5">
            <w:pPr>
              <w:spacing w:line="360" w:lineRule="auto"/>
              <w:jc w:val="center"/>
              <w:rPr>
                <w:rFonts w:hint="eastAsia" w:ascii="新宋体" w:eastAsia="新宋体"/>
                <w:sz w:val="20"/>
              </w:rPr>
            </w:pPr>
            <w:r>
              <w:rPr>
                <w:rFonts w:hint="eastAsia" w:ascii="宋体" w:hAnsi="宋体" w:cs="宋体"/>
                <w:b/>
                <w:bCs/>
                <w:sz w:val="21"/>
                <w:szCs w:val="21"/>
                <w:lang w:val="en-US" w:eastAsia="zh-CN"/>
              </w:rPr>
              <w:t>450</w:t>
            </w:r>
          </w:p>
        </w:tc>
      </w:tr>
      <w:tr w14:paraId="5826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63273A87">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11</w:t>
            </w:r>
          </w:p>
        </w:tc>
        <w:tc>
          <w:tcPr>
            <w:tcW w:w="615" w:type="dxa"/>
            <w:vMerge w:val="continue"/>
            <w:vAlign w:val="center"/>
          </w:tcPr>
          <w:p w14:paraId="7681F8D7">
            <w:pPr>
              <w:snapToGrid w:val="0"/>
              <w:jc w:val="center"/>
              <w:rPr>
                <w:rFonts w:ascii="新宋体" w:eastAsia="新宋体"/>
                <w:bCs/>
                <w:sz w:val="20"/>
                <w:szCs w:val="21"/>
              </w:rPr>
            </w:pPr>
          </w:p>
        </w:tc>
        <w:tc>
          <w:tcPr>
            <w:tcW w:w="1827" w:type="dxa"/>
            <w:vAlign w:val="center"/>
          </w:tcPr>
          <w:p w14:paraId="5641A121">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椅子2</w:t>
            </w:r>
          </w:p>
        </w:tc>
        <w:tc>
          <w:tcPr>
            <w:tcW w:w="1125" w:type="dxa"/>
            <w:vAlign w:val="center"/>
          </w:tcPr>
          <w:p w14:paraId="798AEF93">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91</w:t>
            </w:r>
          </w:p>
        </w:tc>
        <w:tc>
          <w:tcPr>
            <w:tcW w:w="552" w:type="dxa"/>
            <w:vAlign w:val="center"/>
          </w:tcPr>
          <w:p w14:paraId="78327107">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7AB087E7">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110D60EF">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1ECC473F">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6AB1687A">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07F47519">
            <w:pPr>
              <w:snapToGrid w:val="0"/>
              <w:jc w:val="center"/>
              <w:rPr>
                <w:rFonts w:ascii="新宋体" w:eastAsia="新宋体"/>
                <w:sz w:val="20"/>
              </w:rPr>
            </w:pPr>
            <w:r>
              <w:rPr>
                <w:rFonts w:hint="eastAsia" w:ascii="新宋体" w:eastAsia="新宋体"/>
                <w:sz w:val="20"/>
              </w:rPr>
              <w:t>工业</w:t>
            </w:r>
          </w:p>
        </w:tc>
        <w:tc>
          <w:tcPr>
            <w:tcW w:w="742" w:type="dxa"/>
            <w:vAlign w:val="center"/>
          </w:tcPr>
          <w:p w14:paraId="60FA56F7">
            <w:pPr>
              <w:spacing w:line="360" w:lineRule="auto"/>
              <w:jc w:val="center"/>
              <w:rPr>
                <w:rFonts w:hint="eastAsia" w:ascii="新宋体" w:eastAsia="新宋体"/>
                <w:sz w:val="20"/>
              </w:rPr>
            </w:pPr>
            <w:r>
              <w:rPr>
                <w:rFonts w:hint="eastAsia" w:ascii="宋体" w:hAnsi="宋体" w:cs="宋体"/>
                <w:b/>
                <w:bCs/>
                <w:sz w:val="21"/>
                <w:szCs w:val="21"/>
                <w:lang w:val="en-US" w:eastAsia="zh-CN"/>
              </w:rPr>
              <w:t>950</w:t>
            </w:r>
          </w:p>
        </w:tc>
      </w:tr>
      <w:tr w14:paraId="411B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1DA084DD">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12</w:t>
            </w:r>
          </w:p>
        </w:tc>
        <w:tc>
          <w:tcPr>
            <w:tcW w:w="615" w:type="dxa"/>
            <w:vMerge w:val="continue"/>
            <w:vAlign w:val="center"/>
          </w:tcPr>
          <w:p w14:paraId="5E9673F8">
            <w:pPr>
              <w:snapToGrid w:val="0"/>
              <w:jc w:val="center"/>
              <w:rPr>
                <w:rFonts w:ascii="新宋体" w:eastAsia="新宋体"/>
                <w:bCs/>
                <w:sz w:val="20"/>
                <w:szCs w:val="21"/>
              </w:rPr>
            </w:pPr>
          </w:p>
        </w:tc>
        <w:tc>
          <w:tcPr>
            <w:tcW w:w="1827" w:type="dxa"/>
            <w:vAlign w:val="center"/>
          </w:tcPr>
          <w:p w14:paraId="546DD077">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衣柜1</w:t>
            </w:r>
          </w:p>
        </w:tc>
        <w:tc>
          <w:tcPr>
            <w:tcW w:w="1125" w:type="dxa"/>
            <w:vAlign w:val="center"/>
          </w:tcPr>
          <w:p w14:paraId="520E4218">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504</w:t>
            </w:r>
          </w:p>
        </w:tc>
        <w:tc>
          <w:tcPr>
            <w:tcW w:w="552" w:type="dxa"/>
            <w:vAlign w:val="center"/>
          </w:tcPr>
          <w:p w14:paraId="48659CBC">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个</w:t>
            </w:r>
          </w:p>
        </w:tc>
        <w:tc>
          <w:tcPr>
            <w:tcW w:w="696" w:type="dxa"/>
            <w:vAlign w:val="center"/>
          </w:tcPr>
          <w:p w14:paraId="3E4774BD">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4111DA4E">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691BC5BB">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1EA0140F">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3D3D2B21">
            <w:pPr>
              <w:snapToGrid w:val="0"/>
              <w:jc w:val="center"/>
              <w:rPr>
                <w:rFonts w:ascii="新宋体" w:eastAsia="新宋体"/>
                <w:sz w:val="20"/>
              </w:rPr>
            </w:pPr>
            <w:r>
              <w:rPr>
                <w:rFonts w:hint="eastAsia" w:ascii="新宋体" w:eastAsia="新宋体"/>
                <w:sz w:val="20"/>
              </w:rPr>
              <w:t>工业</w:t>
            </w:r>
          </w:p>
        </w:tc>
        <w:tc>
          <w:tcPr>
            <w:tcW w:w="742" w:type="dxa"/>
            <w:vAlign w:val="center"/>
          </w:tcPr>
          <w:p w14:paraId="1C1D1F51">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6B1F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5A4B3592">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13</w:t>
            </w:r>
          </w:p>
        </w:tc>
        <w:tc>
          <w:tcPr>
            <w:tcW w:w="615" w:type="dxa"/>
            <w:vMerge w:val="continue"/>
            <w:vAlign w:val="center"/>
          </w:tcPr>
          <w:p w14:paraId="76403A62">
            <w:pPr>
              <w:snapToGrid w:val="0"/>
              <w:jc w:val="center"/>
              <w:rPr>
                <w:rFonts w:ascii="新宋体" w:eastAsia="新宋体"/>
                <w:bCs/>
                <w:sz w:val="20"/>
                <w:szCs w:val="21"/>
              </w:rPr>
            </w:pPr>
          </w:p>
        </w:tc>
        <w:tc>
          <w:tcPr>
            <w:tcW w:w="1827" w:type="dxa"/>
            <w:vAlign w:val="center"/>
          </w:tcPr>
          <w:p w14:paraId="53A495A6">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衣柜2</w:t>
            </w:r>
          </w:p>
        </w:tc>
        <w:tc>
          <w:tcPr>
            <w:tcW w:w="1125" w:type="dxa"/>
            <w:vAlign w:val="center"/>
          </w:tcPr>
          <w:p w14:paraId="3019CA0D">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417</w:t>
            </w:r>
          </w:p>
        </w:tc>
        <w:tc>
          <w:tcPr>
            <w:tcW w:w="552" w:type="dxa"/>
            <w:vAlign w:val="center"/>
          </w:tcPr>
          <w:p w14:paraId="4A9934E7">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个</w:t>
            </w:r>
          </w:p>
        </w:tc>
        <w:tc>
          <w:tcPr>
            <w:tcW w:w="696" w:type="dxa"/>
            <w:vAlign w:val="center"/>
          </w:tcPr>
          <w:p w14:paraId="3F5FD902">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2BDF8BED">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1178F5D7">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2DEC143A">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7F0ABED4">
            <w:pPr>
              <w:snapToGrid w:val="0"/>
              <w:jc w:val="center"/>
              <w:rPr>
                <w:rFonts w:ascii="新宋体" w:eastAsia="新宋体"/>
                <w:sz w:val="20"/>
              </w:rPr>
            </w:pPr>
            <w:r>
              <w:rPr>
                <w:rFonts w:hint="eastAsia" w:ascii="新宋体" w:eastAsia="新宋体"/>
                <w:sz w:val="20"/>
              </w:rPr>
              <w:t>工业</w:t>
            </w:r>
          </w:p>
        </w:tc>
        <w:tc>
          <w:tcPr>
            <w:tcW w:w="742" w:type="dxa"/>
            <w:vAlign w:val="center"/>
          </w:tcPr>
          <w:p w14:paraId="12BEA3D7">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6DA5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01325960">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14</w:t>
            </w:r>
          </w:p>
        </w:tc>
        <w:tc>
          <w:tcPr>
            <w:tcW w:w="615" w:type="dxa"/>
            <w:vMerge w:val="continue"/>
            <w:vAlign w:val="center"/>
          </w:tcPr>
          <w:p w14:paraId="14FFDCDE">
            <w:pPr>
              <w:snapToGrid w:val="0"/>
              <w:jc w:val="center"/>
              <w:rPr>
                <w:rFonts w:ascii="新宋体" w:eastAsia="新宋体"/>
                <w:bCs/>
                <w:sz w:val="20"/>
                <w:szCs w:val="21"/>
              </w:rPr>
            </w:pPr>
          </w:p>
        </w:tc>
        <w:tc>
          <w:tcPr>
            <w:tcW w:w="1827" w:type="dxa"/>
            <w:vAlign w:val="center"/>
          </w:tcPr>
          <w:p w14:paraId="3A87C60D">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衣柜3</w:t>
            </w:r>
          </w:p>
        </w:tc>
        <w:tc>
          <w:tcPr>
            <w:tcW w:w="1125" w:type="dxa"/>
            <w:vAlign w:val="center"/>
          </w:tcPr>
          <w:p w14:paraId="5DE16418">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91</w:t>
            </w:r>
          </w:p>
        </w:tc>
        <w:tc>
          <w:tcPr>
            <w:tcW w:w="552" w:type="dxa"/>
            <w:vAlign w:val="center"/>
          </w:tcPr>
          <w:p w14:paraId="688AC022">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个</w:t>
            </w:r>
          </w:p>
        </w:tc>
        <w:tc>
          <w:tcPr>
            <w:tcW w:w="696" w:type="dxa"/>
            <w:vAlign w:val="center"/>
          </w:tcPr>
          <w:p w14:paraId="4EA8E3AC">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7312B54F">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6429EC9C">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65A63D81">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4FBC2F0E">
            <w:pPr>
              <w:snapToGrid w:val="0"/>
              <w:jc w:val="center"/>
              <w:rPr>
                <w:rFonts w:ascii="新宋体" w:eastAsia="新宋体"/>
                <w:sz w:val="20"/>
              </w:rPr>
            </w:pPr>
            <w:r>
              <w:rPr>
                <w:rFonts w:hint="eastAsia" w:ascii="新宋体" w:eastAsia="新宋体"/>
                <w:sz w:val="20"/>
              </w:rPr>
              <w:t>工业</w:t>
            </w:r>
          </w:p>
        </w:tc>
        <w:tc>
          <w:tcPr>
            <w:tcW w:w="742" w:type="dxa"/>
            <w:vAlign w:val="center"/>
          </w:tcPr>
          <w:p w14:paraId="41480EC9">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0943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4D3F4E5A">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15</w:t>
            </w:r>
          </w:p>
        </w:tc>
        <w:tc>
          <w:tcPr>
            <w:tcW w:w="615" w:type="dxa"/>
            <w:vMerge w:val="continue"/>
            <w:vAlign w:val="center"/>
          </w:tcPr>
          <w:p w14:paraId="02A53297">
            <w:pPr>
              <w:snapToGrid w:val="0"/>
              <w:jc w:val="center"/>
              <w:rPr>
                <w:rFonts w:ascii="新宋体" w:eastAsia="新宋体"/>
                <w:bCs/>
                <w:sz w:val="20"/>
                <w:szCs w:val="21"/>
              </w:rPr>
            </w:pPr>
          </w:p>
        </w:tc>
        <w:tc>
          <w:tcPr>
            <w:tcW w:w="1827" w:type="dxa"/>
            <w:vAlign w:val="center"/>
          </w:tcPr>
          <w:p w14:paraId="1C199B1F">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行李架</w:t>
            </w:r>
          </w:p>
        </w:tc>
        <w:tc>
          <w:tcPr>
            <w:tcW w:w="1125" w:type="dxa"/>
            <w:vAlign w:val="center"/>
          </w:tcPr>
          <w:p w14:paraId="054F27B5">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404</w:t>
            </w:r>
          </w:p>
        </w:tc>
        <w:tc>
          <w:tcPr>
            <w:tcW w:w="552" w:type="dxa"/>
            <w:vAlign w:val="center"/>
          </w:tcPr>
          <w:p w14:paraId="2F08537D">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个</w:t>
            </w:r>
          </w:p>
        </w:tc>
        <w:tc>
          <w:tcPr>
            <w:tcW w:w="696" w:type="dxa"/>
            <w:vAlign w:val="center"/>
          </w:tcPr>
          <w:p w14:paraId="2B6C5A11">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1904734F">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2E322EA4">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2F8B623D">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71B85F35">
            <w:pPr>
              <w:snapToGrid w:val="0"/>
              <w:jc w:val="center"/>
              <w:rPr>
                <w:rFonts w:ascii="新宋体" w:eastAsia="新宋体"/>
                <w:sz w:val="20"/>
              </w:rPr>
            </w:pPr>
            <w:r>
              <w:rPr>
                <w:rFonts w:hint="eastAsia" w:ascii="新宋体" w:eastAsia="新宋体"/>
                <w:sz w:val="20"/>
              </w:rPr>
              <w:t>工业</w:t>
            </w:r>
          </w:p>
        </w:tc>
        <w:tc>
          <w:tcPr>
            <w:tcW w:w="742" w:type="dxa"/>
            <w:vAlign w:val="center"/>
          </w:tcPr>
          <w:p w14:paraId="5CD5A940">
            <w:pPr>
              <w:spacing w:line="360" w:lineRule="auto"/>
              <w:jc w:val="center"/>
              <w:rPr>
                <w:rFonts w:hint="eastAsia" w:ascii="新宋体" w:eastAsia="新宋体"/>
                <w:sz w:val="20"/>
              </w:rPr>
            </w:pPr>
            <w:r>
              <w:rPr>
                <w:rFonts w:hint="eastAsia" w:ascii="宋体" w:hAnsi="宋体" w:cs="宋体"/>
                <w:b/>
                <w:bCs/>
                <w:sz w:val="21"/>
                <w:szCs w:val="21"/>
                <w:lang w:val="en-US" w:eastAsia="zh-CN"/>
              </w:rPr>
              <w:t>350</w:t>
            </w:r>
          </w:p>
        </w:tc>
      </w:tr>
      <w:tr w14:paraId="2D9D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5E40CD52">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16</w:t>
            </w:r>
          </w:p>
        </w:tc>
        <w:tc>
          <w:tcPr>
            <w:tcW w:w="615" w:type="dxa"/>
            <w:vMerge w:val="continue"/>
            <w:vAlign w:val="center"/>
          </w:tcPr>
          <w:p w14:paraId="4FF4E60E">
            <w:pPr>
              <w:snapToGrid w:val="0"/>
              <w:jc w:val="center"/>
              <w:rPr>
                <w:rFonts w:ascii="新宋体" w:eastAsia="新宋体"/>
                <w:bCs/>
                <w:sz w:val="20"/>
                <w:szCs w:val="21"/>
              </w:rPr>
            </w:pPr>
          </w:p>
        </w:tc>
        <w:tc>
          <w:tcPr>
            <w:tcW w:w="1827" w:type="dxa"/>
            <w:vAlign w:val="center"/>
          </w:tcPr>
          <w:p w14:paraId="1C787FA1">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单人床1</w:t>
            </w:r>
          </w:p>
        </w:tc>
        <w:tc>
          <w:tcPr>
            <w:tcW w:w="1125" w:type="dxa"/>
            <w:vAlign w:val="center"/>
          </w:tcPr>
          <w:p w14:paraId="27AEC27B">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417</w:t>
            </w:r>
          </w:p>
        </w:tc>
        <w:tc>
          <w:tcPr>
            <w:tcW w:w="552" w:type="dxa"/>
            <w:vAlign w:val="center"/>
          </w:tcPr>
          <w:p w14:paraId="5B8E68A3">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36897208">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3BD1F8C5">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040F2B97">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3D95EB5C">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73266ED3">
            <w:pPr>
              <w:snapToGrid w:val="0"/>
              <w:jc w:val="center"/>
              <w:rPr>
                <w:rFonts w:ascii="新宋体" w:eastAsia="新宋体"/>
                <w:sz w:val="20"/>
              </w:rPr>
            </w:pPr>
            <w:r>
              <w:rPr>
                <w:rFonts w:hint="eastAsia" w:ascii="新宋体" w:eastAsia="新宋体"/>
                <w:sz w:val="20"/>
              </w:rPr>
              <w:t>工业</w:t>
            </w:r>
          </w:p>
        </w:tc>
        <w:tc>
          <w:tcPr>
            <w:tcW w:w="742" w:type="dxa"/>
            <w:vAlign w:val="center"/>
          </w:tcPr>
          <w:p w14:paraId="6CF6E47E">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4FC9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6544AA31">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17</w:t>
            </w:r>
          </w:p>
        </w:tc>
        <w:tc>
          <w:tcPr>
            <w:tcW w:w="615" w:type="dxa"/>
            <w:vMerge w:val="continue"/>
            <w:vAlign w:val="center"/>
          </w:tcPr>
          <w:p w14:paraId="571338CB">
            <w:pPr>
              <w:snapToGrid w:val="0"/>
              <w:jc w:val="center"/>
              <w:rPr>
                <w:rFonts w:ascii="新宋体" w:eastAsia="新宋体"/>
                <w:bCs/>
                <w:sz w:val="20"/>
                <w:szCs w:val="21"/>
              </w:rPr>
            </w:pPr>
          </w:p>
        </w:tc>
        <w:tc>
          <w:tcPr>
            <w:tcW w:w="1827" w:type="dxa"/>
            <w:vAlign w:val="center"/>
          </w:tcPr>
          <w:p w14:paraId="03CF462A">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单人床2</w:t>
            </w:r>
          </w:p>
        </w:tc>
        <w:tc>
          <w:tcPr>
            <w:tcW w:w="1125" w:type="dxa"/>
            <w:vAlign w:val="center"/>
          </w:tcPr>
          <w:p w14:paraId="470E010E">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91</w:t>
            </w:r>
          </w:p>
        </w:tc>
        <w:tc>
          <w:tcPr>
            <w:tcW w:w="552" w:type="dxa"/>
            <w:vAlign w:val="center"/>
          </w:tcPr>
          <w:p w14:paraId="30FB1B4D">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4DD22F6B">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76D01611">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07EAD274">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14016738">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170E0DD6">
            <w:pPr>
              <w:snapToGrid w:val="0"/>
              <w:jc w:val="center"/>
              <w:rPr>
                <w:rFonts w:ascii="新宋体" w:eastAsia="新宋体"/>
                <w:sz w:val="20"/>
              </w:rPr>
            </w:pPr>
            <w:r>
              <w:rPr>
                <w:rFonts w:hint="eastAsia" w:ascii="新宋体" w:eastAsia="新宋体"/>
                <w:sz w:val="20"/>
              </w:rPr>
              <w:t>工业</w:t>
            </w:r>
          </w:p>
        </w:tc>
        <w:tc>
          <w:tcPr>
            <w:tcW w:w="742" w:type="dxa"/>
            <w:vAlign w:val="center"/>
          </w:tcPr>
          <w:p w14:paraId="5A6143BE">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18B81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1E88B49C">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18</w:t>
            </w:r>
          </w:p>
        </w:tc>
        <w:tc>
          <w:tcPr>
            <w:tcW w:w="615" w:type="dxa"/>
            <w:vMerge w:val="continue"/>
            <w:vAlign w:val="center"/>
          </w:tcPr>
          <w:p w14:paraId="2458DDD2">
            <w:pPr>
              <w:snapToGrid w:val="0"/>
              <w:jc w:val="center"/>
              <w:rPr>
                <w:rFonts w:ascii="新宋体" w:eastAsia="新宋体"/>
                <w:bCs/>
                <w:sz w:val="20"/>
                <w:szCs w:val="21"/>
              </w:rPr>
            </w:pPr>
          </w:p>
        </w:tc>
        <w:tc>
          <w:tcPr>
            <w:tcW w:w="1827" w:type="dxa"/>
            <w:vAlign w:val="center"/>
          </w:tcPr>
          <w:p w14:paraId="77F48B75">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床头柜</w:t>
            </w:r>
          </w:p>
        </w:tc>
        <w:tc>
          <w:tcPr>
            <w:tcW w:w="1125" w:type="dxa"/>
            <w:vAlign w:val="center"/>
          </w:tcPr>
          <w:p w14:paraId="3D3A854D">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91</w:t>
            </w:r>
          </w:p>
        </w:tc>
        <w:tc>
          <w:tcPr>
            <w:tcW w:w="552" w:type="dxa"/>
            <w:vAlign w:val="center"/>
          </w:tcPr>
          <w:p w14:paraId="7977925E">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78C970E9">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7CC6F24F">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5C1351DA">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5022E73C">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67F7BBC0">
            <w:pPr>
              <w:snapToGrid w:val="0"/>
              <w:jc w:val="center"/>
              <w:rPr>
                <w:rFonts w:ascii="新宋体" w:eastAsia="新宋体"/>
                <w:sz w:val="20"/>
              </w:rPr>
            </w:pPr>
            <w:r>
              <w:rPr>
                <w:rFonts w:hint="eastAsia" w:ascii="新宋体" w:eastAsia="新宋体"/>
                <w:sz w:val="20"/>
              </w:rPr>
              <w:t>工业</w:t>
            </w:r>
          </w:p>
        </w:tc>
        <w:tc>
          <w:tcPr>
            <w:tcW w:w="742" w:type="dxa"/>
            <w:vAlign w:val="center"/>
          </w:tcPr>
          <w:p w14:paraId="3CF558B6">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3190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110C85C5">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19</w:t>
            </w:r>
          </w:p>
        </w:tc>
        <w:tc>
          <w:tcPr>
            <w:tcW w:w="615" w:type="dxa"/>
            <w:vMerge w:val="continue"/>
            <w:vAlign w:val="center"/>
          </w:tcPr>
          <w:p w14:paraId="5A014F56">
            <w:pPr>
              <w:snapToGrid w:val="0"/>
              <w:jc w:val="center"/>
              <w:rPr>
                <w:rFonts w:ascii="新宋体" w:eastAsia="新宋体"/>
                <w:bCs/>
                <w:sz w:val="20"/>
                <w:szCs w:val="21"/>
              </w:rPr>
            </w:pPr>
          </w:p>
        </w:tc>
        <w:tc>
          <w:tcPr>
            <w:tcW w:w="1827" w:type="dxa"/>
            <w:vAlign w:val="center"/>
          </w:tcPr>
          <w:p w14:paraId="5832EED6">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书桌</w:t>
            </w:r>
          </w:p>
        </w:tc>
        <w:tc>
          <w:tcPr>
            <w:tcW w:w="1125" w:type="dxa"/>
            <w:vAlign w:val="center"/>
          </w:tcPr>
          <w:p w14:paraId="06F71ACF">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91</w:t>
            </w:r>
          </w:p>
        </w:tc>
        <w:tc>
          <w:tcPr>
            <w:tcW w:w="552" w:type="dxa"/>
            <w:vAlign w:val="center"/>
          </w:tcPr>
          <w:p w14:paraId="0FBD226C">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4EC28A02">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41F0B06E">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30E3873B">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35E19C87">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5083AF41">
            <w:pPr>
              <w:snapToGrid w:val="0"/>
              <w:jc w:val="center"/>
              <w:rPr>
                <w:rFonts w:ascii="新宋体" w:eastAsia="新宋体"/>
                <w:sz w:val="20"/>
              </w:rPr>
            </w:pPr>
            <w:r>
              <w:rPr>
                <w:rFonts w:hint="eastAsia" w:ascii="新宋体" w:eastAsia="新宋体"/>
                <w:sz w:val="20"/>
              </w:rPr>
              <w:t>工业</w:t>
            </w:r>
          </w:p>
        </w:tc>
        <w:tc>
          <w:tcPr>
            <w:tcW w:w="742" w:type="dxa"/>
            <w:vAlign w:val="center"/>
          </w:tcPr>
          <w:p w14:paraId="27022892">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7B8B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63339007">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20</w:t>
            </w:r>
          </w:p>
        </w:tc>
        <w:tc>
          <w:tcPr>
            <w:tcW w:w="615" w:type="dxa"/>
            <w:vMerge w:val="continue"/>
            <w:vAlign w:val="center"/>
          </w:tcPr>
          <w:p w14:paraId="0B5CCC79">
            <w:pPr>
              <w:snapToGrid w:val="0"/>
              <w:jc w:val="center"/>
              <w:rPr>
                <w:rFonts w:ascii="新宋体" w:eastAsia="新宋体"/>
                <w:bCs/>
                <w:sz w:val="20"/>
                <w:szCs w:val="21"/>
              </w:rPr>
            </w:pPr>
          </w:p>
        </w:tc>
        <w:tc>
          <w:tcPr>
            <w:tcW w:w="1827" w:type="dxa"/>
            <w:vAlign w:val="center"/>
          </w:tcPr>
          <w:p w14:paraId="6A60924F">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自习桌</w:t>
            </w:r>
          </w:p>
        </w:tc>
        <w:tc>
          <w:tcPr>
            <w:tcW w:w="1125" w:type="dxa"/>
            <w:vAlign w:val="center"/>
          </w:tcPr>
          <w:p w14:paraId="6718ECFC">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74</w:t>
            </w:r>
          </w:p>
        </w:tc>
        <w:tc>
          <w:tcPr>
            <w:tcW w:w="552" w:type="dxa"/>
            <w:vAlign w:val="center"/>
          </w:tcPr>
          <w:p w14:paraId="6F6972A6">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71A97C55">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2F530C22">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7F250B6F">
            <w:pPr>
              <w:widowControl/>
              <w:snapToGrid w:val="0"/>
              <w:jc w:val="center"/>
              <w:textAlignment w:val="center"/>
              <w:rPr>
                <w:rFonts w:hint="eastAsia" w:ascii="新宋体" w:hAnsi="宋体" w:eastAsia="新宋体" w:cs="宋体"/>
                <w:color w:val="000000"/>
                <w:kern w:val="0"/>
                <w:sz w:val="20"/>
                <w:szCs w:val="21"/>
                <w:lang w:val="en-US" w:eastAsia="zh-CN"/>
              </w:rPr>
            </w:pPr>
            <w:r>
              <w:rPr>
                <w:rFonts w:hint="eastAsia"/>
                <w:b/>
                <w:bCs/>
                <w:szCs w:val="21"/>
              </w:rPr>
              <w:t>优先采购</w:t>
            </w:r>
          </w:p>
        </w:tc>
        <w:tc>
          <w:tcPr>
            <w:tcW w:w="812" w:type="dxa"/>
            <w:vAlign w:val="center"/>
          </w:tcPr>
          <w:p w14:paraId="2801DF90">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3A6E7E47">
            <w:pPr>
              <w:snapToGrid w:val="0"/>
              <w:jc w:val="center"/>
              <w:rPr>
                <w:rFonts w:ascii="新宋体" w:eastAsia="新宋体"/>
                <w:sz w:val="20"/>
              </w:rPr>
            </w:pPr>
            <w:r>
              <w:rPr>
                <w:rFonts w:hint="eastAsia" w:ascii="新宋体" w:eastAsia="新宋体"/>
                <w:sz w:val="20"/>
              </w:rPr>
              <w:t>工业</w:t>
            </w:r>
          </w:p>
        </w:tc>
        <w:tc>
          <w:tcPr>
            <w:tcW w:w="742" w:type="dxa"/>
            <w:vAlign w:val="center"/>
          </w:tcPr>
          <w:p w14:paraId="7D013631">
            <w:pPr>
              <w:spacing w:line="360" w:lineRule="auto"/>
              <w:jc w:val="center"/>
              <w:rPr>
                <w:rFonts w:hint="eastAsia" w:ascii="新宋体" w:eastAsia="新宋体"/>
                <w:sz w:val="20"/>
              </w:rPr>
            </w:pPr>
            <w:r>
              <w:rPr>
                <w:rFonts w:hint="eastAsia" w:ascii="宋体" w:hAnsi="宋体" w:cs="宋体"/>
                <w:b/>
                <w:bCs/>
                <w:sz w:val="21"/>
                <w:szCs w:val="21"/>
                <w:lang w:val="en-US" w:eastAsia="zh-CN"/>
              </w:rPr>
              <w:t>750</w:t>
            </w:r>
          </w:p>
        </w:tc>
      </w:tr>
      <w:tr w14:paraId="14A8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4C298F44">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21</w:t>
            </w:r>
          </w:p>
        </w:tc>
        <w:tc>
          <w:tcPr>
            <w:tcW w:w="615" w:type="dxa"/>
            <w:vMerge w:val="continue"/>
            <w:vAlign w:val="center"/>
          </w:tcPr>
          <w:p w14:paraId="07BE6AA1">
            <w:pPr>
              <w:snapToGrid w:val="0"/>
              <w:jc w:val="center"/>
              <w:rPr>
                <w:rFonts w:ascii="新宋体" w:eastAsia="新宋体"/>
                <w:bCs/>
                <w:sz w:val="20"/>
                <w:szCs w:val="21"/>
              </w:rPr>
            </w:pPr>
          </w:p>
        </w:tc>
        <w:tc>
          <w:tcPr>
            <w:tcW w:w="1827" w:type="dxa"/>
            <w:vAlign w:val="center"/>
          </w:tcPr>
          <w:p w14:paraId="06123DC2">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自习椅</w:t>
            </w:r>
          </w:p>
        </w:tc>
        <w:tc>
          <w:tcPr>
            <w:tcW w:w="1125" w:type="dxa"/>
            <w:vAlign w:val="center"/>
          </w:tcPr>
          <w:p w14:paraId="5F08F94F">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74</w:t>
            </w:r>
          </w:p>
        </w:tc>
        <w:tc>
          <w:tcPr>
            <w:tcW w:w="552" w:type="dxa"/>
            <w:vAlign w:val="center"/>
          </w:tcPr>
          <w:p w14:paraId="6E9FF6AD">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4B6286DA">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18854C47">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67A0BC4F">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16DE7D04">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78A961C6">
            <w:pPr>
              <w:snapToGrid w:val="0"/>
              <w:jc w:val="center"/>
              <w:rPr>
                <w:rFonts w:ascii="新宋体" w:eastAsia="新宋体"/>
                <w:sz w:val="20"/>
              </w:rPr>
            </w:pPr>
            <w:r>
              <w:rPr>
                <w:rFonts w:hint="eastAsia" w:ascii="新宋体" w:eastAsia="新宋体"/>
                <w:sz w:val="20"/>
              </w:rPr>
              <w:t>工业</w:t>
            </w:r>
          </w:p>
        </w:tc>
        <w:tc>
          <w:tcPr>
            <w:tcW w:w="742" w:type="dxa"/>
            <w:vAlign w:val="center"/>
          </w:tcPr>
          <w:p w14:paraId="7D236C96">
            <w:pPr>
              <w:spacing w:line="360" w:lineRule="auto"/>
              <w:jc w:val="center"/>
              <w:rPr>
                <w:rFonts w:hint="eastAsia" w:ascii="新宋体" w:eastAsia="新宋体"/>
                <w:sz w:val="20"/>
              </w:rPr>
            </w:pPr>
            <w:r>
              <w:rPr>
                <w:rFonts w:hint="eastAsia" w:ascii="宋体" w:hAnsi="宋体" w:cs="宋体"/>
                <w:b/>
                <w:bCs/>
                <w:sz w:val="21"/>
                <w:szCs w:val="21"/>
                <w:lang w:val="en-US" w:eastAsia="zh-CN"/>
              </w:rPr>
              <w:t>450</w:t>
            </w:r>
          </w:p>
        </w:tc>
      </w:tr>
      <w:tr w14:paraId="59B7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05A4D57E">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22</w:t>
            </w:r>
          </w:p>
        </w:tc>
        <w:tc>
          <w:tcPr>
            <w:tcW w:w="615" w:type="dxa"/>
            <w:vMerge w:val="continue"/>
            <w:vAlign w:val="center"/>
          </w:tcPr>
          <w:p w14:paraId="082B94A6">
            <w:pPr>
              <w:snapToGrid w:val="0"/>
              <w:jc w:val="center"/>
              <w:rPr>
                <w:rFonts w:ascii="新宋体" w:eastAsia="新宋体"/>
                <w:bCs/>
                <w:sz w:val="20"/>
                <w:szCs w:val="21"/>
              </w:rPr>
            </w:pPr>
          </w:p>
        </w:tc>
        <w:tc>
          <w:tcPr>
            <w:tcW w:w="1827" w:type="dxa"/>
            <w:vAlign w:val="center"/>
          </w:tcPr>
          <w:p w14:paraId="6F885607">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户外圆桌</w:t>
            </w:r>
          </w:p>
        </w:tc>
        <w:tc>
          <w:tcPr>
            <w:tcW w:w="1125" w:type="dxa"/>
            <w:vAlign w:val="center"/>
          </w:tcPr>
          <w:p w14:paraId="77C5E2AC">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11</w:t>
            </w:r>
          </w:p>
        </w:tc>
        <w:tc>
          <w:tcPr>
            <w:tcW w:w="552" w:type="dxa"/>
            <w:vAlign w:val="center"/>
          </w:tcPr>
          <w:p w14:paraId="6453BA28">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64AAF369">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21E18B5A">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0B43F701">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3DC45314">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0A9B21AF">
            <w:pPr>
              <w:snapToGrid w:val="0"/>
              <w:jc w:val="center"/>
              <w:rPr>
                <w:rFonts w:ascii="新宋体" w:eastAsia="新宋体"/>
                <w:sz w:val="20"/>
              </w:rPr>
            </w:pPr>
            <w:r>
              <w:rPr>
                <w:rFonts w:hint="eastAsia" w:ascii="新宋体" w:eastAsia="新宋体"/>
                <w:sz w:val="20"/>
              </w:rPr>
              <w:t>工业</w:t>
            </w:r>
          </w:p>
        </w:tc>
        <w:tc>
          <w:tcPr>
            <w:tcW w:w="742" w:type="dxa"/>
            <w:vAlign w:val="center"/>
          </w:tcPr>
          <w:p w14:paraId="50DED128">
            <w:pPr>
              <w:spacing w:line="360" w:lineRule="auto"/>
              <w:jc w:val="center"/>
              <w:rPr>
                <w:rFonts w:hint="eastAsia" w:ascii="新宋体" w:eastAsia="新宋体"/>
                <w:sz w:val="20"/>
              </w:rPr>
            </w:pPr>
            <w:r>
              <w:rPr>
                <w:rFonts w:hint="eastAsia" w:ascii="宋体" w:hAnsi="宋体" w:cs="宋体"/>
                <w:b/>
                <w:bCs/>
                <w:sz w:val="21"/>
                <w:szCs w:val="21"/>
                <w:lang w:val="en-US" w:eastAsia="zh-CN"/>
              </w:rPr>
              <w:t>850</w:t>
            </w:r>
          </w:p>
        </w:tc>
      </w:tr>
      <w:tr w14:paraId="0820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74C251A6">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23</w:t>
            </w:r>
          </w:p>
        </w:tc>
        <w:tc>
          <w:tcPr>
            <w:tcW w:w="615" w:type="dxa"/>
            <w:vMerge w:val="continue"/>
            <w:vAlign w:val="center"/>
          </w:tcPr>
          <w:p w14:paraId="01CB24B5">
            <w:pPr>
              <w:snapToGrid w:val="0"/>
              <w:jc w:val="center"/>
              <w:rPr>
                <w:rFonts w:ascii="新宋体" w:eastAsia="新宋体"/>
                <w:bCs/>
                <w:sz w:val="20"/>
                <w:szCs w:val="21"/>
              </w:rPr>
            </w:pPr>
          </w:p>
        </w:tc>
        <w:tc>
          <w:tcPr>
            <w:tcW w:w="1827" w:type="dxa"/>
            <w:vAlign w:val="center"/>
          </w:tcPr>
          <w:p w14:paraId="674432AD">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户外椅</w:t>
            </w:r>
          </w:p>
        </w:tc>
        <w:tc>
          <w:tcPr>
            <w:tcW w:w="1125" w:type="dxa"/>
            <w:vAlign w:val="center"/>
          </w:tcPr>
          <w:p w14:paraId="6BE64A85">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44</w:t>
            </w:r>
          </w:p>
        </w:tc>
        <w:tc>
          <w:tcPr>
            <w:tcW w:w="552" w:type="dxa"/>
            <w:vAlign w:val="center"/>
          </w:tcPr>
          <w:p w14:paraId="2A8E3142">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3ABD0A78">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30685287">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7E0BCDE4">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6A4C8D0E">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712EEF8B">
            <w:pPr>
              <w:snapToGrid w:val="0"/>
              <w:jc w:val="center"/>
              <w:rPr>
                <w:rFonts w:ascii="新宋体" w:eastAsia="新宋体"/>
                <w:sz w:val="20"/>
              </w:rPr>
            </w:pPr>
            <w:r>
              <w:rPr>
                <w:rFonts w:hint="eastAsia" w:ascii="新宋体" w:eastAsia="新宋体"/>
                <w:sz w:val="20"/>
              </w:rPr>
              <w:t>工业</w:t>
            </w:r>
          </w:p>
        </w:tc>
        <w:tc>
          <w:tcPr>
            <w:tcW w:w="742" w:type="dxa"/>
            <w:vAlign w:val="center"/>
          </w:tcPr>
          <w:p w14:paraId="4346D005">
            <w:pPr>
              <w:spacing w:line="360" w:lineRule="auto"/>
              <w:jc w:val="center"/>
              <w:rPr>
                <w:rFonts w:hint="eastAsia" w:ascii="新宋体" w:eastAsia="新宋体"/>
                <w:sz w:val="20"/>
              </w:rPr>
            </w:pPr>
            <w:r>
              <w:rPr>
                <w:rFonts w:hint="eastAsia" w:ascii="宋体" w:hAnsi="宋体" w:cs="宋体"/>
                <w:b/>
                <w:bCs/>
                <w:sz w:val="21"/>
                <w:szCs w:val="21"/>
                <w:lang w:val="en-US" w:eastAsia="zh-CN"/>
              </w:rPr>
              <w:t>450</w:t>
            </w:r>
          </w:p>
        </w:tc>
      </w:tr>
      <w:tr w14:paraId="4135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1BB2960E">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24</w:t>
            </w:r>
          </w:p>
        </w:tc>
        <w:tc>
          <w:tcPr>
            <w:tcW w:w="615" w:type="dxa"/>
            <w:vMerge w:val="continue"/>
            <w:vAlign w:val="center"/>
          </w:tcPr>
          <w:p w14:paraId="6BFF6D44">
            <w:pPr>
              <w:snapToGrid w:val="0"/>
              <w:jc w:val="center"/>
              <w:rPr>
                <w:rFonts w:ascii="新宋体" w:eastAsia="新宋体"/>
                <w:bCs/>
                <w:sz w:val="20"/>
                <w:szCs w:val="21"/>
              </w:rPr>
            </w:pPr>
          </w:p>
        </w:tc>
        <w:tc>
          <w:tcPr>
            <w:tcW w:w="1827" w:type="dxa"/>
            <w:vAlign w:val="center"/>
          </w:tcPr>
          <w:p w14:paraId="283F143C">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储物柜</w:t>
            </w:r>
          </w:p>
        </w:tc>
        <w:tc>
          <w:tcPr>
            <w:tcW w:w="1125" w:type="dxa"/>
            <w:vAlign w:val="center"/>
          </w:tcPr>
          <w:p w14:paraId="7ADFA294">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43</w:t>
            </w:r>
          </w:p>
        </w:tc>
        <w:tc>
          <w:tcPr>
            <w:tcW w:w="552" w:type="dxa"/>
            <w:vAlign w:val="center"/>
          </w:tcPr>
          <w:p w14:paraId="6890C599">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个</w:t>
            </w:r>
          </w:p>
        </w:tc>
        <w:tc>
          <w:tcPr>
            <w:tcW w:w="696" w:type="dxa"/>
            <w:vAlign w:val="center"/>
          </w:tcPr>
          <w:p w14:paraId="06B515DC">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4BBA0485">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12F356E9">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7D88E52A">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4B8399B8">
            <w:pPr>
              <w:snapToGrid w:val="0"/>
              <w:jc w:val="center"/>
              <w:rPr>
                <w:rFonts w:ascii="新宋体" w:eastAsia="新宋体"/>
                <w:sz w:val="20"/>
              </w:rPr>
            </w:pPr>
            <w:r>
              <w:rPr>
                <w:rFonts w:hint="eastAsia" w:ascii="新宋体" w:eastAsia="新宋体"/>
                <w:sz w:val="20"/>
              </w:rPr>
              <w:t>工业</w:t>
            </w:r>
          </w:p>
        </w:tc>
        <w:tc>
          <w:tcPr>
            <w:tcW w:w="742" w:type="dxa"/>
            <w:vAlign w:val="center"/>
          </w:tcPr>
          <w:p w14:paraId="0BAA1C6B">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6DDE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7A30D50C">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25</w:t>
            </w:r>
          </w:p>
        </w:tc>
        <w:tc>
          <w:tcPr>
            <w:tcW w:w="615" w:type="dxa"/>
            <w:vMerge w:val="continue"/>
            <w:vAlign w:val="center"/>
          </w:tcPr>
          <w:p w14:paraId="73B2B774">
            <w:pPr>
              <w:snapToGrid w:val="0"/>
              <w:jc w:val="center"/>
              <w:rPr>
                <w:rFonts w:ascii="新宋体" w:eastAsia="新宋体"/>
                <w:bCs/>
                <w:sz w:val="20"/>
                <w:szCs w:val="21"/>
              </w:rPr>
            </w:pPr>
          </w:p>
        </w:tc>
        <w:tc>
          <w:tcPr>
            <w:tcW w:w="1827" w:type="dxa"/>
            <w:vAlign w:val="center"/>
          </w:tcPr>
          <w:p w14:paraId="71932883">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梯柜</w:t>
            </w:r>
          </w:p>
        </w:tc>
        <w:tc>
          <w:tcPr>
            <w:tcW w:w="1125" w:type="dxa"/>
            <w:vAlign w:val="center"/>
          </w:tcPr>
          <w:p w14:paraId="1678DB09">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252</w:t>
            </w:r>
          </w:p>
        </w:tc>
        <w:tc>
          <w:tcPr>
            <w:tcW w:w="552" w:type="dxa"/>
            <w:vAlign w:val="center"/>
          </w:tcPr>
          <w:p w14:paraId="53C46DE0">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张</w:t>
            </w:r>
          </w:p>
        </w:tc>
        <w:tc>
          <w:tcPr>
            <w:tcW w:w="696" w:type="dxa"/>
            <w:vAlign w:val="center"/>
          </w:tcPr>
          <w:p w14:paraId="4FEC8C11">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6F1945D2">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5FBD52AD">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31D2E080">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7E2AA872">
            <w:pPr>
              <w:snapToGrid w:val="0"/>
              <w:jc w:val="center"/>
              <w:rPr>
                <w:rFonts w:ascii="新宋体" w:eastAsia="新宋体"/>
                <w:sz w:val="20"/>
              </w:rPr>
            </w:pPr>
            <w:r>
              <w:rPr>
                <w:rFonts w:hint="eastAsia" w:ascii="新宋体" w:eastAsia="新宋体"/>
                <w:sz w:val="20"/>
              </w:rPr>
              <w:t>工业</w:t>
            </w:r>
          </w:p>
        </w:tc>
        <w:tc>
          <w:tcPr>
            <w:tcW w:w="742" w:type="dxa"/>
            <w:vAlign w:val="center"/>
          </w:tcPr>
          <w:p w14:paraId="0D97B977">
            <w:pPr>
              <w:spacing w:line="360" w:lineRule="auto"/>
              <w:jc w:val="center"/>
              <w:rPr>
                <w:rFonts w:hint="eastAsia" w:ascii="新宋体" w:eastAsia="新宋体"/>
                <w:sz w:val="20"/>
              </w:rPr>
            </w:pPr>
            <w:r>
              <w:rPr>
                <w:rFonts w:hint="eastAsia" w:ascii="宋体" w:hAnsi="宋体" w:cs="宋体"/>
                <w:b/>
                <w:bCs/>
                <w:sz w:val="21"/>
                <w:szCs w:val="21"/>
                <w:lang w:val="en-US" w:eastAsia="zh-CN"/>
              </w:rPr>
              <w:t>950</w:t>
            </w:r>
          </w:p>
        </w:tc>
      </w:tr>
      <w:tr w14:paraId="5F53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29307D6B">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26</w:t>
            </w:r>
          </w:p>
        </w:tc>
        <w:tc>
          <w:tcPr>
            <w:tcW w:w="615" w:type="dxa"/>
            <w:vMerge w:val="continue"/>
            <w:vAlign w:val="center"/>
          </w:tcPr>
          <w:p w14:paraId="05D55A2B">
            <w:pPr>
              <w:snapToGrid w:val="0"/>
              <w:jc w:val="center"/>
              <w:rPr>
                <w:rFonts w:ascii="新宋体" w:eastAsia="新宋体"/>
                <w:bCs/>
                <w:sz w:val="20"/>
                <w:szCs w:val="21"/>
              </w:rPr>
            </w:pPr>
          </w:p>
        </w:tc>
        <w:tc>
          <w:tcPr>
            <w:tcW w:w="1827" w:type="dxa"/>
            <w:vAlign w:val="center"/>
          </w:tcPr>
          <w:p w14:paraId="2390167B">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矮柜</w:t>
            </w:r>
          </w:p>
        </w:tc>
        <w:tc>
          <w:tcPr>
            <w:tcW w:w="1125" w:type="dxa"/>
            <w:vAlign w:val="center"/>
          </w:tcPr>
          <w:p w14:paraId="48C02331">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cs="宋体"/>
                <w:i w:val="0"/>
                <w:iCs w:val="0"/>
                <w:color w:val="000000"/>
                <w:kern w:val="0"/>
                <w:sz w:val="21"/>
                <w:szCs w:val="21"/>
                <w:u w:val="none"/>
                <w:lang w:val="en-US" w:eastAsia="zh-CN" w:bidi="ar"/>
              </w:rPr>
              <w:t>20</w:t>
            </w:r>
          </w:p>
        </w:tc>
        <w:tc>
          <w:tcPr>
            <w:tcW w:w="552" w:type="dxa"/>
            <w:vAlign w:val="center"/>
          </w:tcPr>
          <w:p w14:paraId="5A3D3122">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cs="宋体"/>
                <w:i w:val="0"/>
                <w:iCs w:val="0"/>
                <w:color w:val="000000"/>
                <w:kern w:val="0"/>
                <w:sz w:val="21"/>
                <w:szCs w:val="21"/>
                <w:u w:val="none"/>
                <w:lang w:val="en-US" w:eastAsia="zh-CN" w:bidi="ar"/>
              </w:rPr>
              <w:t>米</w:t>
            </w:r>
          </w:p>
        </w:tc>
        <w:tc>
          <w:tcPr>
            <w:tcW w:w="696" w:type="dxa"/>
            <w:vAlign w:val="center"/>
          </w:tcPr>
          <w:p w14:paraId="59F18DE0">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50B426F6">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06DA72F6">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28FC83E4">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4A71C5D6">
            <w:pPr>
              <w:snapToGrid w:val="0"/>
              <w:jc w:val="center"/>
              <w:rPr>
                <w:rFonts w:ascii="新宋体" w:eastAsia="新宋体"/>
                <w:sz w:val="20"/>
              </w:rPr>
            </w:pPr>
            <w:r>
              <w:rPr>
                <w:rFonts w:hint="eastAsia" w:ascii="新宋体" w:eastAsia="新宋体"/>
                <w:sz w:val="20"/>
              </w:rPr>
              <w:t>工业</w:t>
            </w:r>
          </w:p>
        </w:tc>
        <w:tc>
          <w:tcPr>
            <w:tcW w:w="742" w:type="dxa"/>
            <w:vAlign w:val="center"/>
          </w:tcPr>
          <w:p w14:paraId="68BA025F">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440C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2761E0ED">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27</w:t>
            </w:r>
          </w:p>
        </w:tc>
        <w:tc>
          <w:tcPr>
            <w:tcW w:w="615" w:type="dxa"/>
            <w:vMerge w:val="continue"/>
            <w:vAlign w:val="center"/>
          </w:tcPr>
          <w:p w14:paraId="35E01A28">
            <w:pPr>
              <w:snapToGrid w:val="0"/>
              <w:jc w:val="center"/>
              <w:rPr>
                <w:rFonts w:ascii="新宋体" w:eastAsia="新宋体"/>
                <w:bCs/>
                <w:sz w:val="20"/>
                <w:szCs w:val="21"/>
              </w:rPr>
            </w:pPr>
          </w:p>
        </w:tc>
        <w:tc>
          <w:tcPr>
            <w:tcW w:w="1827" w:type="dxa"/>
            <w:vAlign w:val="center"/>
          </w:tcPr>
          <w:p w14:paraId="27578B8F">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定制矮柜</w:t>
            </w:r>
          </w:p>
        </w:tc>
        <w:tc>
          <w:tcPr>
            <w:tcW w:w="1125" w:type="dxa"/>
            <w:vAlign w:val="center"/>
          </w:tcPr>
          <w:p w14:paraId="454E5BA4">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cs="宋体"/>
                <w:i w:val="0"/>
                <w:iCs w:val="0"/>
                <w:color w:val="000000"/>
                <w:kern w:val="0"/>
                <w:sz w:val="21"/>
                <w:szCs w:val="21"/>
                <w:u w:val="none"/>
                <w:lang w:val="en-US" w:eastAsia="zh-CN" w:bidi="ar"/>
              </w:rPr>
              <w:t>7.6</w:t>
            </w:r>
          </w:p>
        </w:tc>
        <w:tc>
          <w:tcPr>
            <w:tcW w:w="552" w:type="dxa"/>
            <w:vAlign w:val="center"/>
          </w:tcPr>
          <w:p w14:paraId="184AD613">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cs="宋体"/>
                <w:i w:val="0"/>
                <w:iCs w:val="0"/>
                <w:color w:val="000000"/>
                <w:kern w:val="0"/>
                <w:sz w:val="21"/>
                <w:szCs w:val="21"/>
                <w:u w:val="none"/>
                <w:lang w:val="en-US" w:eastAsia="zh-CN" w:bidi="ar"/>
              </w:rPr>
              <w:t>米</w:t>
            </w:r>
          </w:p>
        </w:tc>
        <w:tc>
          <w:tcPr>
            <w:tcW w:w="696" w:type="dxa"/>
            <w:vAlign w:val="center"/>
          </w:tcPr>
          <w:p w14:paraId="15587EBB">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3F1D4937">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120766D8">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7D82390E">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0AE9BD66">
            <w:pPr>
              <w:snapToGrid w:val="0"/>
              <w:jc w:val="center"/>
              <w:rPr>
                <w:rFonts w:ascii="新宋体" w:eastAsia="新宋体"/>
                <w:sz w:val="20"/>
              </w:rPr>
            </w:pPr>
            <w:r>
              <w:rPr>
                <w:rFonts w:hint="eastAsia" w:ascii="新宋体" w:eastAsia="新宋体"/>
                <w:sz w:val="20"/>
              </w:rPr>
              <w:t>工业</w:t>
            </w:r>
          </w:p>
        </w:tc>
        <w:tc>
          <w:tcPr>
            <w:tcW w:w="742" w:type="dxa"/>
            <w:vAlign w:val="center"/>
          </w:tcPr>
          <w:p w14:paraId="326E5B7B">
            <w:pPr>
              <w:spacing w:line="360" w:lineRule="auto"/>
              <w:jc w:val="center"/>
              <w:rPr>
                <w:rFonts w:hint="eastAsia" w:ascii="新宋体" w:eastAsia="新宋体"/>
                <w:sz w:val="20"/>
              </w:rPr>
            </w:pPr>
            <w:r>
              <w:rPr>
                <w:rFonts w:hint="eastAsia" w:ascii="宋体" w:hAnsi="宋体" w:cs="宋体"/>
                <w:b/>
                <w:bCs/>
                <w:sz w:val="21"/>
                <w:szCs w:val="21"/>
                <w:lang w:val="en-US" w:eastAsia="zh-CN"/>
              </w:rPr>
              <w:t>/</w:t>
            </w:r>
          </w:p>
        </w:tc>
      </w:tr>
      <w:tr w14:paraId="1E00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Align w:val="center"/>
          </w:tcPr>
          <w:p w14:paraId="20ACE59A">
            <w:pPr>
              <w:widowControl/>
              <w:snapToGrid w:val="0"/>
              <w:jc w:val="center"/>
              <w:textAlignment w:val="center"/>
              <w:rPr>
                <w:rFonts w:ascii="新宋体" w:eastAsia="新宋体"/>
                <w:sz w:val="20"/>
              </w:rPr>
            </w:pPr>
            <w:r>
              <w:rPr>
                <w:rFonts w:hint="eastAsia" w:ascii="新宋体" w:hAnsi="新宋体" w:eastAsia="新宋体" w:cs="新宋体"/>
                <w:color w:val="000000"/>
                <w:kern w:val="0"/>
                <w:sz w:val="20"/>
                <w:szCs w:val="20"/>
                <w:lang w:bidi="ar"/>
              </w:rPr>
              <w:t>28</w:t>
            </w:r>
          </w:p>
        </w:tc>
        <w:tc>
          <w:tcPr>
            <w:tcW w:w="615" w:type="dxa"/>
            <w:vMerge w:val="continue"/>
            <w:vAlign w:val="center"/>
          </w:tcPr>
          <w:p w14:paraId="1C011313">
            <w:pPr>
              <w:snapToGrid w:val="0"/>
              <w:jc w:val="center"/>
              <w:rPr>
                <w:rFonts w:ascii="新宋体" w:eastAsia="新宋体"/>
                <w:bCs/>
                <w:sz w:val="20"/>
                <w:szCs w:val="21"/>
              </w:rPr>
            </w:pPr>
          </w:p>
        </w:tc>
        <w:tc>
          <w:tcPr>
            <w:tcW w:w="1827" w:type="dxa"/>
            <w:vAlign w:val="center"/>
          </w:tcPr>
          <w:p w14:paraId="7B1BD506">
            <w:pPr>
              <w:keepNext w:val="0"/>
              <w:keepLines w:val="0"/>
              <w:widowControl/>
              <w:suppressLineNumbers w:val="0"/>
              <w:spacing w:line="360" w:lineRule="auto"/>
              <w:jc w:val="left"/>
              <w:textAlignment w:val="center"/>
              <w:rPr>
                <w:rFonts w:hint="eastAsia" w:ascii="新宋体" w:hAnsi="宋体" w:eastAsia="新宋体" w:cs="宋体"/>
                <w:sz w:val="20"/>
                <w:szCs w:val="21"/>
              </w:rPr>
            </w:pPr>
            <w:r>
              <w:rPr>
                <w:rFonts w:hint="eastAsia" w:ascii="宋体" w:hAnsi="宋体" w:eastAsia="宋体" w:cs="宋体"/>
                <w:i w:val="0"/>
                <w:iCs w:val="0"/>
                <w:color w:val="000000"/>
                <w:kern w:val="0"/>
                <w:sz w:val="21"/>
                <w:szCs w:val="21"/>
                <w:u w:val="none"/>
                <w:lang w:val="en-US" w:eastAsia="zh-CN" w:bidi="ar"/>
              </w:rPr>
              <w:t>货架</w:t>
            </w:r>
          </w:p>
        </w:tc>
        <w:tc>
          <w:tcPr>
            <w:tcW w:w="1125" w:type="dxa"/>
            <w:vAlign w:val="center"/>
          </w:tcPr>
          <w:p w14:paraId="46F7DE9C">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cs="宋体"/>
                <w:i w:val="0"/>
                <w:iCs w:val="0"/>
                <w:color w:val="000000"/>
                <w:kern w:val="0"/>
                <w:sz w:val="21"/>
                <w:szCs w:val="21"/>
                <w:u w:val="none"/>
                <w:lang w:val="en-US" w:eastAsia="zh-CN" w:bidi="ar"/>
              </w:rPr>
              <w:t>9.4</w:t>
            </w:r>
          </w:p>
        </w:tc>
        <w:tc>
          <w:tcPr>
            <w:tcW w:w="552" w:type="dxa"/>
            <w:vAlign w:val="center"/>
          </w:tcPr>
          <w:p w14:paraId="5628A340">
            <w:pPr>
              <w:keepNext w:val="0"/>
              <w:keepLines w:val="0"/>
              <w:widowControl/>
              <w:suppressLineNumbers w:val="0"/>
              <w:spacing w:line="360" w:lineRule="auto"/>
              <w:jc w:val="center"/>
              <w:textAlignment w:val="center"/>
              <w:rPr>
                <w:rFonts w:hint="eastAsia" w:ascii="新宋体" w:hAnsi="宋体" w:eastAsia="新宋体" w:cs="宋体"/>
                <w:sz w:val="20"/>
                <w:szCs w:val="21"/>
              </w:rPr>
            </w:pPr>
            <w:r>
              <w:rPr>
                <w:rFonts w:hint="eastAsia" w:ascii="宋体" w:hAnsi="宋体" w:cs="宋体"/>
                <w:i w:val="0"/>
                <w:iCs w:val="0"/>
                <w:color w:val="000000"/>
                <w:kern w:val="0"/>
                <w:sz w:val="21"/>
                <w:szCs w:val="21"/>
                <w:u w:val="none"/>
                <w:lang w:val="en-US" w:eastAsia="zh-CN" w:bidi="ar"/>
              </w:rPr>
              <w:t>米</w:t>
            </w:r>
          </w:p>
        </w:tc>
        <w:tc>
          <w:tcPr>
            <w:tcW w:w="696" w:type="dxa"/>
            <w:vAlign w:val="center"/>
          </w:tcPr>
          <w:p w14:paraId="4D616CB3">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0"/>
                <w:lang w:bidi="ar"/>
              </w:rPr>
              <w:t>拒绝进口</w:t>
            </w:r>
          </w:p>
        </w:tc>
        <w:tc>
          <w:tcPr>
            <w:tcW w:w="660" w:type="dxa"/>
            <w:vAlign w:val="center"/>
          </w:tcPr>
          <w:p w14:paraId="5864BB19">
            <w:pPr>
              <w:widowControl/>
              <w:snapToGrid w:val="0"/>
              <w:jc w:val="center"/>
              <w:textAlignment w:val="center"/>
              <w:rPr>
                <w:rFonts w:hint="eastAsia" w:ascii="新宋体" w:hAnsi="宋体" w:eastAsia="新宋体" w:cs="宋体"/>
                <w:color w:val="000000"/>
                <w:kern w:val="0"/>
                <w:sz w:val="20"/>
                <w:szCs w:val="21"/>
              </w:rPr>
            </w:pPr>
            <w:r>
              <w:rPr>
                <w:rFonts w:hint="eastAsia" w:ascii="新宋体" w:hAnsi="宋体" w:eastAsia="新宋体" w:cs="宋体"/>
                <w:color w:val="000000"/>
                <w:kern w:val="0"/>
                <w:sz w:val="20"/>
                <w:szCs w:val="21"/>
              </w:rPr>
              <w:t>否</w:t>
            </w:r>
          </w:p>
        </w:tc>
        <w:tc>
          <w:tcPr>
            <w:tcW w:w="696" w:type="dxa"/>
            <w:vAlign w:val="center"/>
          </w:tcPr>
          <w:p w14:paraId="55C73466">
            <w:pPr>
              <w:widowControl/>
              <w:snapToGrid w:val="0"/>
              <w:jc w:val="center"/>
              <w:textAlignment w:val="center"/>
              <w:rPr>
                <w:rFonts w:hint="eastAsia" w:ascii="新宋体" w:hAnsi="宋体" w:eastAsia="新宋体" w:cs="宋体"/>
                <w:color w:val="000000"/>
                <w:kern w:val="0"/>
                <w:sz w:val="20"/>
                <w:szCs w:val="21"/>
              </w:rPr>
            </w:pPr>
            <w:r>
              <w:rPr>
                <w:rFonts w:hint="eastAsia"/>
                <w:b/>
                <w:bCs/>
                <w:szCs w:val="21"/>
              </w:rPr>
              <w:t>优先采购</w:t>
            </w:r>
          </w:p>
        </w:tc>
        <w:tc>
          <w:tcPr>
            <w:tcW w:w="812" w:type="dxa"/>
            <w:vAlign w:val="center"/>
          </w:tcPr>
          <w:p w14:paraId="00D87689">
            <w:pPr>
              <w:snapToGrid w:val="0"/>
              <w:jc w:val="center"/>
              <w:rPr>
                <w:rFonts w:hint="eastAsia" w:ascii="新宋体" w:hAnsi="宋体" w:eastAsia="新宋体" w:cs="宋体"/>
                <w:bCs/>
                <w:color w:val="FF0000"/>
                <w:sz w:val="20"/>
                <w:szCs w:val="21"/>
              </w:rPr>
            </w:pPr>
            <w:r>
              <w:rPr>
                <w:rFonts w:hint="eastAsia" w:ascii="新宋体" w:hAnsi="宋体" w:eastAsia="新宋体" w:cs="宋体"/>
                <w:color w:val="000000"/>
                <w:kern w:val="0"/>
                <w:sz w:val="20"/>
                <w:szCs w:val="20"/>
                <w:lang w:bidi="ar"/>
              </w:rPr>
              <w:t>否</w:t>
            </w:r>
          </w:p>
        </w:tc>
        <w:tc>
          <w:tcPr>
            <w:tcW w:w="826" w:type="dxa"/>
            <w:vAlign w:val="center"/>
          </w:tcPr>
          <w:p w14:paraId="278934D5">
            <w:pPr>
              <w:snapToGrid w:val="0"/>
              <w:jc w:val="center"/>
              <w:rPr>
                <w:rFonts w:ascii="新宋体" w:eastAsia="新宋体"/>
                <w:sz w:val="20"/>
              </w:rPr>
            </w:pPr>
            <w:r>
              <w:rPr>
                <w:rFonts w:hint="eastAsia" w:ascii="新宋体" w:eastAsia="新宋体"/>
                <w:sz w:val="20"/>
              </w:rPr>
              <w:t>工业</w:t>
            </w:r>
          </w:p>
        </w:tc>
        <w:tc>
          <w:tcPr>
            <w:tcW w:w="742" w:type="dxa"/>
            <w:vAlign w:val="center"/>
          </w:tcPr>
          <w:p w14:paraId="65E851D6">
            <w:pPr>
              <w:spacing w:line="360" w:lineRule="auto"/>
              <w:jc w:val="center"/>
              <w:rPr>
                <w:rFonts w:hint="eastAsia" w:ascii="新宋体" w:eastAsia="新宋体"/>
                <w:sz w:val="20"/>
              </w:rPr>
            </w:pPr>
            <w:r>
              <w:rPr>
                <w:rFonts w:hint="eastAsia" w:ascii="宋体" w:hAnsi="宋体" w:cs="宋体"/>
                <w:b/>
                <w:bCs/>
                <w:sz w:val="21"/>
                <w:szCs w:val="21"/>
                <w:lang w:val="en-US" w:eastAsia="zh-CN"/>
              </w:rPr>
              <w:t>950</w:t>
            </w:r>
          </w:p>
        </w:tc>
      </w:tr>
      <w:bookmarkEnd w:id="38"/>
    </w:tbl>
    <w:p w14:paraId="6367FE87">
      <w:pPr>
        <w:ind w:firstLine="422" w:firstLineChars="200"/>
        <w:rPr>
          <w:rFonts w:hint="eastAsia" w:ascii="宋体" w:hAnsi="宋体"/>
          <w:b/>
          <w:szCs w:val="21"/>
        </w:rPr>
      </w:pPr>
      <w:r>
        <w:rPr>
          <w:rFonts w:hint="eastAsia" w:ascii="宋体" w:hAnsi="宋体" w:cs="宋体"/>
          <w:b/>
          <w:szCs w:val="21"/>
        </w:rPr>
        <w:t>备注：1.备注栏注明“拒绝进口”的产品不接受投标人选用进口产</w:t>
      </w:r>
      <w:r>
        <w:rPr>
          <w:rFonts w:hint="eastAsia" w:ascii="宋体" w:hAnsi="宋体"/>
          <w:b/>
          <w:szCs w:val="21"/>
        </w:rPr>
        <w:t xml:space="preserve">品参与投标；注明“接受进口”的产品允许投标人选用进口产品参与投标，但不排斥国内产品。 </w:t>
      </w:r>
    </w:p>
    <w:p w14:paraId="7FC18E25">
      <w:pPr>
        <w:ind w:firstLine="422" w:firstLineChars="200"/>
        <w:rPr>
          <w:rFonts w:hint="eastAsia" w:ascii="宋体" w:hAnsi="宋体"/>
          <w:b/>
          <w:szCs w:val="21"/>
        </w:rPr>
      </w:pPr>
      <w:r>
        <w:rPr>
          <w:rFonts w:hint="eastAsia" w:ascii="宋体" w:hAnsi="宋体"/>
          <w:b/>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bookmarkEnd w:id="37"/>
    <w:p w14:paraId="507F1DEC">
      <w:pPr>
        <w:ind w:firstLine="422" w:firstLineChars="200"/>
        <w:rPr>
          <w:rFonts w:hint="eastAsia" w:ascii="宋体" w:hAnsi="宋体"/>
          <w:b/>
          <w:color w:val="FF0000"/>
          <w:szCs w:val="21"/>
        </w:rPr>
      </w:pPr>
      <w:bookmarkStart w:id="39" w:name="_Toc128884461"/>
      <w:r>
        <w:rPr>
          <w:rFonts w:hint="eastAsia" w:ascii="宋体" w:hAnsi="宋体"/>
          <w:b/>
          <w:color w:val="FF0000"/>
          <w:szCs w:val="21"/>
        </w:rPr>
        <w:t>3.“是否为节能产品”一栏，由采购人根据《关于印发节能产品政府采购品目清单的通知》（财库〔2019〕19号）的品目清单填写，填写为“优先采购”则给与相应评审加分，填写为“★强制采购”则要求供应商必须提供符合规定的节能产品，否则投标无效。</w:t>
      </w:r>
    </w:p>
    <w:p w14:paraId="46851847">
      <w:pPr>
        <w:pStyle w:val="39"/>
        <w:ind w:firstLine="422" w:firstLineChars="200"/>
      </w:pPr>
      <w:r>
        <w:rPr>
          <w:rFonts w:hint="eastAsia" w:ascii="宋体" w:hAnsi="宋体"/>
          <w:b/>
          <w:color w:val="FF0000"/>
          <w:szCs w:val="21"/>
        </w:rPr>
        <w:t>4.“是否为环境标志产品”一栏，由采购人根据《关于印发环境标志产品政府采购品目清单的通知》（财库〔2019〕18号）的品目清单填写，填写为“优先采购”则给与相应评审加分。</w:t>
      </w:r>
    </w:p>
    <w:bookmarkEnd w:id="39"/>
    <w:p w14:paraId="6ACF236C">
      <w:pPr>
        <w:ind w:firstLine="422" w:firstLineChars="200"/>
        <w:rPr>
          <w:rFonts w:hint="eastAsia" w:ascii="宋体" w:hAnsi="宋体"/>
          <w:b/>
          <w:color w:val="FF0000"/>
          <w:szCs w:val="21"/>
        </w:rPr>
      </w:pPr>
      <w:r>
        <w:rPr>
          <w:rFonts w:hint="eastAsia" w:ascii="宋体" w:hAnsi="宋体"/>
          <w:b/>
          <w:color w:val="FF0000"/>
          <w:szCs w:val="21"/>
        </w:rPr>
        <w:t>5.本项目核心产品：</w:t>
      </w:r>
      <w:r>
        <w:rPr>
          <w:rFonts w:hint="eastAsia" w:ascii="宋体" w:hAnsi="宋体"/>
          <w:b/>
          <w:color w:val="FF0000"/>
          <w:szCs w:val="21"/>
          <w:u w:val="single"/>
        </w:rPr>
        <w:t>床架（序号</w:t>
      </w:r>
      <w:r>
        <w:rPr>
          <w:rFonts w:hint="eastAsia" w:ascii="宋体" w:hAnsi="宋体"/>
          <w:b/>
          <w:color w:val="FF0000"/>
          <w:szCs w:val="21"/>
          <w:u w:val="single"/>
          <w:lang w:val="en-US" w:eastAsia="zh-CN"/>
        </w:rPr>
        <w:t>1</w:t>
      </w:r>
      <w:r>
        <w:rPr>
          <w:rFonts w:hint="eastAsia" w:ascii="宋体" w:hAnsi="宋体"/>
          <w:b/>
          <w:color w:val="FF0000"/>
          <w:szCs w:val="21"/>
          <w:u w:val="single"/>
        </w:rPr>
        <w:t>）</w:t>
      </w:r>
      <w:r>
        <w:rPr>
          <w:rFonts w:hint="eastAsia" w:ascii="宋体" w:hAnsi="宋体"/>
          <w:b/>
          <w:color w:val="FF0000"/>
          <w:szCs w:val="21"/>
        </w:rPr>
        <w:t>。</w:t>
      </w:r>
    </w:p>
    <w:p w14:paraId="6AE470D4">
      <w:pPr>
        <w:pStyle w:val="8"/>
        <w:spacing w:before="120" w:beforeLines="50" w:after="120" w:afterLines="50"/>
        <w:rPr>
          <w:rFonts w:hint="eastAsia"/>
          <w:sz w:val="28"/>
          <w:szCs w:val="28"/>
        </w:rPr>
      </w:pPr>
      <w:r>
        <w:rPr>
          <w:rFonts w:hint="eastAsia"/>
          <w:sz w:val="28"/>
          <w:szCs w:val="28"/>
        </w:rPr>
        <w:t>三、实质性条款</w:t>
      </w:r>
    </w:p>
    <w:tbl>
      <w:tblPr>
        <w:tblStyle w:val="21"/>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609"/>
      </w:tblGrid>
      <w:tr w14:paraId="0D55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1820646D">
            <w:pPr>
              <w:adjustRightInd w:val="0"/>
              <w:snapToGrid w:val="0"/>
              <w:spacing w:line="360" w:lineRule="auto"/>
              <w:jc w:val="center"/>
              <w:rPr>
                <w:rFonts w:hint="eastAsia" w:ascii="宋体" w:hAnsi="宋体"/>
                <w:kern w:val="0"/>
                <w:szCs w:val="21"/>
              </w:rPr>
            </w:pPr>
            <w:r>
              <w:rPr>
                <w:rFonts w:hint="eastAsia" w:ascii="宋体" w:hAnsi="宋体"/>
                <w:kern w:val="0"/>
                <w:szCs w:val="21"/>
              </w:rPr>
              <w:t>序号</w:t>
            </w:r>
          </w:p>
        </w:tc>
        <w:tc>
          <w:tcPr>
            <w:tcW w:w="7609" w:type="dxa"/>
            <w:vAlign w:val="center"/>
          </w:tcPr>
          <w:p w14:paraId="3045A9D3">
            <w:pPr>
              <w:adjustRightInd w:val="0"/>
              <w:snapToGrid w:val="0"/>
              <w:spacing w:line="360" w:lineRule="auto"/>
              <w:jc w:val="center"/>
              <w:rPr>
                <w:rFonts w:hint="eastAsia" w:ascii="宋体" w:hAnsi="宋体"/>
                <w:kern w:val="0"/>
                <w:szCs w:val="21"/>
              </w:rPr>
            </w:pPr>
            <w:r>
              <w:rPr>
                <w:rFonts w:hint="eastAsia" w:ascii="宋体" w:hAnsi="宋体"/>
                <w:kern w:val="0"/>
                <w:szCs w:val="21"/>
              </w:rPr>
              <w:t>实质性条款具体内容</w:t>
            </w:r>
          </w:p>
        </w:tc>
      </w:tr>
      <w:tr w14:paraId="03F1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 w:type="dxa"/>
            <w:vAlign w:val="center"/>
          </w:tcPr>
          <w:p w14:paraId="10B30C35">
            <w:pPr>
              <w:adjustRightInd w:val="0"/>
              <w:snapToGrid w:val="0"/>
              <w:spacing w:line="360" w:lineRule="auto"/>
              <w:jc w:val="center"/>
              <w:rPr>
                <w:rFonts w:hint="eastAsia" w:ascii="宋体" w:hAnsi="宋体"/>
                <w:kern w:val="0"/>
                <w:szCs w:val="21"/>
              </w:rPr>
            </w:pPr>
            <w:r>
              <w:rPr>
                <w:rFonts w:hint="eastAsia" w:ascii="宋体" w:hAnsi="宋体"/>
                <w:kern w:val="0"/>
                <w:szCs w:val="21"/>
              </w:rPr>
              <w:t>1</w:t>
            </w:r>
          </w:p>
        </w:tc>
        <w:tc>
          <w:tcPr>
            <w:tcW w:w="7609" w:type="dxa"/>
            <w:vAlign w:val="center"/>
          </w:tcPr>
          <w:p w14:paraId="083B6FAA">
            <w:pPr>
              <w:adjustRightInd w:val="0"/>
              <w:snapToGrid w:val="0"/>
              <w:spacing w:line="360" w:lineRule="auto"/>
              <w:jc w:val="center"/>
              <w:rPr>
                <w:rFonts w:hint="eastAsia" w:hAnsi="宋体"/>
                <w:kern w:val="0"/>
                <w:szCs w:val="21"/>
                <w:highlight w:val="yellow"/>
              </w:rPr>
            </w:pPr>
            <w:r>
              <w:rPr>
                <w:rFonts w:hint="eastAsia" w:ascii="宋体" w:hAnsi="宋体"/>
                <w:kern w:val="0"/>
                <w:szCs w:val="21"/>
              </w:rPr>
              <w:t>具体以采购文件第三章 用户需求书中带“★”的需求项为准。</w:t>
            </w:r>
          </w:p>
        </w:tc>
      </w:tr>
    </w:tbl>
    <w:p w14:paraId="093A2DCA">
      <w:pPr>
        <w:rPr>
          <w:b/>
        </w:rPr>
      </w:pPr>
      <w:r>
        <w:rPr>
          <w:rFonts w:hint="eastAsia"/>
          <w:b/>
        </w:rPr>
        <w:t>注：上表所列内容为不可负偏离条款，负偏离将视为未实质性满足招标文件要求作投标无效处理。</w:t>
      </w:r>
    </w:p>
    <w:p w14:paraId="18C14732">
      <w:pPr>
        <w:pStyle w:val="8"/>
        <w:spacing w:before="120" w:beforeLines="50" w:after="120" w:afterLines="50"/>
        <w:rPr>
          <w:rFonts w:hint="eastAsia"/>
          <w:sz w:val="28"/>
          <w:szCs w:val="28"/>
        </w:rPr>
      </w:pPr>
      <w:r>
        <w:rPr>
          <w:rFonts w:hint="eastAsia"/>
          <w:sz w:val="28"/>
          <w:szCs w:val="28"/>
        </w:rPr>
        <w:t>四、技术要求</w:t>
      </w:r>
    </w:p>
    <w:p w14:paraId="26ACA71D">
      <w:pPr>
        <w:ind w:firstLine="422" w:firstLineChars="200"/>
        <w:rPr>
          <w:b/>
        </w:rPr>
      </w:pPr>
      <w:r>
        <w:rPr>
          <w:rFonts w:hint="eastAsia"/>
          <w:b/>
          <w:szCs w:val="21"/>
        </w:rPr>
        <w:t>说明：</w:t>
      </w:r>
      <w:r>
        <w:rPr>
          <w:b/>
          <w:szCs w:val="21"/>
        </w:rPr>
        <w:t xml:space="preserve"> </w:t>
      </w:r>
      <w:r>
        <w:rPr>
          <w:b/>
        </w:rPr>
        <w:t>1</w:t>
      </w:r>
      <w:r>
        <w:rPr>
          <w:rFonts w:hint="eastAsia"/>
          <w:b/>
        </w:rPr>
        <w:t>.评分时，如对一项招标技术要求（以划分框为准）中的内容存在两处（或以上）负偏离的，在评分时只作一项负偏离扣分。</w:t>
      </w:r>
    </w:p>
    <w:p w14:paraId="50EE846A">
      <w:pPr>
        <w:ind w:firstLine="422" w:firstLineChars="200"/>
        <w:rPr>
          <w:b/>
          <w:szCs w:val="21"/>
        </w:rPr>
      </w:pPr>
      <w:r>
        <w:rPr>
          <w:b/>
          <w:szCs w:val="21"/>
        </w:rPr>
        <w:t>2</w:t>
      </w:r>
      <w:r>
        <w:rPr>
          <w:rFonts w:hint="eastAsia"/>
          <w:b/>
          <w:szCs w:val="21"/>
        </w:rPr>
        <w:t>.带★号条款为不可负偏离条款，不作为评分准则中的评分内容，如未响应或出现负偏离的，将作投标无效处理；带“</w:t>
      </w:r>
      <w:r>
        <w:t>▲</w:t>
      </w:r>
      <w:r>
        <w:rPr>
          <w:rFonts w:hint="eastAsia"/>
          <w:b/>
          <w:szCs w:val="21"/>
        </w:rPr>
        <w:t>”指标项为重要参数条款，负偏离时依相关评分准则内容作重点扣分处理。</w:t>
      </w:r>
    </w:p>
    <w:p w14:paraId="1A94949B">
      <w:pPr>
        <w:ind w:firstLine="422" w:firstLineChars="200"/>
        <w:rPr>
          <w:b/>
          <w:szCs w:val="21"/>
        </w:rPr>
      </w:pPr>
      <w:r>
        <w:rPr>
          <w:b/>
          <w:szCs w:val="21"/>
        </w:rPr>
        <w:t>3</w:t>
      </w:r>
      <w:bookmarkStart w:id="40" w:name="_Hlk72585069"/>
      <w:r>
        <w:rPr>
          <w:rFonts w:hint="eastAsia"/>
          <w:b/>
          <w:szCs w:val="21"/>
        </w:rPr>
        <w:t>.招标技术要求中，用</w:t>
      </w:r>
      <w:r>
        <w:rPr>
          <w:rFonts w:hint="eastAsia"/>
          <w:b/>
          <w:color w:val="FF0000"/>
          <w:szCs w:val="21"/>
        </w:rPr>
        <w:t>红色加粗字体标注</w:t>
      </w:r>
      <w:r>
        <w:rPr>
          <w:rFonts w:hint="eastAsia"/>
          <w:b/>
          <w:szCs w:val="21"/>
        </w:rPr>
        <w:t>的指标项均要求提供证明资料；其余指标项未要求提供证明资料，无需提供相关证明资料。</w:t>
      </w:r>
    </w:p>
    <w:p w14:paraId="7F784198">
      <w:pPr>
        <w:ind w:firstLine="422" w:firstLineChars="200"/>
        <w:rPr>
          <w:rFonts w:hint="eastAsia"/>
          <w:b/>
          <w:szCs w:val="21"/>
        </w:rPr>
      </w:pPr>
      <w:r>
        <w:rPr>
          <w:rFonts w:hint="eastAsia"/>
          <w:b/>
          <w:szCs w:val="21"/>
        </w:rPr>
        <w:t>4.涉及区间的参数，除特别注明以外，</w:t>
      </w:r>
      <w:bookmarkStart w:id="41" w:name="_Hlk75447406"/>
      <w:r>
        <w:rPr>
          <w:rFonts w:hint="eastAsia"/>
          <w:b/>
          <w:szCs w:val="21"/>
        </w:rPr>
        <w:t>产品参数区间与招标要求不一致的均视为负偏离。</w:t>
      </w:r>
      <w:bookmarkEnd w:id="41"/>
      <w:r>
        <w:rPr>
          <w:rFonts w:hint="eastAsia"/>
          <w:b/>
          <w:szCs w:val="21"/>
        </w:rPr>
        <w:t>例：区间要求为0-20ML,只要响应的不是“0-20ML”，如投标文件响应为 0-15ML 、0-21ML 、1-12ML 、 9-20ML 、6-21ML 、9ML等情形均视为负偏离。</w:t>
      </w:r>
    </w:p>
    <w:p w14:paraId="454B7B11">
      <w:pPr>
        <w:ind w:firstLine="422" w:firstLineChars="200"/>
        <w:rPr>
          <w:rFonts w:hint="eastAsia"/>
          <w:b/>
          <w:color w:val="FF0000"/>
          <w:szCs w:val="21"/>
        </w:rPr>
      </w:pPr>
      <w:r>
        <w:rPr>
          <w:rFonts w:hint="eastAsia"/>
          <w:b/>
          <w:color w:val="FF0000"/>
          <w:szCs w:val="21"/>
        </w:rPr>
        <w:t>5</w:t>
      </w:r>
      <w:r>
        <w:rPr>
          <w:rFonts w:hint="eastAsia"/>
          <w:b/>
          <w:color w:val="FF0000"/>
          <w:szCs w:val="21"/>
          <w:lang w:val="en-US" w:eastAsia="zh-CN"/>
        </w:rPr>
        <w:t>.</w:t>
      </w:r>
      <w:r>
        <w:rPr>
          <w:rFonts w:hint="eastAsia"/>
          <w:b/>
          <w:color w:val="FF0000"/>
          <w:szCs w:val="21"/>
        </w:rPr>
        <w:t>要求提供检验（检测）报告的，检验（检测）报告分为原材料检验（检测）报告及成品检验（检测）报告。如要求提供原材料（或零部件）检验（检测）报告，检验（检测）报告送检单位（委托单位）须是投标人或所投产品制造商（须与分项报价表一致）或所投产品原材料（或零部件）供应商。若送检单位（委托单位）是所投产品原材料（或零部件）供应商，须同时提供投标人或所投产品制造商（须与分项报价表一致）购买对应原材料（或零部件）的发票扫描件（开票日期在投标截止日前一年内）。如要求提供成品检验（检测）报告，检验（检测）报告送检单位（委托单位）须是投标人或所投产品制造商（须与分项报价表一致）。</w:t>
      </w:r>
    </w:p>
    <w:p w14:paraId="79B64F3A">
      <w:pPr>
        <w:ind w:firstLine="422" w:firstLineChars="200"/>
        <w:rPr>
          <w:b/>
          <w:color w:val="FF0000"/>
          <w:szCs w:val="21"/>
        </w:rPr>
      </w:pPr>
      <w:r>
        <w:rPr>
          <w:rFonts w:hint="eastAsia"/>
          <w:b/>
          <w:color w:val="FF0000"/>
          <w:szCs w:val="21"/>
        </w:rPr>
        <w:t>6</w:t>
      </w:r>
      <w:r>
        <w:rPr>
          <w:rFonts w:hint="eastAsia"/>
          <w:b/>
          <w:color w:val="FF0000"/>
          <w:szCs w:val="21"/>
          <w:lang w:val="en-US" w:eastAsia="zh-CN"/>
        </w:rPr>
        <w:t>.</w:t>
      </w:r>
      <w:r>
        <w:rPr>
          <w:rFonts w:hint="eastAsia"/>
          <w:b/>
          <w:color w:val="FF0000"/>
          <w:szCs w:val="21"/>
        </w:rPr>
        <w:t>要求检验（检测）报告要求具有CMA等标识的，若有材料证明相关检测事项不在实施该项检测的机构许可（认可）CMA等资质范围或检测范围内的，该检验（检测）报告视为不满足招标文件要求。</w:t>
      </w:r>
    </w:p>
    <w:p w14:paraId="7910E48E">
      <w:pPr>
        <w:ind w:firstLine="422" w:firstLineChars="200"/>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7</w:t>
      </w:r>
      <w:r>
        <w:rPr>
          <w:rFonts w:hint="eastAsia"/>
          <w:b/>
          <w:color w:val="000000" w:themeColor="text1"/>
          <w:szCs w:val="21"/>
          <w:lang w:val="en-US" w:eastAsia="zh-CN"/>
          <w14:textFill>
            <w14:solidFill>
              <w14:schemeClr w14:val="tx1"/>
            </w14:solidFill>
          </w14:textFill>
        </w:rPr>
        <w:t>.</w:t>
      </w:r>
      <w:r>
        <w:rPr>
          <w:rFonts w:hint="eastAsia"/>
          <w:b/>
          <w:color w:val="000000" w:themeColor="text1"/>
          <w:szCs w:val="21"/>
          <w14:textFill>
            <w14:solidFill>
              <w14:schemeClr w14:val="tx1"/>
            </w14:solidFill>
          </w14:textFill>
        </w:rPr>
        <w:t>相关证明材料的产品名称与招标文件要求的名称不完全一致的，需提供为同种产品的说明；若名称不完全一致又未提供说明的，由评审委员会判定是否符合文件要求。</w:t>
      </w:r>
    </w:p>
    <w:tbl>
      <w:tblPr>
        <w:tblStyle w:val="21"/>
        <w:tblW w:w="968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54"/>
        <w:gridCol w:w="1003"/>
        <w:gridCol w:w="8030"/>
      </w:tblGrid>
      <w:tr w14:paraId="6471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shd w:val="clear" w:color="auto" w:fill="BEBEBE"/>
            <w:vAlign w:val="center"/>
          </w:tcPr>
          <w:p w14:paraId="0E4C133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003" w:type="dxa"/>
            <w:shd w:val="clear" w:color="auto" w:fill="BEBEBE"/>
            <w:vAlign w:val="center"/>
          </w:tcPr>
          <w:p w14:paraId="7DA3598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货物名称</w:t>
            </w:r>
          </w:p>
        </w:tc>
        <w:tc>
          <w:tcPr>
            <w:tcW w:w="8030" w:type="dxa"/>
            <w:shd w:val="clear" w:color="auto" w:fill="BEBEBE"/>
            <w:vAlign w:val="center"/>
          </w:tcPr>
          <w:p w14:paraId="3F0103E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招标技术要求</w:t>
            </w:r>
          </w:p>
        </w:tc>
      </w:tr>
      <w:tr w14:paraId="230C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19BD78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3" w:type="dxa"/>
            <w:vMerge w:val="restart"/>
            <w:shd w:val="clear" w:color="auto" w:fill="auto"/>
            <w:vAlign w:val="center"/>
          </w:tcPr>
          <w:p w14:paraId="2C3901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床架</w:t>
            </w:r>
          </w:p>
        </w:tc>
        <w:tc>
          <w:tcPr>
            <w:tcW w:w="8030" w:type="dxa"/>
            <w:shd w:val="clear" w:color="auto" w:fill="auto"/>
            <w:vAlign w:val="center"/>
          </w:tcPr>
          <w:p w14:paraId="5CFBCA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1.床体整体规格：长2050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宽1000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高2200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19BA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5" w:hRule="atLeast"/>
        </w:trPr>
        <w:tc>
          <w:tcPr>
            <w:tcW w:w="654" w:type="dxa"/>
            <w:vMerge w:val="continue"/>
            <w:shd w:val="clear" w:color="auto" w:fill="auto"/>
            <w:vAlign w:val="center"/>
          </w:tcPr>
          <w:p w14:paraId="1EC24773">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4CBDEE25">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60810C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2.床立柱：采用隐藏挂件焊道式型材管，外形尺寸80mm×50mm</w:t>
            </w:r>
            <w:r>
              <w:rPr>
                <w:rFonts w:hint="eastAsia" w:ascii="宋体" w:hAnsi="宋体" w:cs="宋体"/>
                <w:i w:val="0"/>
                <w:iCs w:val="0"/>
                <w:color w:val="000000"/>
                <w:kern w:val="0"/>
                <w:sz w:val="21"/>
                <w:szCs w:val="21"/>
                <w:u w:val="none"/>
                <w:lang w:val="en-US" w:eastAsia="zh-CN" w:bidi="ar"/>
              </w:rPr>
              <w:t>（±2mm）</w:t>
            </w:r>
            <w:r>
              <w:rPr>
                <w:rFonts w:hint="eastAsia" w:ascii="宋体" w:hAnsi="宋体" w:eastAsia="宋体" w:cs="宋体"/>
                <w:i w:val="0"/>
                <w:iCs w:val="0"/>
                <w:color w:val="000000"/>
                <w:kern w:val="0"/>
                <w:sz w:val="21"/>
                <w:szCs w:val="21"/>
                <w:u w:val="none"/>
                <w:lang w:val="en-US" w:eastAsia="zh-CN" w:bidi="ar"/>
              </w:rPr>
              <w:t>，厚度不小于1.</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mm，经轧压线辊压成闭口，外侧为5条倒角弧形内凹加强筋，连接件内藏于管内侧，便于封板，增强床立柱的抗扭力。床立柱顶端配有塑制蚊帐架支撑套件</w:t>
            </w:r>
            <w:r>
              <w:rPr>
                <w:rFonts w:hint="eastAsia" w:ascii="宋体" w:hAnsi="宋体" w:cs="宋体"/>
                <w:i w:val="0"/>
                <w:iCs w:val="0"/>
                <w:color w:val="000000"/>
                <w:kern w:val="0"/>
                <w:sz w:val="21"/>
                <w:szCs w:val="21"/>
                <w:u w:val="none"/>
                <w:lang w:val="en-US" w:eastAsia="zh-CN" w:bidi="ar"/>
              </w:rPr>
              <w:t>，底部配有塑制防水脚套。</w:t>
            </w:r>
          </w:p>
        </w:tc>
      </w:tr>
      <w:tr w14:paraId="5ED9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54" w:type="dxa"/>
            <w:vMerge w:val="continue"/>
            <w:shd w:val="clear" w:color="auto" w:fill="auto"/>
            <w:vAlign w:val="center"/>
          </w:tcPr>
          <w:p w14:paraId="133D8BBE">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9E653AE">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109D33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3.床横梁：采用规格为90mm×30mm</w:t>
            </w:r>
            <w:r>
              <w:rPr>
                <w:rFonts w:hint="eastAsia" w:ascii="宋体" w:hAnsi="宋体" w:cs="宋体"/>
                <w:i w:val="0"/>
                <w:iCs w:val="0"/>
                <w:color w:val="000000"/>
                <w:kern w:val="0"/>
                <w:sz w:val="21"/>
                <w:szCs w:val="21"/>
                <w:u w:val="none"/>
                <w:lang w:val="en-US" w:eastAsia="zh-CN" w:bidi="ar"/>
              </w:rPr>
              <w:t>（±2mm）</w:t>
            </w:r>
            <w:r>
              <w:rPr>
                <w:rFonts w:hint="eastAsia" w:ascii="宋体" w:hAnsi="宋体" w:eastAsia="宋体" w:cs="宋体"/>
                <w:i w:val="0"/>
                <w:iCs w:val="0"/>
                <w:color w:val="000000"/>
                <w:kern w:val="0"/>
                <w:sz w:val="21"/>
                <w:szCs w:val="21"/>
                <w:u w:val="none"/>
                <w:lang w:val="en-US" w:eastAsia="zh-CN" w:bidi="ar"/>
              </w:rPr>
              <w:t>，壁厚不小于1.</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mm闭口异型管材，外侧面有5条倒角弧形内凹加强筋，底部圆弧形设计，加强其抗弯强度同时起到防撞作用；表面经粉末涂料塑粉处理。</w:t>
            </w:r>
          </w:p>
        </w:tc>
      </w:tr>
      <w:tr w14:paraId="6D3E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27083C74">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74724A8">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2670FE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4.床头护栏：横杆采用规格为不小于25mm×25mm，厚度不小于1.0mm方管。表面经粉末涂料塑粉处理，整体稳固美观。</w:t>
            </w:r>
            <w:r>
              <w:rPr>
                <w:rFonts w:hint="eastAsia"/>
              </w:rPr>
              <w:t>护栏镶嵌挡板，挡板厚≥15mm、采用E0级浸渍胶膜纸饰面实木多层板</w:t>
            </w:r>
            <w:r>
              <w:rPr>
                <w:rFonts w:hint="eastAsia"/>
                <w:lang w:eastAsia="zh-CN"/>
              </w:rPr>
              <w:t>（</w:t>
            </w:r>
            <w:r>
              <w:rPr>
                <w:rFonts w:hint="eastAsia"/>
                <w:lang w:val="en-US" w:eastAsia="zh-CN"/>
              </w:rPr>
              <w:t>胶合板</w:t>
            </w:r>
            <w:r>
              <w:rPr>
                <w:rFonts w:hint="eastAsia"/>
                <w:lang w:eastAsia="zh-CN"/>
              </w:rPr>
              <w:t>）</w:t>
            </w:r>
            <w:r>
              <w:rPr>
                <w:rFonts w:hint="eastAsia"/>
              </w:rPr>
              <w:t>。</w:t>
            </w:r>
          </w:p>
        </w:tc>
      </w:tr>
      <w:tr w14:paraId="13B3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4EC7DA4E">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0D69C17">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489586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5.正前护栏：采用规格为不小于20mm×20mm，壁厚不小于1.0mm方管，护栏板材采用≥15mm厚E0级</w:t>
            </w:r>
            <w:r>
              <w:rPr>
                <w:rFonts w:hint="eastAsia"/>
              </w:rPr>
              <w:t>浸渍胶膜纸饰面实木多层板</w:t>
            </w:r>
            <w:r>
              <w:rPr>
                <w:rFonts w:hint="eastAsia"/>
                <w:lang w:eastAsia="zh-CN"/>
              </w:rPr>
              <w:t>（</w:t>
            </w:r>
            <w:r>
              <w:rPr>
                <w:rFonts w:hint="eastAsia"/>
                <w:lang w:val="en-US" w:eastAsia="zh-CN"/>
              </w:rPr>
              <w:t>胶合板</w:t>
            </w:r>
            <w:r>
              <w:rPr>
                <w:rFonts w:hint="eastAsia"/>
                <w:lang w:eastAsia="zh-CN"/>
              </w:rPr>
              <w:t>）</w:t>
            </w:r>
            <w:r>
              <w:rPr>
                <w:rFonts w:hint="eastAsia" w:ascii="宋体" w:hAnsi="宋体" w:eastAsia="宋体" w:cs="宋体"/>
                <w:i w:val="0"/>
                <w:iCs w:val="0"/>
                <w:color w:val="000000"/>
                <w:kern w:val="0"/>
                <w:sz w:val="21"/>
                <w:szCs w:val="21"/>
                <w:u w:val="none"/>
                <w:lang w:val="en-US" w:eastAsia="zh-CN" w:bidi="ar"/>
              </w:rPr>
              <w:t>，钢材表面经粉末涂料塑粉处理，护栏高</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300MM。</w:t>
            </w:r>
          </w:p>
        </w:tc>
      </w:tr>
      <w:tr w14:paraId="467F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493FC551">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1AB24C55">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6466AE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6.上铺登床口护栏：采用规格为不小于20mm×20mm，壁厚不小于1.0mm方管。</w:t>
            </w:r>
          </w:p>
        </w:tc>
      </w:tr>
      <w:tr w14:paraId="2E93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6DA9FD6">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2880F18B">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4AEF1C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7.床板支撑梁：采用规格为30mm×20mm</w:t>
            </w:r>
            <w:r>
              <w:rPr>
                <w:rFonts w:hint="eastAsia" w:ascii="宋体" w:hAnsi="宋体" w:cs="宋体"/>
                <w:i w:val="0"/>
                <w:iCs w:val="0"/>
                <w:color w:val="000000"/>
                <w:kern w:val="0"/>
                <w:sz w:val="21"/>
                <w:szCs w:val="21"/>
                <w:u w:val="none"/>
                <w:lang w:val="en-US" w:eastAsia="zh-CN" w:bidi="ar"/>
              </w:rPr>
              <w:t>（±2mm）</w:t>
            </w:r>
            <w:r>
              <w:rPr>
                <w:rFonts w:hint="eastAsia" w:ascii="宋体" w:hAnsi="宋体" w:eastAsia="宋体" w:cs="宋体"/>
                <w:i w:val="0"/>
                <w:iCs w:val="0"/>
                <w:color w:val="000000"/>
                <w:kern w:val="0"/>
                <w:sz w:val="21"/>
                <w:szCs w:val="21"/>
                <w:u w:val="none"/>
                <w:lang w:val="en-US" w:eastAsia="zh-CN" w:bidi="ar"/>
              </w:rPr>
              <w:t>，厚度不小于1.2mm方管，床板支撑梁数量≥5根。</w:t>
            </w:r>
          </w:p>
        </w:tc>
      </w:tr>
      <w:tr w14:paraId="6086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8B772AD">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206509B6">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61AFBF6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8.下拉杆：采用规格为不小于20mm×40mm，壁厚不小于1.0mm方管，激光开料后左右焊四卡。</w:t>
            </w:r>
          </w:p>
        </w:tc>
      </w:tr>
      <w:tr w14:paraId="3F93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29E99394">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CD0C630">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78CE854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9.蚊帐杆：采用规格为不小于直径19mm，壁厚不小于1.0mm圆管。</w:t>
            </w:r>
          </w:p>
        </w:tc>
      </w:tr>
      <w:tr w14:paraId="5E1D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36C9A781">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0B7DEF5">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4A6010F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卡式连接件：床立柱与床横梁采用四卡式卡扣连接，连接件采用冷轧钢板经冲压拉伸成型，规格为不小于27mm×27mm×2.0mm×198mm；挂齿由导向段和锁紧段组成，防止向上外力脱落的止锁装置；表面经粉末涂料塑粉处理，整体无螺丝连接。</w:t>
            </w:r>
          </w:p>
        </w:tc>
      </w:tr>
      <w:tr w14:paraId="6FDA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7B71788">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1FD5F5A">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42EBC6B3">
            <w:pPr>
              <w:keepNext w:val="0"/>
              <w:keepLines w:val="0"/>
              <w:widowControl/>
              <w:suppressLineNumbers w:val="0"/>
              <w:jc w:val="left"/>
              <w:textAlignment w:val="center"/>
              <w:rPr>
                <w:rFonts w:hint="eastAsia" w:ascii="宋体" w:hAnsi="宋体" w:cs="宋体"/>
                <w:bCs/>
                <w:szCs w:val="21"/>
                <w:highlight w:val="none"/>
                <w:lang w:val="en-US" w:eastAsia="zh-CN"/>
              </w:rPr>
            </w:pPr>
            <w:r>
              <w:rPr>
                <w:rFonts w:hint="eastAsia" w:ascii="宋体" w:hAnsi="宋体" w:cs="宋体"/>
                <w:bCs/>
                <w:szCs w:val="21"/>
                <w:highlight w:val="none"/>
                <w:lang w:val="en-US" w:eastAsia="zh-CN"/>
              </w:rPr>
              <w:t>11.实木床板：</w:t>
            </w:r>
            <w:r>
              <w:rPr>
                <w:rFonts w:hint="eastAsia" w:ascii="宋体" w:hAnsi="宋体" w:cs="宋体"/>
                <w:bCs/>
                <w:szCs w:val="21"/>
                <w:highlight w:val="none"/>
              </w:rPr>
              <w:t>床板基材采用厚度≥1</w:t>
            </w:r>
            <w:r>
              <w:rPr>
                <w:rFonts w:hint="eastAsia" w:ascii="宋体" w:hAnsi="宋体" w:cs="宋体"/>
                <w:bCs/>
                <w:szCs w:val="21"/>
                <w:highlight w:val="none"/>
                <w:lang w:val="en-US" w:eastAsia="zh-CN"/>
              </w:rPr>
              <w:t>6</w:t>
            </w:r>
            <w:r>
              <w:rPr>
                <w:rFonts w:hint="eastAsia" w:ascii="宋体" w:hAnsi="宋体" w:cs="宋体"/>
                <w:bCs/>
                <w:szCs w:val="21"/>
                <w:highlight w:val="none"/>
              </w:rPr>
              <w:t>mm的榉木实木材，多条实木板需固定成整块不分散，每条榉木实木截面尺寸≥1</w:t>
            </w:r>
            <w:r>
              <w:rPr>
                <w:rFonts w:hint="eastAsia" w:ascii="宋体" w:hAnsi="宋体" w:cs="宋体"/>
                <w:bCs/>
                <w:szCs w:val="21"/>
                <w:highlight w:val="none"/>
                <w:lang w:val="en-US" w:eastAsia="zh-CN"/>
              </w:rPr>
              <w:t>6</w:t>
            </w:r>
            <w:r>
              <w:rPr>
                <w:rFonts w:hint="eastAsia" w:ascii="宋体" w:hAnsi="宋体" w:cs="宋体"/>
                <w:bCs/>
                <w:szCs w:val="21"/>
                <w:highlight w:val="none"/>
              </w:rPr>
              <w:t>mm</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55</w:t>
            </w:r>
            <w:r>
              <w:rPr>
                <w:rFonts w:hint="eastAsia" w:ascii="宋体" w:hAnsi="宋体" w:cs="宋体"/>
                <w:bCs/>
                <w:szCs w:val="21"/>
                <w:highlight w:val="none"/>
              </w:rPr>
              <w:t>mm，每条榉木间隙≤30mm；木板面平整，四面刨光，表面光滑，无毛刺，无虫眼，无豁边木皮，无朽木，每条木材上不超过5个直径大于12mm的节子，床板底部采用榉木加强筋固定条，固定条尺寸≥1</w:t>
            </w:r>
            <w:r>
              <w:rPr>
                <w:rFonts w:hint="eastAsia" w:ascii="宋体" w:hAnsi="宋体" w:cs="宋体"/>
                <w:bCs/>
                <w:szCs w:val="21"/>
                <w:highlight w:val="none"/>
                <w:lang w:val="en-US" w:eastAsia="zh-CN"/>
              </w:rPr>
              <w:t>4</w:t>
            </w:r>
            <w:r>
              <w:rPr>
                <w:rFonts w:hint="eastAsia" w:ascii="宋体" w:hAnsi="宋体" w:cs="宋体"/>
                <w:bCs/>
                <w:szCs w:val="21"/>
                <w:highlight w:val="none"/>
              </w:rPr>
              <w:t>mm</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55</w:t>
            </w:r>
            <w:r>
              <w:rPr>
                <w:rFonts w:hint="eastAsia" w:ascii="宋体" w:hAnsi="宋体" w:cs="宋体"/>
                <w:bCs/>
                <w:szCs w:val="21"/>
                <w:highlight w:val="none"/>
              </w:rPr>
              <w:t>mm，数量≥4根，均匀分布，床板无明显异味，木材</w:t>
            </w:r>
            <w:r>
              <w:rPr>
                <w:rFonts w:hint="eastAsia"/>
                <w:highlight w:val="none"/>
              </w:rPr>
              <w:t>需做防腐防虫处理，床板不长霉，不长虫</w:t>
            </w:r>
            <w:r>
              <w:rPr>
                <w:rFonts w:hint="eastAsia" w:ascii="宋体" w:hAnsi="宋体" w:cs="宋体"/>
                <w:bCs/>
                <w:szCs w:val="21"/>
                <w:highlight w:val="none"/>
              </w:rPr>
              <w:t>。床板嵌入床框内与床架四周吻合，与床架间缝隙≤10mm，床板与床框平齐，尺寸与床架匹配。</w:t>
            </w:r>
          </w:p>
        </w:tc>
      </w:tr>
      <w:tr w14:paraId="6C87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23789573">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4938DE7E">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19A51F1B">
            <w:pPr>
              <w:keepNext w:val="0"/>
              <w:keepLines w:val="0"/>
              <w:widowControl/>
              <w:suppressLineNumbers w:val="0"/>
              <w:jc w:val="left"/>
              <w:textAlignment w:val="center"/>
              <w:rPr>
                <w:rFonts w:hint="eastAsia" w:ascii="宋体" w:hAnsi="宋体" w:eastAsia="宋体" w:cs="宋体"/>
                <w:color w:val="FF0000"/>
                <w:kern w:val="0"/>
                <w:szCs w:val="21"/>
                <w:u w:val="none"/>
                <w:lang w:bidi="ar"/>
              </w:rPr>
            </w:pPr>
            <w:r>
              <w:rPr>
                <w:rFonts w:hint="eastAsia" w:ascii="宋体" w:hAnsi="宋体" w:cs="宋体"/>
                <w:bCs/>
                <w:szCs w:val="21"/>
                <w:highlight w:val="none"/>
                <w:lang w:val="en-US" w:eastAsia="zh-CN"/>
              </w:rPr>
              <w:t>12.</w:t>
            </w:r>
            <w:r>
              <w:rPr>
                <w:rFonts w:hint="eastAsia" w:ascii="宋体" w:hAnsi="宋体" w:eastAsia="宋体" w:cs="宋体"/>
                <w:i w:val="0"/>
                <w:iCs w:val="0"/>
                <w:color w:val="FF0000"/>
                <w:kern w:val="0"/>
                <w:sz w:val="21"/>
                <w:szCs w:val="21"/>
                <w:u w:val="none"/>
                <w:lang w:val="en-US" w:eastAsia="zh-CN" w:bidi="ar"/>
              </w:rPr>
              <w:t>▲</w:t>
            </w:r>
            <w:r>
              <w:rPr>
                <w:rFonts w:hint="eastAsia" w:ascii="宋体" w:hAnsi="宋体" w:eastAsia="宋体" w:cs="宋体"/>
                <w:color w:val="FF0000"/>
                <w:kern w:val="0"/>
                <w:szCs w:val="21"/>
                <w:u w:val="none"/>
                <w:lang w:bidi="ar"/>
              </w:rPr>
              <w:t>床立柱</w:t>
            </w:r>
          </w:p>
          <w:p w14:paraId="45319CDE">
            <w:pPr>
              <w:numPr>
                <w:ilvl w:val="0"/>
                <w:numId w:val="0"/>
              </w:numPr>
              <w:rPr>
                <w:rFonts w:hint="eastAsia"/>
                <w:lang w:val="en-US" w:eastAsia="zh-CN"/>
              </w:rPr>
            </w:pPr>
            <w:r>
              <w:rPr>
                <w:rFonts w:hint="eastAsia" w:asciiTheme="minorHAnsi" w:hAnsiTheme="minorHAnsi" w:eastAsiaTheme="minorEastAsia" w:cstheme="minorBidi"/>
                <w:kern w:val="2"/>
                <w:sz w:val="21"/>
                <w:szCs w:val="24"/>
                <w:lang w:val="en-US" w:eastAsia="zh-CN" w:bidi="ar-SA"/>
              </w:rPr>
              <w:t>①</w:t>
            </w:r>
            <w:r>
              <w:rPr>
                <w:rFonts w:hint="eastAsia"/>
                <w:lang w:val="en-US" w:eastAsia="zh-CN"/>
              </w:rPr>
              <w:t>依据</w:t>
            </w:r>
            <w:r>
              <w:rPr>
                <w:rFonts w:hint="eastAsia"/>
              </w:rPr>
              <w:t>GB/T3325-2024《金属家具通用技术条件》</w:t>
            </w:r>
            <w:r>
              <w:rPr>
                <w:rFonts w:hint="eastAsia"/>
                <w:lang w:val="en-US" w:eastAsia="zh-CN"/>
              </w:rPr>
              <w:t>标准。</w:t>
            </w:r>
            <w:r>
              <w:rPr>
                <w:rFonts w:hint="eastAsia" w:ascii="宋体" w:hAnsi="宋体" w:cs="宋体"/>
                <w:color w:val="FF0000"/>
                <w:kern w:val="0"/>
                <w:szCs w:val="21"/>
                <w:u w:val="none"/>
                <w:lang w:val="en-US" w:eastAsia="zh-CN" w:bidi="ar"/>
              </w:rPr>
              <w:t>检测要求</w:t>
            </w:r>
            <w:r>
              <w:rPr>
                <w:rFonts w:hint="eastAsia"/>
                <w:lang w:val="en-US" w:eastAsia="zh-CN"/>
              </w:rPr>
              <w:t>：</w:t>
            </w:r>
            <w:r>
              <w:rPr>
                <w:rFonts w:hint="eastAsia"/>
              </w:rPr>
              <w:t>金属件管材外观应无裂缝、叠缝，外露管口端面应封闭，圆管和扁线管弯曲处弧形应圆滑一致；金属件喷漆(塑)涂层外观应无漏喷、锈蚀、脱色、掉色，应光滑均匀、色泽一致，应无流挂、疙瘩、皱皮、飞漆；</w:t>
            </w:r>
          </w:p>
          <w:p w14:paraId="51CCEC24">
            <w:pPr>
              <w:numPr>
                <w:ilvl w:val="0"/>
                <w:numId w:val="0"/>
              </w:numPr>
              <w:rPr>
                <w:rFonts w:hint="eastAsia"/>
                <w:lang w:val="en-US" w:eastAsia="zh-CN"/>
              </w:rPr>
            </w:pPr>
            <w:r>
              <w:rPr>
                <w:rFonts w:hint="eastAsia" w:asciiTheme="minorHAnsi" w:hAnsiTheme="minorHAnsi" w:eastAsiaTheme="minorEastAsia" w:cstheme="minorBidi"/>
                <w:kern w:val="2"/>
                <w:sz w:val="21"/>
                <w:szCs w:val="24"/>
                <w:lang w:val="en-US" w:eastAsia="zh-CN" w:bidi="ar-SA"/>
              </w:rPr>
              <w:t>②</w:t>
            </w:r>
            <w:r>
              <w:rPr>
                <w:rFonts w:hint="eastAsia"/>
                <w:lang w:val="en-US" w:eastAsia="zh-CN"/>
              </w:rPr>
              <w:t>依据GB/T1732-2020《漆膜耐冲击测定法》标准。</w:t>
            </w:r>
            <w:r>
              <w:rPr>
                <w:rFonts w:hint="eastAsia" w:ascii="宋体" w:hAnsi="宋体" w:cs="宋体"/>
                <w:color w:val="FF0000"/>
                <w:kern w:val="0"/>
                <w:szCs w:val="21"/>
                <w:u w:val="none"/>
                <w:lang w:val="en-US" w:eastAsia="zh-CN" w:bidi="ar"/>
              </w:rPr>
              <w:t>检测要求</w:t>
            </w:r>
            <w:r>
              <w:rPr>
                <w:rFonts w:hint="eastAsia"/>
                <w:lang w:val="en-US" w:eastAsia="zh-CN"/>
              </w:rPr>
              <w:t>：冲击强度应无剥落、裂纹、皱纹；</w:t>
            </w:r>
          </w:p>
          <w:p w14:paraId="5CA26851">
            <w:pPr>
              <w:numPr>
                <w:ilvl w:val="0"/>
                <w:numId w:val="0"/>
              </w:numPr>
              <w:rPr>
                <w:rFonts w:hint="eastAsia"/>
                <w:lang w:val="en-US" w:eastAsia="zh-CN"/>
              </w:rPr>
            </w:pPr>
            <w:r>
              <w:rPr>
                <w:rFonts w:hint="eastAsia" w:asciiTheme="minorHAnsi" w:hAnsiTheme="minorHAnsi" w:eastAsiaTheme="minorEastAsia" w:cstheme="minorBidi"/>
                <w:kern w:val="2"/>
                <w:sz w:val="21"/>
                <w:szCs w:val="24"/>
                <w:lang w:val="en-US" w:eastAsia="zh-CN" w:bidi="ar-SA"/>
              </w:rPr>
              <w:t>③</w:t>
            </w:r>
            <w:r>
              <w:rPr>
                <w:rFonts w:hint="eastAsia"/>
                <w:lang w:val="en-US" w:eastAsia="zh-CN"/>
              </w:rPr>
              <w:t>依据GB/T9286-2021《色漆和清漆 划格试验》标准：附着力≥0级；</w:t>
            </w:r>
          </w:p>
          <w:p w14:paraId="611F2EBE">
            <w:pPr>
              <w:numPr>
                <w:ilvl w:val="0"/>
                <w:numId w:val="0"/>
              </w:numPr>
              <w:rPr>
                <w:rFonts w:hint="eastAsia"/>
                <w:lang w:val="en-US" w:eastAsia="zh-CN"/>
              </w:rPr>
            </w:pPr>
            <w:r>
              <w:rPr>
                <w:rFonts w:hint="eastAsia" w:asciiTheme="minorHAnsi" w:hAnsiTheme="minorHAnsi" w:eastAsiaTheme="minorEastAsia" w:cstheme="minorBidi"/>
                <w:kern w:val="2"/>
                <w:sz w:val="21"/>
                <w:szCs w:val="24"/>
                <w:lang w:val="en-US" w:eastAsia="zh-CN" w:bidi="ar-SA"/>
              </w:rPr>
              <w:t>④</w:t>
            </w:r>
            <w:r>
              <w:rPr>
                <w:rFonts w:hint="eastAsia"/>
                <w:lang w:val="en-US" w:eastAsia="zh-CN"/>
              </w:rPr>
              <w:t>依据GB/T 10125-2021《人造气氛腐蚀试验 盐雾试验》标准</w:t>
            </w:r>
            <w:r>
              <w:rPr>
                <w:rFonts w:hint="eastAsia" w:ascii="宋体" w:hAnsi="宋体" w:eastAsia="宋体" w:cs="宋体"/>
              </w:rPr>
              <w:t>、GB/T 6461-2002《金属基体上金属和其它无机覆盖层 经腐蚀试验后的试样和试件的评级》</w:t>
            </w:r>
            <w:r>
              <w:rPr>
                <w:rFonts w:hint="eastAsia"/>
                <w:lang w:val="en-US" w:eastAsia="zh-CN"/>
              </w:rPr>
              <w:t>。</w:t>
            </w:r>
            <w:r>
              <w:rPr>
                <w:rFonts w:hint="eastAsia" w:ascii="宋体" w:hAnsi="宋体" w:cs="宋体"/>
                <w:color w:val="FF0000"/>
                <w:kern w:val="0"/>
                <w:szCs w:val="21"/>
                <w:u w:val="none"/>
                <w:lang w:val="en-US" w:eastAsia="zh-CN" w:bidi="ar"/>
              </w:rPr>
              <w:t>检测要求</w:t>
            </w:r>
            <w:r>
              <w:rPr>
                <w:rFonts w:hint="eastAsia"/>
                <w:lang w:val="en-US" w:eastAsia="zh-CN"/>
              </w:rPr>
              <w:t>：铜加速乙酸盐雾试验≥156h：保护评级（RP）≥10级、外观评级（RA）≥10级；</w:t>
            </w:r>
          </w:p>
          <w:p w14:paraId="2B8E6912">
            <w:pPr>
              <w:numPr>
                <w:ilvl w:val="0"/>
                <w:numId w:val="0"/>
              </w:numPr>
              <w:rPr>
                <w:rFonts w:hint="eastAsia"/>
                <w:lang w:val="en-US" w:eastAsia="zh-CN"/>
              </w:rPr>
            </w:pPr>
            <w:r>
              <w:rPr>
                <w:rFonts w:hint="eastAsia" w:asciiTheme="minorHAnsi" w:hAnsiTheme="minorHAnsi" w:eastAsiaTheme="minorEastAsia" w:cstheme="minorBidi"/>
                <w:kern w:val="2"/>
                <w:sz w:val="21"/>
                <w:szCs w:val="24"/>
                <w:lang w:val="en-US" w:eastAsia="zh-CN" w:bidi="ar-SA"/>
              </w:rPr>
              <w:t>⑤</w:t>
            </w:r>
            <w:r>
              <w:rPr>
                <w:rFonts w:hint="eastAsia"/>
                <w:lang w:val="en-US" w:eastAsia="zh-CN"/>
              </w:rPr>
              <w:t>依据QB/T3828-1999《轻工产品金属镀层和化学处理层的耐腐蚀试验方法 铜盐加速乙酸盐雾试验(CASS)法》</w:t>
            </w:r>
            <w:r>
              <w:rPr>
                <w:rFonts w:hint="eastAsia" w:ascii="宋体" w:hAnsi="宋体" w:eastAsia="宋体" w:cs="宋体"/>
                <w:lang w:val="en-US" w:eastAsia="zh-CN"/>
              </w:rPr>
              <w:t>、QB/T3832-1999《轻工产品金属镀层腐蚀试验结果的评价》</w:t>
            </w:r>
            <w:r>
              <w:rPr>
                <w:rFonts w:hint="eastAsia"/>
                <w:lang w:val="en-US" w:eastAsia="zh-CN"/>
              </w:rPr>
              <w:t>标准。</w:t>
            </w:r>
            <w:r>
              <w:rPr>
                <w:rFonts w:hint="eastAsia" w:ascii="宋体" w:hAnsi="宋体" w:cs="宋体"/>
                <w:color w:val="FF0000"/>
                <w:kern w:val="0"/>
                <w:szCs w:val="21"/>
                <w:u w:val="none"/>
                <w:lang w:val="en-US" w:eastAsia="zh-CN" w:bidi="ar"/>
              </w:rPr>
              <w:t>检测要求</w:t>
            </w:r>
            <w:r>
              <w:rPr>
                <w:rFonts w:hint="eastAsia"/>
                <w:lang w:val="en-US" w:eastAsia="zh-CN"/>
              </w:rPr>
              <w:t>：铜盐加速乙酸盐雾≥18h：涂层对基体的保护等级≥10级，涂层本身耐腐蚀等级≥10 级；</w:t>
            </w:r>
          </w:p>
          <w:p w14:paraId="7BD1DBB2">
            <w:pPr>
              <w:numPr>
                <w:ilvl w:val="0"/>
                <w:numId w:val="0"/>
              </w:numPr>
              <w:rPr>
                <w:rFonts w:hint="eastAsia"/>
                <w:lang w:val="en-US" w:eastAsia="zh-CN"/>
              </w:rPr>
            </w:pPr>
            <w:r>
              <w:rPr>
                <w:rFonts w:hint="eastAsia" w:asciiTheme="minorHAnsi" w:hAnsiTheme="minorHAnsi" w:eastAsiaTheme="minorEastAsia" w:cstheme="minorBidi"/>
                <w:kern w:val="2"/>
                <w:sz w:val="21"/>
                <w:szCs w:val="24"/>
                <w:lang w:val="en-US" w:eastAsia="zh-CN" w:bidi="ar-SA"/>
              </w:rPr>
              <w:t>⑥</w:t>
            </w:r>
            <w:r>
              <w:rPr>
                <w:rFonts w:hint="eastAsia"/>
                <w:lang w:val="en-US" w:eastAsia="zh-CN"/>
              </w:rPr>
              <w:t>依据GB/T 4336-2016《碳素钢和中低合金钢 多元素含量的测定 火花放电原子发射光谱法(常规法)》标准。</w:t>
            </w:r>
            <w:r>
              <w:rPr>
                <w:rFonts w:hint="eastAsia" w:ascii="宋体" w:hAnsi="宋体" w:cs="宋体"/>
                <w:color w:val="FF0000"/>
                <w:kern w:val="0"/>
                <w:szCs w:val="21"/>
                <w:u w:val="none"/>
                <w:lang w:val="en-US" w:eastAsia="zh-CN" w:bidi="ar"/>
              </w:rPr>
              <w:t>检测要求</w:t>
            </w:r>
            <w:r>
              <w:rPr>
                <w:rFonts w:hint="eastAsia"/>
                <w:lang w:val="en-US" w:eastAsia="zh-CN"/>
              </w:rPr>
              <w:t>：化学成分C≤0.05%、Mn≤0.14%、P≤0.01%、Cu≤0.01%、Si≤0.04%；</w:t>
            </w:r>
          </w:p>
          <w:p w14:paraId="597148A3">
            <w:pPr>
              <w:numPr>
                <w:ilvl w:val="0"/>
                <w:numId w:val="0"/>
              </w:numPr>
              <w:rPr>
                <w:rFonts w:hint="eastAsia"/>
                <w:lang w:val="en-US" w:eastAsia="zh-CN"/>
              </w:rPr>
            </w:pPr>
            <w:r>
              <w:rPr>
                <w:rFonts w:hint="eastAsia" w:cstheme="minorBidi"/>
                <w:kern w:val="2"/>
                <w:sz w:val="21"/>
                <w:szCs w:val="24"/>
                <w:lang w:val="en-US" w:eastAsia="zh-CN" w:bidi="ar-SA"/>
              </w:rPr>
              <w:t>⑦</w:t>
            </w:r>
            <w:r>
              <w:rPr>
                <w:rFonts w:hint="eastAsia"/>
                <w:lang w:val="en-US" w:eastAsia="zh-CN"/>
              </w:rPr>
              <w:t>依据GB/T228.1-2021《金属材料 拉伸试验 第1部分：室温试验方法》标准。</w:t>
            </w:r>
            <w:r>
              <w:rPr>
                <w:rFonts w:hint="eastAsia" w:ascii="宋体" w:hAnsi="宋体" w:cs="宋体"/>
                <w:color w:val="FF0000"/>
                <w:kern w:val="0"/>
                <w:szCs w:val="21"/>
                <w:u w:val="none"/>
                <w:lang w:val="en-US" w:eastAsia="zh-CN" w:bidi="ar"/>
              </w:rPr>
              <w:t>检测要求</w:t>
            </w:r>
            <w:r>
              <w:rPr>
                <w:rFonts w:hint="eastAsia"/>
                <w:lang w:val="en-US" w:eastAsia="zh-CN"/>
              </w:rPr>
              <w:t>：下屈服强度≥290Mpa、抗拉强度≥480Mpa、断后伸长率≥40%；</w:t>
            </w:r>
          </w:p>
          <w:p w14:paraId="2E806E12">
            <w:pPr>
              <w:keepNext w:val="0"/>
              <w:keepLines w:val="0"/>
              <w:widowControl/>
              <w:suppressLineNumbers w:val="0"/>
              <w:jc w:val="left"/>
              <w:textAlignment w:val="center"/>
              <w:rPr>
                <w:rFonts w:hint="eastAsia" w:ascii="宋体" w:hAnsi="宋体" w:eastAsia="宋体" w:cs="宋体"/>
                <w:color w:val="FF0000"/>
                <w:kern w:val="0"/>
                <w:szCs w:val="21"/>
                <w:u w:val="none"/>
                <w:lang w:bidi="ar"/>
              </w:rPr>
            </w:pPr>
            <w:r>
              <w:rPr>
                <w:rFonts w:hint="eastAsia" w:cstheme="minorBidi"/>
                <w:kern w:val="2"/>
                <w:sz w:val="21"/>
                <w:szCs w:val="24"/>
                <w:lang w:val="en-US" w:eastAsia="zh-CN" w:bidi="ar-SA"/>
              </w:rPr>
              <w:t>⑧</w:t>
            </w:r>
            <w:r>
              <w:rPr>
                <w:rFonts w:hint="eastAsia"/>
                <w:lang w:val="en-US" w:eastAsia="zh-CN"/>
              </w:rPr>
              <w:t>依据GB/T23994-2009《与人体接触的消费产品用涂料中特定有害元素限量》标准。</w:t>
            </w:r>
            <w:r>
              <w:rPr>
                <w:rFonts w:hint="eastAsia" w:ascii="宋体" w:hAnsi="宋体" w:cs="宋体"/>
                <w:color w:val="FF0000"/>
                <w:kern w:val="0"/>
                <w:szCs w:val="21"/>
                <w:u w:val="none"/>
                <w:lang w:val="en-US" w:eastAsia="zh-CN" w:bidi="ar"/>
              </w:rPr>
              <w:t>检测要求</w:t>
            </w:r>
            <w:r>
              <w:rPr>
                <w:rFonts w:hint="eastAsia"/>
                <w:lang w:val="en-US" w:eastAsia="zh-CN"/>
              </w:rPr>
              <w:t>：可溶性元素铅、镉、铬、汞应未检出。</w:t>
            </w:r>
          </w:p>
          <w:p w14:paraId="6DB7BBF6">
            <w:pPr>
              <w:keepNext w:val="0"/>
              <w:keepLines w:val="0"/>
              <w:widowControl/>
              <w:suppressLineNumbers w:val="0"/>
              <w:jc w:val="left"/>
              <w:textAlignment w:val="center"/>
              <w:rPr>
                <w:rStyle w:val="60"/>
                <w:rFonts w:hint="eastAsia" w:hAnsi="宋体" w:cs="宋体"/>
                <w:b/>
                <w:sz w:val="21"/>
                <w:szCs w:val="21"/>
                <w:highlight w:val="none"/>
                <w:lang w:eastAsia="zh-CN" w:bidi="ar"/>
              </w:rPr>
            </w:pPr>
            <w:r>
              <w:rPr>
                <w:rFonts w:hint="eastAsia" w:ascii="宋体" w:hAnsi="宋体" w:cs="宋体"/>
                <w:b/>
                <w:bCs/>
                <w:color w:val="FF0000"/>
                <w:kern w:val="0"/>
                <w:sz w:val="20"/>
                <w:szCs w:val="20"/>
                <w:highlight w:val="none"/>
              </w:rPr>
              <w:t>【提供20</w:t>
            </w:r>
            <w:r>
              <w:rPr>
                <w:rFonts w:hint="eastAsia" w:ascii="宋体" w:hAnsi="宋体" w:cs="宋体"/>
                <w:b/>
                <w:bCs/>
                <w:color w:val="FF0000"/>
                <w:kern w:val="0"/>
                <w:sz w:val="20"/>
                <w:szCs w:val="20"/>
                <w:highlight w:val="none"/>
                <w:lang w:val="en-US" w:eastAsia="zh-CN"/>
              </w:rPr>
              <w:t>24</w:t>
            </w:r>
            <w:r>
              <w:rPr>
                <w:rFonts w:hint="eastAsia" w:ascii="宋体" w:hAnsi="宋体" w:cs="宋体"/>
                <w:b/>
                <w:bCs/>
                <w:color w:val="FF0000"/>
                <w:kern w:val="0"/>
                <w:sz w:val="20"/>
                <w:szCs w:val="20"/>
                <w:highlight w:val="none"/>
              </w:rPr>
              <w:t>年</w:t>
            </w:r>
            <w:r>
              <w:rPr>
                <w:rFonts w:hint="eastAsia" w:ascii="宋体" w:hAnsi="宋体" w:cs="宋体"/>
                <w:b/>
                <w:bCs/>
                <w:color w:val="FF0000"/>
                <w:kern w:val="0"/>
                <w:sz w:val="20"/>
                <w:szCs w:val="20"/>
                <w:highlight w:val="none"/>
                <w:lang w:val="en-US" w:eastAsia="zh-CN"/>
              </w:rPr>
              <w:t>6</w:t>
            </w:r>
            <w:r>
              <w:rPr>
                <w:rFonts w:hint="eastAsia" w:ascii="宋体" w:hAnsi="宋体" w:cs="宋体"/>
                <w:b/>
                <w:bCs/>
                <w:color w:val="FF0000"/>
                <w:kern w:val="0"/>
                <w:sz w:val="20"/>
                <w:szCs w:val="20"/>
                <w:highlight w:val="none"/>
              </w:rPr>
              <w:t>月1日起至本项目投标截止日止由第三方检测机构出具带有CMA标志的符合上述检测依据和检测内容及结论要求的原材料检测报告扫描件。并按要求提供“国家认证认可监督管理委员会”官方网站（http://www.cnca.gov.cn/）检测报告查询记录的截图，因该平台升级等原因导致无法查询的，则需提供通过检测机构官网、邮箱等可靠途径查询所提交检测报告具体内容的真实性的证明材料或者检测机构盖章的证明材料，证明该报告真实有效。】</w:t>
            </w:r>
            <w:r>
              <w:rPr>
                <w:rFonts w:hint="eastAsia" w:hAnsi="宋体" w:cs="宋体"/>
                <w:b/>
                <w:bCs/>
                <w:color w:val="FF0000"/>
                <w:kern w:val="0"/>
                <w:sz w:val="20"/>
                <w:szCs w:val="20"/>
                <w:highlight w:val="none"/>
                <w:lang w:eastAsia="zh-CN"/>
              </w:rPr>
              <w:t>，</w:t>
            </w:r>
            <w:r>
              <w:rPr>
                <w:rFonts w:hint="eastAsia" w:hAnsi="宋体" w:cs="宋体"/>
                <w:b/>
                <w:bCs/>
                <w:color w:val="FF0000"/>
                <w:kern w:val="0"/>
                <w:sz w:val="20"/>
                <w:szCs w:val="20"/>
                <w:highlight w:val="none"/>
                <w:lang w:val="en-US" w:eastAsia="zh-CN"/>
              </w:rPr>
              <w:t>注：</w:t>
            </w:r>
            <w:r>
              <w:rPr>
                <w:rStyle w:val="60"/>
                <w:rFonts w:hint="eastAsia" w:ascii="宋体" w:hAnsi="宋体" w:eastAsia="宋体" w:cs="宋体"/>
                <w:b/>
                <w:sz w:val="21"/>
                <w:szCs w:val="21"/>
                <w:highlight w:val="none"/>
                <w:lang w:bidi="ar"/>
              </w:rPr>
              <w:t>对应参数（检验检测项）在检验检测报告中进行标注</w:t>
            </w:r>
            <w:r>
              <w:rPr>
                <w:rStyle w:val="60"/>
                <w:rFonts w:hint="eastAsia" w:hAnsi="宋体" w:cs="宋体"/>
                <w:b/>
                <w:sz w:val="21"/>
                <w:szCs w:val="21"/>
                <w:highlight w:val="none"/>
                <w:lang w:eastAsia="zh-CN" w:bidi="ar"/>
              </w:rPr>
              <w:t>，</w:t>
            </w:r>
            <w:r>
              <w:rPr>
                <w:rStyle w:val="60"/>
                <w:rFonts w:hint="eastAsia" w:hAnsi="宋体" w:cs="宋体"/>
                <w:b/>
                <w:sz w:val="21"/>
                <w:szCs w:val="21"/>
                <w:highlight w:val="none"/>
                <w:lang w:val="en-US" w:eastAsia="zh-CN" w:bidi="ar"/>
              </w:rPr>
              <w:t>未标注不做扣分处理</w:t>
            </w:r>
            <w:r>
              <w:rPr>
                <w:rStyle w:val="60"/>
                <w:rFonts w:hint="eastAsia" w:hAnsi="宋体" w:cs="宋体"/>
                <w:b/>
                <w:sz w:val="21"/>
                <w:szCs w:val="21"/>
                <w:highlight w:val="none"/>
                <w:lang w:eastAsia="zh-CN" w:bidi="ar"/>
              </w:rPr>
              <w:t>。</w:t>
            </w:r>
          </w:p>
          <w:p w14:paraId="02ED3762">
            <w:pPr>
              <w:pStyle w:val="39"/>
              <w:rPr>
                <w:rFonts w:hint="eastAsia" w:ascii="宋体" w:hAnsi="宋体" w:cs="宋体"/>
                <w:b/>
                <w:bCs/>
                <w:color w:val="FF0000"/>
                <w:szCs w:val="21"/>
              </w:rPr>
            </w:pPr>
            <w:r>
              <w:rPr>
                <w:rFonts w:hint="eastAsia" w:ascii="宋体" w:hAnsi="宋体" w:eastAsia="宋体" w:cs="宋体"/>
                <w:b/>
                <w:bCs/>
                <w:color w:val="FF0000"/>
                <w:sz w:val="21"/>
                <w:szCs w:val="21"/>
              </w:rPr>
              <w:t>如检测报告需要分包的，则实施检测的分包机构需具有相应的CMA资质且分包检测项目应在该分包机构CMA资质许可范围内，投标人提供相关承诺函（格式自拟），否则不予得分。若分包检验项目不在该分包机构CMA资质许可范围内的，则该份检验（检测）报告不得分。</w:t>
            </w:r>
          </w:p>
          <w:p w14:paraId="71A3D1A4">
            <w:pPr>
              <w:pStyle w:val="9"/>
              <w:rPr>
                <w:rFonts w:hint="eastAsia"/>
                <w:lang w:val="en-US" w:eastAsia="zh-CN"/>
              </w:rPr>
            </w:pPr>
          </w:p>
        </w:tc>
      </w:tr>
      <w:tr w14:paraId="77B1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0682C4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03" w:type="dxa"/>
            <w:vMerge w:val="restart"/>
            <w:shd w:val="clear" w:color="auto" w:fill="auto"/>
            <w:vAlign w:val="center"/>
          </w:tcPr>
          <w:p w14:paraId="7AACD3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床架(加长)</w:t>
            </w:r>
          </w:p>
        </w:tc>
        <w:tc>
          <w:tcPr>
            <w:tcW w:w="8030" w:type="dxa"/>
            <w:shd w:val="clear" w:color="auto" w:fill="auto"/>
            <w:vAlign w:val="center"/>
          </w:tcPr>
          <w:p w14:paraId="78285E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1.床体整体规格：长2150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宽1000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高2200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46CB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5" w:hRule="atLeast"/>
        </w:trPr>
        <w:tc>
          <w:tcPr>
            <w:tcW w:w="654" w:type="dxa"/>
            <w:vMerge w:val="continue"/>
            <w:shd w:val="clear" w:color="auto" w:fill="auto"/>
            <w:vAlign w:val="center"/>
          </w:tcPr>
          <w:p w14:paraId="5AC9A2DF">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46C412E1">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A570F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2.床立柱：采用隐藏挂件焊道式型材管，外形尺寸80mm×50mm</w:t>
            </w:r>
            <w:r>
              <w:rPr>
                <w:rFonts w:hint="eastAsia" w:ascii="宋体" w:hAnsi="宋体" w:cs="宋体"/>
                <w:i w:val="0"/>
                <w:iCs w:val="0"/>
                <w:color w:val="000000"/>
                <w:kern w:val="0"/>
                <w:sz w:val="21"/>
                <w:szCs w:val="21"/>
                <w:u w:val="none"/>
                <w:lang w:val="en-US" w:eastAsia="zh-CN" w:bidi="ar"/>
              </w:rPr>
              <w:t>（±2mm）</w:t>
            </w:r>
            <w:r>
              <w:rPr>
                <w:rFonts w:hint="eastAsia" w:ascii="宋体" w:hAnsi="宋体" w:eastAsia="宋体" w:cs="宋体"/>
                <w:i w:val="0"/>
                <w:iCs w:val="0"/>
                <w:color w:val="000000"/>
                <w:kern w:val="0"/>
                <w:sz w:val="21"/>
                <w:szCs w:val="21"/>
                <w:u w:val="none"/>
                <w:lang w:val="en-US" w:eastAsia="zh-CN" w:bidi="ar"/>
              </w:rPr>
              <w:t>，厚度不小于1.</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mm，经轧压线辊压成闭口，外侧为5条倒角弧形内凹加强筋，连接件内藏于管内侧，便于封板，增强床立柱的抗扭力。床立柱顶端配有塑制蚊帐架支撑套件</w:t>
            </w:r>
            <w:r>
              <w:rPr>
                <w:rFonts w:hint="eastAsia" w:ascii="宋体" w:hAnsi="宋体" w:cs="宋体"/>
                <w:i w:val="0"/>
                <w:iCs w:val="0"/>
                <w:color w:val="000000"/>
                <w:kern w:val="0"/>
                <w:sz w:val="21"/>
                <w:szCs w:val="21"/>
                <w:u w:val="none"/>
                <w:lang w:val="en-US" w:eastAsia="zh-CN" w:bidi="ar"/>
              </w:rPr>
              <w:t>，底部配有塑制防水脚套。</w:t>
            </w:r>
          </w:p>
        </w:tc>
      </w:tr>
      <w:tr w14:paraId="1886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5" w:hRule="atLeast"/>
        </w:trPr>
        <w:tc>
          <w:tcPr>
            <w:tcW w:w="654" w:type="dxa"/>
            <w:vMerge w:val="continue"/>
            <w:shd w:val="clear" w:color="auto" w:fill="auto"/>
            <w:vAlign w:val="center"/>
          </w:tcPr>
          <w:p w14:paraId="1773454F">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46B2F5E">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7A00B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3.床横梁：采用规格为90mm×30mm</w:t>
            </w:r>
            <w:r>
              <w:rPr>
                <w:rFonts w:hint="eastAsia" w:ascii="宋体" w:hAnsi="宋体" w:cs="宋体"/>
                <w:i w:val="0"/>
                <w:iCs w:val="0"/>
                <w:color w:val="000000"/>
                <w:kern w:val="0"/>
                <w:sz w:val="21"/>
                <w:szCs w:val="21"/>
                <w:u w:val="none"/>
                <w:lang w:val="en-US" w:eastAsia="zh-CN" w:bidi="ar"/>
              </w:rPr>
              <w:t>（±2mm）</w:t>
            </w:r>
            <w:r>
              <w:rPr>
                <w:rFonts w:hint="eastAsia" w:ascii="宋体" w:hAnsi="宋体" w:eastAsia="宋体" w:cs="宋体"/>
                <w:i w:val="0"/>
                <w:iCs w:val="0"/>
                <w:color w:val="000000"/>
                <w:kern w:val="0"/>
                <w:sz w:val="21"/>
                <w:szCs w:val="21"/>
                <w:u w:val="none"/>
                <w:lang w:val="en-US" w:eastAsia="zh-CN" w:bidi="ar"/>
              </w:rPr>
              <w:t>，壁厚不小于1.</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mm闭口异型管材，外侧面有5条倒角弧形内凹加强筋，底部圆弧形设计，加强其抗弯强度同时起到防撞作用；表面经粉末涂料塑粉处理。</w:t>
            </w:r>
          </w:p>
        </w:tc>
      </w:tr>
      <w:tr w14:paraId="4895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707A55DB">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4489A3B1">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1CFA03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4.床头护栏：横杆采用规格为不小于25mm×25mm，厚度不小于1.0mm方管。表面经粉末涂料塑粉处理，整体稳固美观。</w:t>
            </w:r>
            <w:r>
              <w:rPr>
                <w:rFonts w:hint="eastAsia"/>
              </w:rPr>
              <w:t>护栏镶嵌挡板，挡板厚≥15mm、采用E0级浸渍胶膜纸饰面实木多层板</w:t>
            </w:r>
            <w:r>
              <w:rPr>
                <w:rFonts w:hint="eastAsia" w:ascii="宋体" w:hAnsi="宋体" w:cs="宋体"/>
                <w:i w:val="0"/>
                <w:iCs w:val="0"/>
                <w:color w:val="000000"/>
                <w:kern w:val="0"/>
                <w:sz w:val="21"/>
                <w:szCs w:val="21"/>
                <w:u w:val="none"/>
                <w:lang w:val="en-US" w:eastAsia="zh-CN" w:bidi="ar"/>
              </w:rPr>
              <w:t>（胶合板）</w:t>
            </w:r>
            <w:r>
              <w:rPr>
                <w:rFonts w:hint="eastAsia"/>
              </w:rPr>
              <w:t>。</w:t>
            </w:r>
          </w:p>
        </w:tc>
      </w:tr>
      <w:tr w14:paraId="4370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66DBFB37">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4417D748">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431A9E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5.正前护栏：采用规格为不小于20mm×20mm，壁厚不小于1.0mm方管，护栏板材采用≥15mm厚E0级</w:t>
            </w:r>
            <w:r>
              <w:rPr>
                <w:rFonts w:hint="eastAsia"/>
              </w:rPr>
              <w:t>浸渍胶膜纸饰面实木多层板</w:t>
            </w:r>
            <w:r>
              <w:rPr>
                <w:rFonts w:hint="eastAsia" w:ascii="宋体" w:hAnsi="宋体" w:cs="宋体"/>
                <w:i w:val="0"/>
                <w:iCs w:val="0"/>
                <w:color w:val="000000"/>
                <w:kern w:val="0"/>
                <w:sz w:val="21"/>
                <w:szCs w:val="21"/>
                <w:u w:val="none"/>
                <w:lang w:val="en-US" w:eastAsia="zh-CN" w:bidi="ar"/>
              </w:rPr>
              <w:t>（胶合板）</w:t>
            </w:r>
            <w:r>
              <w:rPr>
                <w:rFonts w:hint="eastAsia" w:ascii="宋体" w:hAnsi="宋体" w:eastAsia="宋体" w:cs="宋体"/>
                <w:i w:val="0"/>
                <w:iCs w:val="0"/>
                <w:color w:val="000000"/>
                <w:kern w:val="0"/>
                <w:sz w:val="21"/>
                <w:szCs w:val="21"/>
                <w:u w:val="none"/>
                <w:lang w:val="en-US" w:eastAsia="zh-CN" w:bidi="ar"/>
              </w:rPr>
              <w:t>，钢材表面经粉末涂料塑粉处理，护栏高</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300MM。</w:t>
            </w:r>
          </w:p>
        </w:tc>
      </w:tr>
      <w:tr w14:paraId="6E69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75542042">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CD2042E">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11E0F8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6.上铺登床口护栏：采用规格为不小于20mm×20mm，壁厚不小于1.0mm方管。</w:t>
            </w:r>
          </w:p>
        </w:tc>
      </w:tr>
      <w:tr w14:paraId="2085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78F22259">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66345CB5">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1D0057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7.床板支撑梁：采用规格为30mm×20mm</w:t>
            </w:r>
            <w:r>
              <w:rPr>
                <w:rFonts w:hint="eastAsia" w:ascii="宋体" w:hAnsi="宋体" w:cs="宋体"/>
                <w:i w:val="0"/>
                <w:iCs w:val="0"/>
                <w:color w:val="000000"/>
                <w:kern w:val="0"/>
                <w:sz w:val="21"/>
                <w:szCs w:val="21"/>
                <w:u w:val="none"/>
                <w:lang w:val="en-US" w:eastAsia="zh-CN" w:bidi="ar"/>
              </w:rPr>
              <w:t>（±2mm）</w:t>
            </w:r>
            <w:r>
              <w:rPr>
                <w:rFonts w:hint="eastAsia" w:ascii="宋体" w:hAnsi="宋体" w:eastAsia="宋体" w:cs="宋体"/>
                <w:i w:val="0"/>
                <w:iCs w:val="0"/>
                <w:color w:val="000000"/>
                <w:kern w:val="0"/>
                <w:sz w:val="21"/>
                <w:szCs w:val="21"/>
                <w:u w:val="none"/>
                <w:lang w:val="en-US" w:eastAsia="zh-CN" w:bidi="ar"/>
              </w:rPr>
              <w:t>，厚度不小于1.2mm方管，床板支撑梁数量≥5根。</w:t>
            </w:r>
          </w:p>
        </w:tc>
      </w:tr>
      <w:tr w14:paraId="03F9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083D0990">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4C62DA2">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E620C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8.下拉杆：采用规格为不小于20mm×40mm，壁厚不小于1.0mm方管，激光开料后左右焊四卡。</w:t>
            </w:r>
          </w:p>
        </w:tc>
      </w:tr>
      <w:tr w14:paraId="76B5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7B9C3CB">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5BDDA05">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28871B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9.蚊帐杆：采用规格为不小于直径19mm，壁厚不小于1.0mm圆管。</w:t>
            </w:r>
          </w:p>
        </w:tc>
      </w:tr>
      <w:tr w14:paraId="54E4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54" w:type="dxa"/>
            <w:vMerge w:val="continue"/>
            <w:shd w:val="clear" w:color="auto" w:fill="auto"/>
            <w:vAlign w:val="center"/>
          </w:tcPr>
          <w:p w14:paraId="7EB68686">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96ECB6B">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6077B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卡式连接件：床立柱与床横梁采用四卡式卡扣连接，连接件采用冷轧钢板经冲压拉伸成型，规格为不小于27mm×27mm×2.0mm×198mm；挂齿由导向段和锁紧段组成，防止向上外力脱落的止锁装置；表面经粉末涂料塑粉处理，整体无螺丝连接。</w:t>
            </w:r>
          </w:p>
        </w:tc>
      </w:tr>
      <w:tr w14:paraId="6E83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188FBEFE">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13274993">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B4BD5A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11.实木床板：</w:t>
            </w:r>
            <w:r>
              <w:rPr>
                <w:rFonts w:hint="eastAsia" w:ascii="宋体" w:hAnsi="宋体" w:cs="宋体"/>
                <w:bCs/>
                <w:szCs w:val="21"/>
                <w:highlight w:val="none"/>
              </w:rPr>
              <w:t>床板基材采用厚度≥1</w:t>
            </w:r>
            <w:r>
              <w:rPr>
                <w:rFonts w:hint="eastAsia" w:ascii="宋体" w:hAnsi="宋体" w:cs="宋体"/>
                <w:bCs/>
                <w:szCs w:val="21"/>
                <w:highlight w:val="none"/>
                <w:lang w:val="en-US" w:eastAsia="zh-CN"/>
              </w:rPr>
              <w:t>6</w:t>
            </w:r>
            <w:r>
              <w:rPr>
                <w:rFonts w:hint="eastAsia" w:ascii="宋体" w:hAnsi="宋体" w:cs="宋体"/>
                <w:bCs/>
                <w:szCs w:val="21"/>
                <w:highlight w:val="none"/>
              </w:rPr>
              <w:t>mm的榉木实木材，多条实木板需固定成整块不分散，每条榉木实木截面尺寸≥1</w:t>
            </w:r>
            <w:r>
              <w:rPr>
                <w:rFonts w:hint="eastAsia" w:ascii="宋体" w:hAnsi="宋体" w:cs="宋体"/>
                <w:bCs/>
                <w:szCs w:val="21"/>
                <w:highlight w:val="none"/>
                <w:lang w:val="en-US" w:eastAsia="zh-CN"/>
              </w:rPr>
              <w:t>6</w:t>
            </w:r>
            <w:r>
              <w:rPr>
                <w:rFonts w:hint="eastAsia" w:ascii="宋体" w:hAnsi="宋体" w:cs="宋体"/>
                <w:bCs/>
                <w:szCs w:val="21"/>
                <w:highlight w:val="none"/>
              </w:rPr>
              <w:t>mm</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55</w:t>
            </w:r>
            <w:r>
              <w:rPr>
                <w:rFonts w:hint="eastAsia" w:ascii="宋体" w:hAnsi="宋体" w:cs="宋体"/>
                <w:bCs/>
                <w:szCs w:val="21"/>
                <w:highlight w:val="none"/>
              </w:rPr>
              <w:t>mm，每条榉木间隙≤30mm；木板面平整，四面刨光，表面光滑，无毛刺，无虫眼，无豁边木皮，无朽木，每条木材上不超过5个直径大于12mm的节子，床板底部采用榉木加强筋固定条，固定条尺寸≥1</w:t>
            </w:r>
            <w:r>
              <w:rPr>
                <w:rFonts w:hint="eastAsia" w:ascii="宋体" w:hAnsi="宋体" w:cs="宋体"/>
                <w:bCs/>
                <w:szCs w:val="21"/>
                <w:highlight w:val="none"/>
                <w:lang w:val="en-US" w:eastAsia="zh-CN"/>
              </w:rPr>
              <w:t>4</w:t>
            </w:r>
            <w:r>
              <w:rPr>
                <w:rFonts w:hint="eastAsia" w:ascii="宋体" w:hAnsi="宋体" w:cs="宋体"/>
                <w:bCs/>
                <w:szCs w:val="21"/>
                <w:highlight w:val="none"/>
              </w:rPr>
              <w:t>mm</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55</w:t>
            </w:r>
            <w:r>
              <w:rPr>
                <w:rFonts w:hint="eastAsia" w:ascii="宋体" w:hAnsi="宋体" w:cs="宋体"/>
                <w:bCs/>
                <w:szCs w:val="21"/>
                <w:highlight w:val="none"/>
              </w:rPr>
              <w:t>mm，数量≥4根，均匀分布，床板无明显异味，木材</w:t>
            </w:r>
            <w:r>
              <w:rPr>
                <w:rFonts w:hint="eastAsia"/>
                <w:highlight w:val="none"/>
              </w:rPr>
              <w:t>需做防腐防虫处理，床板不长霉，不长虫</w:t>
            </w:r>
            <w:r>
              <w:rPr>
                <w:rFonts w:hint="eastAsia" w:ascii="宋体" w:hAnsi="宋体" w:cs="宋体"/>
                <w:bCs/>
                <w:szCs w:val="21"/>
                <w:highlight w:val="none"/>
              </w:rPr>
              <w:t>。床板嵌入床框内与床架四周吻合，与床架间缝隙≤10mm，床板与床框平齐，尺寸与床架匹配。</w:t>
            </w:r>
          </w:p>
        </w:tc>
      </w:tr>
      <w:tr w14:paraId="2305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26549A1B">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330656A">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5B109B0">
            <w:pPr>
              <w:keepNext w:val="0"/>
              <w:keepLines w:val="0"/>
              <w:widowControl/>
              <w:suppressLineNumbers w:val="0"/>
              <w:jc w:val="left"/>
              <w:textAlignment w:val="center"/>
              <w:rPr>
                <w:rFonts w:hint="eastAsia" w:ascii="宋体" w:hAnsi="宋体" w:cs="宋体"/>
                <w:color w:val="FF0000"/>
                <w:kern w:val="0"/>
                <w:szCs w:val="21"/>
                <w:u w:val="none"/>
                <w:lang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FF0000"/>
                <w:kern w:val="0"/>
                <w:sz w:val="21"/>
                <w:szCs w:val="21"/>
                <w:u w:val="none"/>
                <w:lang w:val="en-US" w:eastAsia="zh-CN" w:bidi="ar"/>
              </w:rPr>
              <w:t>▲</w:t>
            </w:r>
            <w:r>
              <w:rPr>
                <w:rFonts w:hint="eastAsia" w:ascii="宋体" w:hAnsi="宋体" w:cs="宋体"/>
                <w:color w:val="FF0000"/>
                <w:kern w:val="0"/>
                <w:szCs w:val="21"/>
                <w:u w:val="none"/>
                <w:lang w:bidi="ar"/>
              </w:rPr>
              <w:t>床横梁</w:t>
            </w:r>
          </w:p>
          <w:p w14:paraId="7C7BB6EA">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r>
              <w:rPr>
                <w:rFonts w:hint="eastAsia" w:asciiTheme="minorHAnsi" w:hAnsiTheme="minorHAnsi" w:eastAsiaTheme="minorEastAsia" w:cstheme="minorBidi"/>
                <w:kern w:val="2"/>
                <w:sz w:val="21"/>
                <w:szCs w:val="24"/>
                <w:lang w:val="en-US" w:eastAsia="zh-CN" w:bidi="ar-SA"/>
              </w:rPr>
              <w:t>①</w:t>
            </w:r>
            <w:r>
              <w:rPr>
                <w:rFonts w:hint="eastAsia"/>
                <w:lang w:val="en-US" w:eastAsia="zh-CN"/>
              </w:rPr>
              <w:t>依据GB/T3325-2024《金属家具通用技术条件》标准。</w:t>
            </w:r>
            <w:r>
              <w:rPr>
                <w:rFonts w:hint="eastAsia" w:ascii="宋体" w:hAnsi="宋体" w:cs="宋体"/>
                <w:color w:val="FF0000"/>
                <w:kern w:val="0"/>
                <w:szCs w:val="21"/>
                <w:u w:val="none"/>
                <w:lang w:val="en-US" w:eastAsia="zh-CN" w:bidi="ar"/>
              </w:rPr>
              <w:t>检测要求</w:t>
            </w:r>
            <w:r>
              <w:rPr>
                <w:rFonts w:hint="eastAsia"/>
                <w:lang w:val="en-US" w:eastAsia="zh-CN"/>
              </w:rPr>
              <w:t>：金属件管材外观无裂缝、叠缝，外露管口端面封闭，圆管和扁线管弯曲处弧形应圆滑一致；金属件喷漆(塑)涂层外观应无漏喷、锈蚀、脱色、掉色，应光滑均匀,色泽一致,应无流挂、疙瘩、皱皮、飞漆等；</w:t>
            </w:r>
          </w:p>
          <w:p w14:paraId="51876F0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r>
              <w:rPr>
                <w:rFonts w:hint="eastAsia" w:asciiTheme="minorHAnsi" w:hAnsiTheme="minorHAnsi" w:eastAsiaTheme="minorEastAsia" w:cstheme="minorBidi"/>
                <w:kern w:val="2"/>
                <w:sz w:val="21"/>
                <w:szCs w:val="24"/>
                <w:lang w:val="en-US" w:eastAsia="zh-CN" w:bidi="ar-SA"/>
              </w:rPr>
              <w:t>②</w:t>
            </w:r>
            <w:r>
              <w:rPr>
                <w:rFonts w:hint="eastAsia"/>
                <w:lang w:val="en-US" w:eastAsia="zh-CN"/>
              </w:rPr>
              <w:t>依据GB/T1732-2020《漆膜耐冲击测定法》标准。</w:t>
            </w:r>
            <w:r>
              <w:rPr>
                <w:rFonts w:hint="eastAsia" w:ascii="宋体" w:hAnsi="宋体" w:cs="宋体"/>
                <w:color w:val="FF0000"/>
                <w:kern w:val="0"/>
                <w:szCs w:val="21"/>
                <w:u w:val="none"/>
                <w:lang w:val="en-US" w:eastAsia="zh-CN" w:bidi="ar"/>
              </w:rPr>
              <w:t>检测要求</w:t>
            </w:r>
            <w:r>
              <w:rPr>
                <w:rFonts w:hint="eastAsia"/>
                <w:lang w:val="en-US" w:eastAsia="zh-CN"/>
              </w:rPr>
              <w:t>：冲击强度应无剥落、裂纹、皱纹；</w:t>
            </w:r>
          </w:p>
          <w:p w14:paraId="123ED2C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r>
              <w:rPr>
                <w:rFonts w:hint="eastAsia" w:asciiTheme="minorHAnsi" w:hAnsiTheme="minorHAnsi" w:eastAsiaTheme="minorEastAsia" w:cstheme="minorBidi"/>
                <w:kern w:val="2"/>
                <w:sz w:val="21"/>
                <w:szCs w:val="24"/>
                <w:lang w:val="en-US" w:eastAsia="zh-CN" w:bidi="ar-SA"/>
              </w:rPr>
              <w:t>③</w:t>
            </w:r>
            <w:r>
              <w:rPr>
                <w:rFonts w:hint="eastAsia"/>
                <w:lang w:val="en-US" w:eastAsia="zh-CN"/>
              </w:rPr>
              <w:t>依据GB/T9286-2021《色漆和清漆 划格试验》标准。</w:t>
            </w:r>
            <w:r>
              <w:rPr>
                <w:rFonts w:hint="eastAsia" w:ascii="宋体" w:hAnsi="宋体" w:cs="宋体"/>
                <w:color w:val="FF0000"/>
                <w:kern w:val="0"/>
                <w:szCs w:val="21"/>
                <w:u w:val="none"/>
                <w:lang w:val="en-US" w:eastAsia="zh-CN" w:bidi="ar"/>
              </w:rPr>
              <w:t>检测要求</w:t>
            </w:r>
            <w:r>
              <w:rPr>
                <w:rFonts w:hint="eastAsia"/>
                <w:lang w:val="en-US" w:eastAsia="zh-CN"/>
              </w:rPr>
              <w:t>：附着力≥0级；</w:t>
            </w:r>
          </w:p>
          <w:p w14:paraId="6DB4E294">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r>
              <w:rPr>
                <w:rFonts w:hint="eastAsia" w:asciiTheme="minorHAnsi" w:hAnsiTheme="minorHAnsi" w:eastAsiaTheme="minorEastAsia" w:cstheme="minorBidi"/>
                <w:kern w:val="2"/>
                <w:sz w:val="21"/>
                <w:szCs w:val="24"/>
                <w:lang w:val="en-US" w:eastAsia="zh-CN" w:bidi="ar-SA"/>
              </w:rPr>
              <w:t>④</w:t>
            </w:r>
            <w:r>
              <w:rPr>
                <w:rFonts w:hint="eastAsia"/>
                <w:lang w:val="en-US" w:eastAsia="zh-CN"/>
              </w:rPr>
              <w:t>依据GB/T10125-2021《人造气氛腐蚀试验 盐雾试验》</w:t>
            </w:r>
            <w:r>
              <w:rPr>
                <w:rFonts w:hint="eastAsia"/>
              </w:rPr>
              <w:t>、GB/T 6461-2002《金属基体上金属和其它无机覆盖层 经腐蚀试验后的试样和试件的评级》</w:t>
            </w:r>
            <w:r>
              <w:rPr>
                <w:rFonts w:hint="eastAsia"/>
                <w:lang w:val="en-US" w:eastAsia="zh-CN"/>
              </w:rPr>
              <w:t>标准：铜加速乙酸盐雾≥156h：保护评级（Rp）≥10级、外观评级（RA）≥10级；</w:t>
            </w:r>
          </w:p>
          <w:p w14:paraId="4CE0A20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r>
              <w:rPr>
                <w:rFonts w:hint="eastAsia" w:cstheme="minorBidi"/>
                <w:kern w:val="2"/>
                <w:sz w:val="21"/>
                <w:szCs w:val="24"/>
                <w:lang w:val="en-US" w:eastAsia="zh-CN" w:bidi="ar-SA"/>
              </w:rPr>
              <w:t>⑤</w:t>
            </w:r>
            <w:r>
              <w:rPr>
                <w:rFonts w:hint="eastAsia"/>
                <w:lang w:val="en-US" w:eastAsia="zh-CN"/>
              </w:rPr>
              <w:t>依据QB/T3828-1999《轻工产品金属镀层和化学处理层的耐腐蚀试验方法 铜盐加速乙酸盐雾试验(CASS)法》</w:t>
            </w:r>
            <w:r>
              <w:rPr>
                <w:rFonts w:hint="eastAsia" w:ascii="宋体" w:hAnsi="宋体" w:eastAsia="宋体" w:cs="宋体"/>
                <w:lang w:val="en-US" w:eastAsia="zh-CN"/>
              </w:rPr>
              <w:t>、QB/T3832-1999《轻工产品金属镀层腐蚀试验结果的评价》</w:t>
            </w:r>
            <w:r>
              <w:rPr>
                <w:rFonts w:hint="eastAsia"/>
                <w:lang w:val="en-US" w:eastAsia="zh-CN"/>
              </w:rPr>
              <w:t>标准。</w:t>
            </w:r>
            <w:r>
              <w:rPr>
                <w:rFonts w:hint="eastAsia" w:ascii="宋体" w:hAnsi="宋体" w:cs="宋体"/>
                <w:color w:val="FF0000"/>
                <w:kern w:val="0"/>
                <w:szCs w:val="21"/>
                <w:u w:val="none"/>
                <w:lang w:val="en-US" w:eastAsia="zh-CN" w:bidi="ar"/>
              </w:rPr>
              <w:t>检测要求</w:t>
            </w:r>
            <w:r>
              <w:rPr>
                <w:rFonts w:hint="eastAsia"/>
                <w:lang w:val="en-US" w:eastAsia="zh-CN"/>
              </w:rPr>
              <w:t>：铜盐加速乙酸盐雾≥18h：涂层对基体的保护等级≥10级、涂层本身耐腐蚀等级≥10级；</w:t>
            </w:r>
          </w:p>
          <w:p w14:paraId="3DD8FEA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r>
              <w:rPr>
                <w:rFonts w:hint="eastAsia" w:cstheme="minorBidi"/>
                <w:kern w:val="2"/>
                <w:sz w:val="21"/>
                <w:szCs w:val="24"/>
                <w:lang w:val="en-US" w:eastAsia="zh-CN" w:bidi="ar-SA"/>
              </w:rPr>
              <w:t>⑥</w:t>
            </w:r>
            <w:r>
              <w:rPr>
                <w:rFonts w:hint="eastAsia"/>
                <w:lang w:val="en-US" w:eastAsia="zh-CN"/>
              </w:rPr>
              <w:t>依据GB/T 4336-2016《碳素钢和中低合金钢 多元素含量的测定 火花放电原子发射光谱法(常规法)》标准。</w:t>
            </w:r>
            <w:r>
              <w:rPr>
                <w:rFonts w:hint="eastAsia" w:ascii="宋体" w:hAnsi="宋体" w:cs="宋体"/>
                <w:color w:val="FF0000"/>
                <w:kern w:val="0"/>
                <w:szCs w:val="21"/>
                <w:u w:val="none"/>
                <w:lang w:val="en-US" w:eastAsia="zh-CN" w:bidi="ar"/>
              </w:rPr>
              <w:t>检测要求</w:t>
            </w:r>
            <w:r>
              <w:rPr>
                <w:rFonts w:hint="eastAsia"/>
                <w:lang w:val="en-US" w:eastAsia="zh-CN"/>
              </w:rPr>
              <w:t>：化学成分C≤0.05%、Mn≤0.14%、P≤0.01%、Cu≤0.01%、Si≤0.04%；</w:t>
            </w:r>
          </w:p>
          <w:p w14:paraId="4F506BB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r>
              <w:rPr>
                <w:rFonts w:hint="eastAsia" w:cstheme="minorBidi"/>
                <w:kern w:val="2"/>
                <w:sz w:val="21"/>
                <w:szCs w:val="24"/>
                <w:lang w:val="en-US" w:eastAsia="zh-CN" w:bidi="ar-SA"/>
              </w:rPr>
              <w:t>⑦</w:t>
            </w:r>
            <w:r>
              <w:rPr>
                <w:rFonts w:hint="eastAsia"/>
                <w:lang w:val="en-US" w:eastAsia="zh-CN"/>
              </w:rPr>
              <w:t>依据GB/T228.1-2021《金属材料 拉伸试验 第1部分：室温试验方法》标准。</w:t>
            </w:r>
            <w:r>
              <w:rPr>
                <w:rFonts w:hint="eastAsia" w:ascii="宋体" w:hAnsi="宋体" w:cs="宋体"/>
                <w:color w:val="FF0000"/>
                <w:kern w:val="0"/>
                <w:szCs w:val="21"/>
                <w:u w:val="none"/>
                <w:lang w:val="en-US" w:eastAsia="zh-CN" w:bidi="ar"/>
              </w:rPr>
              <w:t>检测要求</w:t>
            </w:r>
            <w:r>
              <w:rPr>
                <w:rFonts w:hint="eastAsia"/>
                <w:lang w:val="en-US" w:eastAsia="zh-CN"/>
              </w:rPr>
              <w:t>：下屈服强度≥285Mpa、抗拉强度≥480Mpa、断后伸长率≥40%；</w:t>
            </w:r>
          </w:p>
          <w:p w14:paraId="3E169DB9">
            <w:pPr>
              <w:keepNext w:val="0"/>
              <w:keepLines w:val="0"/>
              <w:widowControl/>
              <w:suppressLineNumbers w:val="0"/>
              <w:jc w:val="left"/>
              <w:textAlignment w:val="center"/>
              <w:rPr>
                <w:rFonts w:hint="eastAsia" w:ascii="宋体" w:hAnsi="宋体" w:eastAsia="宋体" w:cs="宋体"/>
                <w:color w:val="FF0000"/>
                <w:kern w:val="0"/>
                <w:szCs w:val="21"/>
                <w:u w:val="none"/>
                <w:lang w:bidi="ar"/>
              </w:rPr>
            </w:pPr>
            <w:r>
              <w:rPr>
                <w:rFonts w:hint="eastAsia" w:cstheme="minorBidi"/>
                <w:kern w:val="2"/>
                <w:sz w:val="21"/>
                <w:szCs w:val="24"/>
                <w:lang w:val="en-US" w:eastAsia="zh-CN" w:bidi="ar-SA"/>
              </w:rPr>
              <w:t>⑧</w:t>
            </w:r>
            <w:r>
              <w:rPr>
                <w:rFonts w:hint="eastAsia"/>
                <w:lang w:val="en-US" w:eastAsia="zh-CN"/>
              </w:rPr>
              <w:t>依据GB/T23994-2009《与人体接触的消费产品用涂料中特定有害元素限量》标准。</w:t>
            </w:r>
            <w:r>
              <w:rPr>
                <w:rFonts w:hint="eastAsia" w:ascii="宋体" w:hAnsi="宋体" w:cs="宋体"/>
                <w:color w:val="FF0000"/>
                <w:kern w:val="0"/>
                <w:szCs w:val="21"/>
                <w:u w:val="none"/>
                <w:lang w:val="en-US" w:eastAsia="zh-CN" w:bidi="ar"/>
              </w:rPr>
              <w:t>检测要求</w:t>
            </w:r>
            <w:r>
              <w:rPr>
                <w:rFonts w:hint="eastAsia"/>
                <w:lang w:val="en-US" w:eastAsia="zh-CN"/>
              </w:rPr>
              <w:t>：可溶性元素铅、镉、铬、汞均未检出。</w:t>
            </w:r>
          </w:p>
          <w:p w14:paraId="5E984699">
            <w:pPr>
              <w:keepNext w:val="0"/>
              <w:keepLines w:val="0"/>
              <w:widowControl/>
              <w:suppressLineNumbers w:val="0"/>
              <w:jc w:val="left"/>
              <w:textAlignment w:val="center"/>
              <w:rPr>
                <w:rStyle w:val="60"/>
                <w:rFonts w:hint="eastAsia" w:hAnsi="宋体" w:cs="宋体"/>
                <w:b/>
                <w:sz w:val="21"/>
                <w:szCs w:val="21"/>
                <w:highlight w:val="none"/>
                <w:lang w:eastAsia="zh-CN" w:bidi="ar"/>
              </w:rPr>
            </w:pPr>
            <w:r>
              <w:rPr>
                <w:rFonts w:hint="eastAsia" w:ascii="宋体" w:hAnsi="宋体" w:cs="宋体"/>
                <w:b/>
                <w:bCs/>
                <w:color w:val="FF0000"/>
                <w:kern w:val="0"/>
                <w:sz w:val="20"/>
                <w:szCs w:val="20"/>
                <w:highlight w:val="none"/>
              </w:rPr>
              <w:t>【提供20</w:t>
            </w:r>
            <w:r>
              <w:rPr>
                <w:rFonts w:hint="eastAsia" w:ascii="宋体" w:hAnsi="宋体" w:cs="宋体"/>
                <w:b/>
                <w:bCs/>
                <w:color w:val="FF0000"/>
                <w:kern w:val="0"/>
                <w:sz w:val="20"/>
                <w:szCs w:val="20"/>
                <w:highlight w:val="none"/>
                <w:lang w:val="en-US" w:eastAsia="zh-CN"/>
              </w:rPr>
              <w:t>24</w:t>
            </w:r>
            <w:r>
              <w:rPr>
                <w:rFonts w:hint="eastAsia" w:ascii="宋体" w:hAnsi="宋体" w:cs="宋体"/>
                <w:b/>
                <w:bCs/>
                <w:color w:val="FF0000"/>
                <w:kern w:val="0"/>
                <w:sz w:val="20"/>
                <w:szCs w:val="20"/>
                <w:highlight w:val="none"/>
              </w:rPr>
              <w:t>年</w:t>
            </w:r>
            <w:r>
              <w:rPr>
                <w:rFonts w:hint="eastAsia" w:ascii="宋体" w:hAnsi="宋体" w:cs="宋体"/>
                <w:b/>
                <w:bCs/>
                <w:color w:val="FF0000"/>
                <w:kern w:val="0"/>
                <w:sz w:val="20"/>
                <w:szCs w:val="20"/>
                <w:highlight w:val="none"/>
                <w:lang w:val="en-US" w:eastAsia="zh-CN"/>
              </w:rPr>
              <w:t>6</w:t>
            </w:r>
            <w:r>
              <w:rPr>
                <w:rFonts w:hint="eastAsia" w:ascii="宋体" w:hAnsi="宋体" w:cs="宋体"/>
                <w:b/>
                <w:bCs/>
                <w:color w:val="FF0000"/>
                <w:kern w:val="0"/>
                <w:sz w:val="20"/>
                <w:szCs w:val="20"/>
                <w:highlight w:val="none"/>
              </w:rPr>
              <w:t>月1日起至本项目投标截止日止由第三方检测机构出具带有CMA标志的符合上述检测依据和检测内容及结论要求的原材料检测报告扫描件。并按要求提供“国家认证认可监督管理委员会”官方网站（http://www.cnca.gov.cn/）检测报告查询记录的截图，因该平台升级等原因导致无法查询的，则需提供通过检测机构官网、邮箱等可靠途径查询所提交检测报告具体内容的真实性的证明材料或者检测机构盖章的证明材料，证明该报告真实有效。】</w:t>
            </w:r>
            <w:r>
              <w:rPr>
                <w:rFonts w:hint="eastAsia" w:hAnsi="宋体" w:cs="宋体"/>
                <w:b/>
                <w:bCs/>
                <w:color w:val="FF0000"/>
                <w:kern w:val="0"/>
                <w:sz w:val="20"/>
                <w:szCs w:val="20"/>
                <w:highlight w:val="none"/>
                <w:lang w:eastAsia="zh-CN"/>
              </w:rPr>
              <w:t>，</w:t>
            </w:r>
            <w:r>
              <w:rPr>
                <w:rFonts w:hint="eastAsia" w:hAnsi="宋体" w:cs="宋体"/>
                <w:b/>
                <w:bCs/>
                <w:color w:val="FF0000"/>
                <w:kern w:val="0"/>
                <w:sz w:val="20"/>
                <w:szCs w:val="20"/>
                <w:highlight w:val="none"/>
                <w:lang w:val="en-US" w:eastAsia="zh-CN"/>
              </w:rPr>
              <w:t>注：</w:t>
            </w:r>
            <w:r>
              <w:rPr>
                <w:rStyle w:val="60"/>
                <w:rFonts w:hint="eastAsia" w:ascii="宋体" w:hAnsi="宋体" w:eastAsia="宋体" w:cs="宋体"/>
                <w:b/>
                <w:sz w:val="21"/>
                <w:szCs w:val="21"/>
                <w:highlight w:val="none"/>
                <w:lang w:bidi="ar"/>
              </w:rPr>
              <w:t>对应参数（检验检测项）在检验检测报告中进行标注</w:t>
            </w:r>
            <w:r>
              <w:rPr>
                <w:rStyle w:val="60"/>
                <w:rFonts w:hint="eastAsia" w:hAnsi="宋体" w:cs="宋体"/>
                <w:b/>
                <w:sz w:val="21"/>
                <w:szCs w:val="21"/>
                <w:highlight w:val="none"/>
                <w:lang w:eastAsia="zh-CN" w:bidi="ar"/>
              </w:rPr>
              <w:t>，</w:t>
            </w:r>
            <w:r>
              <w:rPr>
                <w:rStyle w:val="60"/>
                <w:rFonts w:hint="eastAsia" w:hAnsi="宋体" w:cs="宋体"/>
                <w:b/>
                <w:sz w:val="21"/>
                <w:szCs w:val="21"/>
                <w:highlight w:val="none"/>
                <w:lang w:val="en-US" w:eastAsia="zh-CN" w:bidi="ar"/>
              </w:rPr>
              <w:t>未标注不做扣分处理</w:t>
            </w:r>
            <w:r>
              <w:rPr>
                <w:rStyle w:val="60"/>
                <w:rFonts w:hint="eastAsia" w:hAnsi="宋体" w:cs="宋体"/>
                <w:b/>
                <w:sz w:val="21"/>
                <w:szCs w:val="21"/>
                <w:highlight w:val="none"/>
                <w:lang w:eastAsia="zh-CN" w:bidi="ar"/>
              </w:rPr>
              <w:t>。</w:t>
            </w:r>
          </w:p>
          <w:p w14:paraId="1D5300DE">
            <w:pPr>
              <w:pStyle w:val="39"/>
              <w:rPr>
                <w:rFonts w:hint="eastAsia" w:ascii="宋体" w:hAnsi="宋体" w:cs="宋体"/>
                <w:b/>
                <w:bCs/>
                <w:color w:val="FF0000"/>
                <w:szCs w:val="21"/>
              </w:rPr>
            </w:pPr>
            <w:r>
              <w:rPr>
                <w:rFonts w:hint="eastAsia" w:ascii="宋体" w:hAnsi="宋体" w:eastAsia="宋体" w:cs="宋体"/>
                <w:b/>
                <w:bCs/>
                <w:color w:val="FF0000"/>
                <w:sz w:val="21"/>
                <w:szCs w:val="21"/>
              </w:rPr>
              <w:t>如检测报告需要分包的，则实施检测的分包机构需具有相应的CMA资质且分包检测项目应在该分包机构CMA资质许可范围内，投标人提供相关承诺函（格式自拟），否则不予得分。若分包检验项目不在该分包机构CMA资质许可范围内的，则该份检验（检测）报告不得分。</w:t>
            </w:r>
          </w:p>
          <w:p w14:paraId="150D5A69">
            <w:pPr>
              <w:pStyle w:val="9"/>
              <w:rPr>
                <w:rFonts w:hint="default"/>
                <w:lang w:val="en-US"/>
              </w:rPr>
            </w:pPr>
          </w:p>
        </w:tc>
      </w:tr>
      <w:tr w14:paraId="427B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164D8C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03" w:type="dxa"/>
            <w:vMerge w:val="restart"/>
            <w:shd w:val="clear" w:color="auto" w:fill="auto"/>
            <w:vAlign w:val="center"/>
          </w:tcPr>
          <w:p w14:paraId="0808D9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床垫1</w:t>
            </w:r>
          </w:p>
        </w:tc>
        <w:tc>
          <w:tcPr>
            <w:tcW w:w="8030" w:type="dxa"/>
            <w:shd w:val="clear" w:color="auto" w:fill="auto"/>
            <w:vAlign w:val="center"/>
          </w:tcPr>
          <w:p w14:paraId="37988F33">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1.规格：长2000</w:t>
            </w:r>
            <w:r>
              <w:rPr>
                <w:rFonts w:hint="eastAsia"/>
                <w:lang w:val="en-US" w:eastAsia="zh-CN"/>
              </w:rPr>
              <w:t>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宽950</w:t>
            </w:r>
            <w:r>
              <w:rPr>
                <w:rFonts w:hint="eastAsia" w:ascii="宋体" w:hAnsi="宋体" w:cs="宋体"/>
                <w:i w:val="0"/>
                <w:iCs w:val="0"/>
                <w:color w:val="000000"/>
                <w:kern w:val="0"/>
                <w:sz w:val="21"/>
                <w:szCs w:val="21"/>
                <w:u w:val="none"/>
                <w:lang w:val="en-US" w:eastAsia="zh-CN" w:bidi="ar"/>
              </w:rPr>
              <w:t>（±5mm），厚度≥50mm。</w:t>
            </w:r>
          </w:p>
        </w:tc>
      </w:tr>
      <w:tr w14:paraId="527F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5" w:hRule="atLeast"/>
        </w:trPr>
        <w:tc>
          <w:tcPr>
            <w:tcW w:w="654" w:type="dxa"/>
            <w:vMerge w:val="continue"/>
            <w:shd w:val="clear" w:color="auto" w:fill="auto"/>
            <w:vAlign w:val="center"/>
          </w:tcPr>
          <w:p w14:paraId="09CE38A3">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632A722">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1EE44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w:t>
            </w:r>
            <w:r>
              <w:rPr>
                <w:rFonts w:hint="eastAsia" w:ascii="宋体" w:hAnsi="宋体" w:eastAsia="宋体" w:cs="宋体"/>
              </w:rPr>
              <w:t>内胆采用</w:t>
            </w:r>
            <w:r>
              <w:rPr>
                <w:rFonts w:hint="eastAsia" w:ascii="宋体" w:hAnsi="宋体" w:eastAsia="宋体" w:cs="宋体"/>
                <w:lang w:val="en-US" w:eastAsia="zh-CN"/>
              </w:rPr>
              <w:t>天然</w:t>
            </w:r>
            <w:r>
              <w:rPr>
                <w:rFonts w:hint="eastAsia" w:ascii="宋体" w:hAnsi="宋体" w:eastAsia="宋体" w:cs="宋体"/>
              </w:rPr>
              <w:t>椰棕芯，</w:t>
            </w:r>
            <w:r>
              <w:rPr>
                <w:rFonts w:hint="eastAsia" w:ascii="宋体" w:hAnsi="宋体" w:eastAsia="宋体" w:cs="宋体"/>
                <w:lang w:val="en-US" w:eastAsia="zh-CN"/>
              </w:rPr>
              <w:t>采用</w:t>
            </w:r>
            <w:r>
              <w:rPr>
                <w:rFonts w:hint="eastAsia" w:ascii="宋体" w:hAnsi="宋体" w:eastAsia="宋体" w:cs="宋体"/>
              </w:rPr>
              <w:t>天然椰壳丝高温热压脱糖无胶水压制而成。里料高密度高回弹海绵</w:t>
            </w:r>
            <w:r>
              <w:rPr>
                <w:rFonts w:hint="eastAsia" w:ascii="宋体" w:hAnsi="宋体" w:cs="宋体"/>
                <w:lang w:eastAsia="zh-CN"/>
              </w:rPr>
              <w:t>，</w:t>
            </w:r>
            <w:r>
              <w:rPr>
                <w:rFonts w:hint="eastAsia" w:ascii="宋体" w:hAnsi="宋体" w:eastAsia="宋体" w:cs="宋体"/>
              </w:rPr>
              <w:t>符合GB/T 10802-2023《通用软质聚氨酯泡沫塑料》要求。外包立体三维针织棉绒亲肤透气</w:t>
            </w:r>
            <w:r>
              <w:rPr>
                <w:rFonts w:hint="eastAsia" w:ascii="宋体" w:hAnsi="宋体" w:eastAsia="宋体" w:cs="宋体"/>
                <w:lang w:val="en-US" w:eastAsia="zh-CN"/>
              </w:rPr>
              <w:t>布</w:t>
            </w:r>
            <w:r>
              <w:rPr>
                <w:rFonts w:hint="eastAsia" w:ascii="宋体" w:hAnsi="宋体" w:eastAsia="宋体" w:cs="宋体"/>
              </w:rPr>
              <w:t>料</w:t>
            </w:r>
            <w:r>
              <w:rPr>
                <w:rFonts w:hint="eastAsia" w:ascii="宋体" w:hAnsi="宋体" w:cs="宋体"/>
                <w:lang w:eastAsia="zh-CN"/>
              </w:rPr>
              <w:t>，</w:t>
            </w:r>
            <w:r>
              <w:rPr>
                <w:rFonts w:hint="eastAsia" w:ascii="宋体" w:hAnsi="宋体" w:cs="宋体"/>
                <w:lang w:val="en-US" w:eastAsia="zh-CN"/>
              </w:rPr>
              <w:t>符合</w:t>
            </w:r>
            <w:r>
              <w:rPr>
                <w:rFonts w:hint="eastAsia" w:ascii="宋体" w:hAnsi="宋体" w:cs="宋体"/>
                <w:lang w:eastAsia="zh-CN"/>
              </w:rPr>
              <w:t>FZ/T 62011.3</w:t>
            </w:r>
            <w:r>
              <w:rPr>
                <w:rFonts w:hint="eastAsia" w:ascii="仿宋" w:hAnsi="仿宋" w:eastAsia="仿宋" w:cs="仿宋"/>
                <w:b w:val="0"/>
                <w:bCs w:val="0"/>
                <w:spacing w:val="6"/>
                <w:sz w:val="21"/>
                <w:szCs w:val="21"/>
                <w:lang w:val="en-US" w:eastAsia="zh-CN"/>
              </w:rPr>
              <w:t>-2016</w:t>
            </w:r>
            <w:r>
              <w:rPr>
                <w:rFonts w:hint="eastAsia" w:ascii="仿宋" w:hAnsi="仿宋" w:eastAsia="仿宋" w:cs="仿宋"/>
                <w:b w:val="0"/>
                <w:bCs w:val="0"/>
                <w:spacing w:val="6"/>
                <w:sz w:val="24"/>
                <w:szCs w:val="24"/>
                <w:lang w:eastAsia="zh-CN"/>
              </w:rPr>
              <w:t>《</w:t>
            </w:r>
            <w:r>
              <w:rPr>
                <w:rFonts w:hint="eastAsia" w:ascii="宋体" w:hAnsi="宋体" w:cs="宋体"/>
                <w:lang w:eastAsia="zh-CN"/>
              </w:rPr>
              <w:t>布艺类产品 第 3 部分：家具用纺织品</w:t>
            </w:r>
            <w:r>
              <w:rPr>
                <w:rFonts w:hint="eastAsia" w:ascii="仿宋" w:hAnsi="仿宋" w:eastAsia="仿宋" w:cs="仿宋"/>
                <w:b w:val="0"/>
                <w:bCs w:val="0"/>
                <w:spacing w:val="6"/>
                <w:sz w:val="24"/>
                <w:szCs w:val="24"/>
                <w:lang w:eastAsia="zh-CN"/>
              </w:rPr>
              <w:t>》</w:t>
            </w:r>
            <w:r>
              <w:rPr>
                <w:rFonts w:hint="eastAsia" w:ascii="宋体" w:hAnsi="宋体" w:eastAsia="宋体" w:cs="宋体"/>
              </w:rPr>
              <w:t>要求。布艺无异味，可分解芳香胺染料含量未检出；上下两条防撞围边工艺，清洁无污染，耐磨抗菌处理。床垫四角圆弧转角床垫整体符合卫生安全标准，无异味、无夹杂塑料、植物秸秆或叶、壳、竹、丝、刨花、泥沙、石粉等杂物。</w:t>
            </w:r>
            <w:r>
              <w:rPr>
                <w:rFonts w:hint="eastAsia" w:ascii="宋体" w:hAnsi="宋体" w:eastAsia="宋体" w:cs="宋体"/>
                <w:lang w:val="en-US" w:eastAsia="zh-CN"/>
              </w:rPr>
              <w:t>床垫外观、理化、力学、环保性能符合</w:t>
            </w:r>
            <w:r>
              <w:rPr>
                <w:rFonts w:hint="eastAsia" w:ascii="仿宋" w:hAnsi="仿宋" w:eastAsia="仿宋" w:cs="仿宋"/>
                <w:b w:val="0"/>
                <w:bCs w:val="0"/>
                <w:spacing w:val="6"/>
                <w:sz w:val="24"/>
                <w:szCs w:val="24"/>
                <w:lang w:eastAsia="zh-CN"/>
              </w:rPr>
              <w:t>GB/T 26706-20</w:t>
            </w:r>
            <w:r>
              <w:rPr>
                <w:rFonts w:hint="eastAsia" w:ascii="仿宋" w:hAnsi="仿宋" w:eastAsia="仿宋" w:cs="仿宋"/>
                <w:b w:val="0"/>
                <w:bCs w:val="0"/>
                <w:spacing w:val="6"/>
                <w:sz w:val="24"/>
                <w:szCs w:val="24"/>
                <w:lang w:val="en-US" w:eastAsia="zh-CN"/>
              </w:rPr>
              <w:t>25</w:t>
            </w:r>
            <w:r>
              <w:rPr>
                <w:rFonts w:hint="eastAsia" w:ascii="仿宋" w:hAnsi="仿宋" w:eastAsia="仿宋" w:cs="仿宋"/>
                <w:b w:val="0"/>
                <w:bCs w:val="0"/>
                <w:spacing w:val="6"/>
                <w:sz w:val="24"/>
                <w:szCs w:val="24"/>
                <w:lang w:eastAsia="zh-CN"/>
              </w:rPr>
              <w:t>《软体家具 棕纤维弹性床垫》。</w:t>
            </w:r>
          </w:p>
        </w:tc>
      </w:tr>
      <w:tr w14:paraId="0566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1B52EB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03" w:type="dxa"/>
            <w:vMerge w:val="restart"/>
            <w:shd w:val="clear" w:color="auto" w:fill="auto"/>
            <w:vAlign w:val="center"/>
          </w:tcPr>
          <w:p w14:paraId="0F7AD9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床垫2</w:t>
            </w:r>
          </w:p>
        </w:tc>
        <w:tc>
          <w:tcPr>
            <w:tcW w:w="8030" w:type="dxa"/>
            <w:shd w:val="clear" w:color="auto" w:fill="auto"/>
            <w:vAlign w:val="center"/>
          </w:tcPr>
          <w:p w14:paraId="278889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w:t>
            </w:r>
            <w:r>
              <w:rPr>
                <w:rFonts w:hint="default" w:ascii="宋体" w:hAnsi="宋体" w:eastAsia="宋体" w:cs="宋体"/>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w:t>
            </w:r>
            <w:r>
              <w:rPr>
                <w:rFonts w:hint="eastAsia" w:ascii="宋体" w:hAnsi="宋体" w:cs="宋体"/>
                <w:i w:val="0"/>
                <w:iCs w:val="0"/>
                <w:color w:val="000000"/>
                <w:kern w:val="0"/>
                <w:sz w:val="21"/>
                <w:szCs w:val="21"/>
                <w:u w:val="none"/>
                <w:lang w:val="en-US" w:eastAsia="zh-CN" w:bidi="ar"/>
              </w:rPr>
              <w:t>120</w:t>
            </w: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mm（±5mm）</w:t>
            </w:r>
            <w:r>
              <w:rPr>
                <w:rFonts w:hint="eastAsia" w:ascii="宋体" w:hAnsi="宋体" w:eastAsia="宋体" w:cs="宋体"/>
                <w:color w:val="000000" w:themeColor="text1"/>
                <w:szCs w:val="21"/>
                <w:lang w:val="en-US" w:eastAsia="zh-CN"/>
                <w14:textFill>
                  <w14:solidFill>
                    <w14:schemeClr w14:val="tx1"/>
                  </w14:solidFill>
                </w14:textFill>
              </w:rPr>
              <w:t>，厚度≥20</w:t>
            </w:r>
            <w:r>
              <w:rPr>
                <w:rFonts w:hint="eastAsia" w:ascii="宋体" w:hAnsi="宋体" w:cs="宋体"/>
                <w:color w:val="000000" w:themeColor="text1"/>
                <w:szCs w:val="21"/>
                <w:lang w:val="en-US" w:eastAsia="zh-CN"/>
                <w14:textFill>
                  <w14:solidFill>
                    <w14:schemeClr w14:val="tx1"/>
                  </w14:solidFill>
                </w14:textFill>
              </w:rPr>
              <w:t>0mm。</w:t>
            </w:r>
          </w:p>
        </w:tc>
      </w:tr>
      <w:tr w14:paraId="3E93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5112543E">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D8D9670">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8400385">
            <w:pPr>
              <w:keepNext w:val="0"/>
              <w:keepLines w:val="0"/>
              <w:widowControl/>
              <w:suppressLineNumbers w:val="0"/>
              <w:jc w:val="left"/>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eastAsia="宋体" w:cs="宋体"/>
                <w:color w:val="000000" w:themeColor="text1"/>
                <w:szCs w:val="21"/>
                <w:lang w:val="en-US" w:eastAsia="zh-CN"/>
                <w14:textFill>
                  <w14:solidFill>
                    <w14:schemeClr w14:val="tx1"/>
                  </w14:solidFill>
                </w14:textFill>
              </w:rPr>
              <w:t>正面料采用3D针织亲肤</w:t>
            </w:r>
            <w:r>
              <w:rPr>
                <w:rFonts w:hint="eastAsia" w:ascii="宋体" w:hAnsi="宋体" w:cs="宋体"/>
                <w:color w:val="000000" w:themeColor="text1"/>
                <w:szCs w:val="21"/>
                <w:lang w:val="en-US" w:eastAsia="zh-CN"/>
                <w14:textFill>
                  <w14:solidFill>
                    <w14:schemeClr w14:val="tx1"/>
                  </w14:solidFill>
                </w14:textFill>
              </w:rPr>
              <w:t>防螨</w:t>
            </w:r>
            <w:r>
              <w:rPr>
                <w:rFonts w:hint="eastAsia" w:ascii="宋体" w:hAnsi="宋体" w:eastAsia="宋体" w:cs="宋体"/>
                <w:color w:val="000000" w:themeColor="text1"/>
                <w:szCs w:val="21"/>
                <w:lang w:val="en-US" w:eastAsia="zh-CN"/>
                <w14:textFill>
                  <w14:solidFill>
                    <w14:schemeClr w14:val="tx1"/>
                  </w14:solidFill>
                </w14:textFill>
              </w:rPr>
              <w:t>面料+无胶棉+高密度</w:t>
            </w:r>
            <w:r>
              <w:rPr>
                <w:rFonts w:hint="eastAsia" w:ascii="宋体" w:hAnsi="宋体" w:cs="宋体"/>
                <w:color w:val="000000" w:themeColor="text1"/>
                <w:szCs w:val="21"/>
                <w:lang w:val="en-US" w:eastAsia="zh-CN"/>
                <w14:textFill>
                  <w14:solidFill>
                    <w14:schemeClr w14:val="tx1"/>
                  </w14:solidFill>
                </w14:textFill>
              </w:rPr>
              <w:t>高弹</w:t>
            </w:r>
            <w:r>
              <w:rPr>
                <w:rFonts w:hint="eastAsia" w:ascii="宋体" w:hAnsi="宋体" w:eastAsia="宋体" w:cs="宋体"/>
                <w:color w:val="000000" w:themeColor="text1"/>
                <w:szCs w:val="21"/>
                <w:lang w:val="en-US" w:eastAsia="zh-CN"/>
                <w14:textFill>
                  <w14:solidFill>
                    <w14:schemeClr w14:val="tx1"/>
                  </w14:solidFill>
                </w14:textFill>
              </w:rPr>
              <w:t>海绵+环保硬质棉毡；</w:t>
            </w:r>
            <w:r>
              <w:rPr>
                <w:rFonts w:hint="eastAsia" w:ascii="宋体" w:hAnsi="宋体" w:cs="宋体"/>
                <w:color w:val="000000" w:themeColor="text1"/>
                <w:szCs w:val="21"/>
                <w:lang w:val="en-US" w:eastAsia="zh-CN"/>
                <w14:textFill>
                  <w14:solidFill>
                    <w14:schemeClr w14:val="tx1"/>
                  </w14:solidFill>
                </w14:textFill>
              </w:rPr>
              <w:t>内部</w:t>
            </w:r>
            <w:r>
              <w:rPr>
                <w:rFonts w:hint="eastAsia" w:ascii="宋体" w:hAnsi="宋体" w:eastAsia="宋体" w:cs="宋体"/>
                <w:color w:val="000000" w:themeColor="text1"/>
                <w:szCs w:val="21"/>
                <w:lang w:val="en-US" w:eastAsia="zh-CN"/>
                <w14:textFill>
                  <w14:solidFill>
                    <w14:schemeClr w14:val="tx1"/>
                  </w14:solidFill>
                </w14:textFill>
              </w:rPr>
              <w:t>垫层采用≥</w:t>
            </w:r>
            <w:r>
              <w:rPr>
                <w:rFonts w:hint="eastAsia" w:ascii="宋体" w:hAnsi="宋体" w:cs="宋体"/>
                <w:color w:val="000000" w:themeColor="text1"/>
                <w:szCs w:val="21"/>
                <w:lang w:val="en-US" w:eastAsia="zh-CN"/>
                <w14:textFill>
                  <w14:solidFill>
                    <w14:schemeClr w14:val="tx1"/>
                  </w14:solidFill>
                </w14:textFill>
              </w:rPr>
              <w:t>1</w:t>
            </w:r>
            <w:r>
              <w:rPr>
                <w:rFonts w:hint="eastAsia" w:ascii="宋体" w:hAnsi="宋体" w:eastAsia="宋体" w:cs="宋体"/>
                <w:color w:val="000000" w:themeColor="text1"/>
                <w:szCs w:val="21"/>
                <w:lang w:val="en-US" w:eastAsia="zh-CN"/>
                <w14:textFill>
                  <w14:solidFill>
                    <w14:schemeClr w14:val="tx1"/>
                  </w14:solidFill>
                </w14:textFill>
              </w:rPr>
              <w:t>0mm厚天然乳胶；内胆采用≥120mm高度</w:t>
            </w:r>
            <w:r>
              <w:rPr>
                <w:rFonts w:hint="eastAsia" w:ascii="宋体" w:hAnsi="宋体" w:cs="宋体"/>
                <w:color w:val="000000" w:themeColor="text1"/>
                <w:szCs w:val="21"/>
                <w:lang w:val="en-US"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≥2.</w:t>
            </w:r>
            <w:r>
              <w:rPr>
                <w:rFonts w:hint="eastAsia" w:ascii="宋体" w:hAnsi="宋体" w:cs="宋体"/>
                <w:color w:val="000000" w:themeColor="text1"/>
                <w:szCs w:val="21"/>
                <w:lang w:val="en-US" w:eastAsia="zh-CN"/>
                <w14:textFill>
                  <w14:solidFill>
                    <w14:schemeClr w14:val="tx1"/>
                  </w14:solidFill>
                </w14:textFill>
              </w:rPr>
              <w:t>1mm</w:t>
            </w:r>
            <w:r>
              <w:rPr>
                <w:rFonts w:hint="eastAsia" w:ascii="宋体" w:hAnsi="宋体" w:eastAsia="宋体" w:cs="宋体"/>
                <w:color w:val="000000" w:themeColor="text1"/>
                <w:szCs w:val="21"/>
                <w:lang w:val="en-US" w:eastAsia="zh-CN"/>
                <w14:textFill>
                  <w14:solidFill>
                    <w14:schemeClr w14:val="tx1"/>
                  </w14:solidFill>
                </w14:textFill>
              </w:rPr>
              <w:t>线径精钢弹簧；侧边采用针织面料+高密度海绵+无纺布；下部垫层采用≥20mm厚环保棕，环保硬质棉毡；反面面料层采用3D针织</w:t>
            </w:r>
            <w:r>
              <w:rPr>
                <w:rFonts w:hint="eastAsia" w:ascii="宋体" w:hAnsi="宋体" w:cs="宋体"/>
                <w:color w:val="000000" w:themeColor="text1"/>
                <w:szCs w:val="21"/>
                <w:lang w:val="en-US" w:eastAsia="zh-CN"/>
                <w14:textFill>
                  <w14:solidFill>
                    <w14:schemeClr w14:val="tx1"/>
                  </w14:solidFill>
                </w14:textFill>
              </w:rPr>
              <w:t>防螨</w:t>
            </w:r>
            <w:r>
              <w:rPr>
                <w:rFonts w:hint="eastAsia" w:ascii="宋体" w:hAnsi="宋体" w:eastAsia="宋体" w:cs="宋体"/>
                <w:color w:val="000000" w:themeColor="text1"/>
                <w:szCs w:val="21"/>
                <w:lang w:val="en-US" w:eastAsia="zh-CN"/>
                <w14:textFill>
                  <w14:solidFill>
                    <w14:schemeClr w14:val="tx1"/>
                  </w14:solidFill>
                </w14:textFill>
              </w:rPr>
              <w:t>面料+高密度海绵+无纺布。</w:t>
            </w:r>
            <w:r>
              <w:rPr>
                <w:rFonts w:hint="eastAsia" w:ascii="宋体" w:hAnsi="宋体" w:cs="宋体"/>
                <w:lang w:val="en-US" w:eastAsia="zh-CN"/>
              </w:rPr>
              <w:t>面料符合</w:t>
            </w:r>
            <w:r>
              <w:rPr>
                <w:rFonts w:hint="eastAsia" w:ascii="宋体" w:hAnsi="宋体" w:cs="宋体"/>
                <w:lang w:eastAsia="zh-CN"/>
              </w:rPr>
              <w:t>FZ/T 62011.3</w:t>
            </w:r>
            <w:r>
              <w:rPr>
                <w:rFonts w:hint="eastAsia" w:ascii="仿宋" w:hAnsi="仿宋" w:eastAsia="仿宋" w:cs="仿宋"/>
                <w:b w:val="0"/>
                <w:bCs w:val="0"/>
                <w:spacing w:val="6"/>
                <w:sz w:val="21"/>
                <w:szCs w:val="21"/>
                <w:lang w:val="en-US" w:eastAsia="zh-CN"/>
              </w:rPr>
              <w:t>-2016</w:t>
            </w:r>
            <w:r>
              <w:rPr>
                <w:rFonts w:hint="eastAsia" w:ascii="仿宋" w:hAnsi="仿宋" w:eastAsia="仿宋" w:cs="仿宋"/>
                <w:b w:val="0"/>
                <w:bCs w:val="0"/>
                <w:spacing w:val="6"/>
                <w:sz w:val="24"/>
                <w:szCs w:val="24"/>
                <w:lang w:eastAsia="zh-CN"/>
              </w:rPr>
              <w:t>《</w:t>
            </w:r>
            <w:r>
              <w:rPr>
                <w:rFonts w:hint="eastAsia" w:ascii="宋体" w:hAnsi="宋体" w:cs="宋体"/>
                <w:lang w:eastAsia="zh-CN"/>
              </w:rPr>
              <w:t>布艺类产品 第 3 部分：家具用纺织品</w:t>
            </w:r>
            <w:r>
              <w:rPr>
                <w:rFonts w:hint="eastAsia" w:ascii="仿宋" w:hAnsi="仿宋" w:eastAsia="仿宋" w:cs="仿宋"/>
                <w:b w:val="0"/>
                <w:bCs w:val="0"/>
                <w:spacing w:val="6"/>
                <w:sz w:val="24"/>
                <w:szCs w:val="24"/>
                <w:lang w:eastAsia="zh-CN"/>
              </w:rPr>
              <w:t>》</w:t>
            </w:r>
            <w:r>
              <w:rPr>
                <w:rFonts w:hint="eastAsia" w:ascii="宋体" w:hAnsi="宋体" w:eastAsia="宋体" w:cs="宋体"/>
              </w:rPr>
              <w:t>要求</w:t>
            </w:r>
            <w:r>
              <w:rPr>
                <w:rFonts w:hint="eastAsia" w:ascii="宋体" w:hAnsi="宋体" w:eastAsia="宋体" w:cs="宋体"/>
                <w:lang w:eastAsia="zh-CN"/>
              </w:rPr>
              <w:t>；</w:t>
            </w:r>
            <w:r>
              <w:rPr>
                <w:rFonts w:hint="eastAsia" w:ascii="宋体" w:hAnsi="宋体" w:cs="宋体"/>
                <w:color w:val="000000" w:themeColor="text1"/>
                <w:szCs w:val="21"/>
                <w:lang w:val="en-US" w:eastAsia="zh-CN"/>
                <w14:textFill>
                  <w14:solidFill>
                    <w14:schemeClr w14:val="tx1"/>
                  </w14:solidFill>
                </w14:textFill>
              </w:rPr>
              <w:t>海绵</w:t>
            </w:r>
            <w:r>
              <w:rPr>
                <w:rFonts w:hint="eastAsia" w:ascii="宋体" w:hAnsi="宋体" w:eastAsia="宋体" w:cs="宋体"/>
              </w:rPr>
              <w:t>符合GB/T 10802-2023《通用软质聚氨酯泡沫塑料》要求</w:t>
            </w:r>
            <w:r>
              <w:rPr>
                <w:rFonts w:hint="eastAsia" w:ascii="宋体" w:hAnsi="宋体" w:eastAsia="宋体" w:cs="宋体"/>
                <w:lang w:eastAsia="zh-CN"/>
              </w:rPr>
              <w:t>。</w:t>
            </w:r>
            <w:r>
              <w:rPr>
                <w:rFonts w:hint="eastAsia" w:ascii="宋体" w:hAnsi="宋体" w:eastAsia="宋体" w:cs="宋体"/>
                <w:lang w:val="en-US" w:eastAsia="zh-CN"/>
              </w:rPr>
              <w:t>床垫整体符合QB/T 1952.2-2023</w:t>
            </w:r>
            <w:r>
              <w:rPr>
                <w:rFonts w:hint="eastAsia" w:ascii="宋体" w:hAnsi="宋体" w:eastAsia="宋体" w:cs="宋体"/>
              </w:rPr>
              <w:t>《</w:t>
            </w:r>
            <w:r>
              <w:rPr>
                <w:rFonts w:hint="eastAsia" w:ascii="宋体" w:hAnsi="宋体" w:eastAsia="宋体" w:cs="宋体"/>
                <w:lang w:val="en-US" w:eastAsia="zh-CN"/>
              </w:rPr>
              <w:t>软体家具 弹簧软床垫</w:t>
            </w:r>
            <w:r>
              <w:rPr>
                <w:rFonts w:hint="eastAsia" w:ascii="宋体" w:hAnsi="宋体" w:eastAsia="宋体" w:cs="宋体"/>
              </w:rPr>
              <w:t>》</w:t>
            </w:r>
            <w:r>
              <w:rPr>
                <w:rFonts w:hint="eastAsia" w:ascii="宋体" w:hAnsi="宋体" w:eastAsia="宋体" w:cs="宋体"/>
                <w:lang w:val="en-US" w:eastAsia="zh-CN"/>
              </w:rPr>
              <w:t>,符合耐久性3万次测试无损坏。</w:t>
            </w:r>
          </w:p>
        </w:tc>
      </w:tr>
      <w:tr w14:paraId="43C6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054AFF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03" w:type="dxa"/>
            <w:vMerge w:val="restart"/>
            <w:shd w:val="clear" w:color="auto" w:fill="auto"/>
            <w:vAlign w:val="center"/>
          </w:tcPr>
          <w:p w14:paraId="0DA365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床垫3</w:t>
            </w:r>
          </w:p>
        </w:tc>
        <w:tc>
          <w:tcPr>
            <w:tcW w:w="8030" w:type="dxa"/>
            <w:shd w:val="clear" w:color="auto" w:fill="auto"/>
            <w:vAlign w:val="center"/>
          </w:tcPr>
          <w:p w14:paraId="18B9B5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1.规格：长2000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宽1500</w:t>
            </w:r>
            <w:r>
              <w:rPr>
                <w:rFonts w:hint="eastAsia" w:ascii="宋体" w:hAnsi="宋体" w:cs="宋体"/>
                <w:i w:val="0"/>
                <w:iCs w:val="0"/>
                <w:color w:val="000000"/>
                <w:kern w:val="0"/>
                <w:sz w:val="21"/>
                <w:szCs w:val="21"/>
                <w:u w:val="none"/>
                <w:lang w:val="en-US" w:eastAsia="zh-CN" w:bidi="ar"/>
              </w:rPr>
              <w:t>mm（±5mm）</w:t>
            </w:r>
            <w:r>
              <w:rPr>
                <w:rFonts w:hint="eastAsia" w:ascii="宋体" w:hAnsi="宋体" w:eastAsia="宋体" w:cs="宋体"/>
                <w:color w:val="000000" w:themeColor="text1"/>
                <w:szCs w:val="21"/>
                <w:lang w:val="en-US" w:eastAsia="zh-CN"/>
                <w14:textFill>
                  <w14:solidFill>
                    <w14:schemeClr w14:val="tx1"/>
                  </w14:solidFill>
                </w14:textFill>
              </w:rPr>
              <w:t>，厚度≥20</w:t>
            </w:r>
            <w:r>
              <w:rPr>
                <w:rFonts w:hint="eastAsia" w:ascii="宋体" w:hAnsi="宋体" w:cs="宋体"/>
                <w:color w:val="000000" w:themeColor="text1"/>
                <w:szCs w:val="21"/>
                <w:lang w:val="en-US" w:eastAsia="zh-CN"/>
                <w14:textFill>
                  <w14:solidFill>
                    <w14:schemeClr w14:val="tx1"/>
                  </w14:solidFill>
                </w14:textFill>
              </w:rPr>
              <w:t>0mm。</w:t>
            </w:r>
          </w:p>
        </w:tc>
      </w:tr>
      <w:tr w14:paraId="4B02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4ADC8F58">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3F736A9">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6C681EA">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eastAsia="宋体" w:cs="宋体"/>
                <w:color w:val="000000" w:themeColor="text1"/>
                <w:szCs w:val="21"/>
                <w:lang w:val="en-US" w:eastAsia="zh-CN"/>
                <w14:textFill>
                  <w14:solidFill>
                    <w14:schemeClr w14:val="tx1"/>
                  </w14:solidFill>
                </w14:textFill>
              </w:rPr>
              <w:t>正面料采用3D针织亲肤</w:t>
            </w:r>
            <w:r>
              <w:rPr>
                <w:rFonts w:hint="eastAsia" w:ascii="宋体" w:hAnsi="宋体" w:cs="宋体"/>
                <w:color w:val="000000" w:themeColor="text1"/>
                <w:szCs w:val="21"/>
                <w:lang w:val="en-US" w:eastAsia="zh-CN"/>
                <w14:textFill>
                  <w14:solidFill>
                    <w14:schemeClr w14:val="tx1"/>
                  </w14:solidFill>
                </w14:textFill>
              </w:rPr>
              <w:t>防螨</w:t>
            </w:r>
            <w:r>
              <w:rPr>
                <w:rFonts w:hint="eastAsia" w:ascii="宋体" w:hAnsi="宋体" w:eastAsia="宋体" w:cs="宋体"/>
                <w:color w:val="000000" w:themeColor="text1"/>
                <w:szCs w:val="21"/>
                <w:lang w:val="en-US" w:eastAsia="zh-CN"/>
                <w14:textFill>
                  <w14:solidFill>
                    <w14:schemeClr w14:val="tx1"/>
                  </w14:solidFill>
                </w14:textFill>
              </w:rPr>
              <w:t>面料+无胶棉+高密度</w:t>
            </w:r>
            <w:r>
              <w:rPr>
                <w:rFonts w:hint="eastAsia" w:ascii="宋体" w:hAnsi="宋体" w:cs="宋体"/>
                <w:color w:val="000000" w:themeColor="text1"/>
                <w:szCs w:val="21"/>
                <w:lang w:val="en-US" w:eastAsia="zh-CN"/>
                <w14:textFill>
                  <w14:solidFill>
                    <w14:schemeClr w14:val="tx1"/>
                  </w14:solidFill>
                </w14:textFill>
              </w:rPr>
              <w:t>高弹</w:t>
            </w:r>
            <w:r>
              <w:rPr>
                <w:rFonts w:hint="eastAsia" w:ascii="宋体" w:hAnsi="宋体" w:eastAsia="宋体" w:cs="宋体"/>
                <w:color w:val="000000" w:themeColor="text1"/>
                <w:szCs w:val="21"/>
                <w:lang w:val="en-US" w:eastAsia="zh-CN"/>
                <w14:textFill>
                  <w14:solidFill>
                    <w14:schemeClr w14:val="tx1"/>
                  </w14:solidFill>
                </w14:textFill>
              </w:rPr>
              <w:t>海绵+环保硬质棉毡；</w:t>
            </w:r>
            <w:r>
              <w:rPr>
                <w:rFonts w:hint="eastAsia" w:ascii="宋体" w:hAnsi="宋体" w:cs="宋体"/>
                <w:color w:val="000000" w:themeColor="text1"/>
                <w:szCs w:val="21"/>
                <w:lang w:val="en-US" w:eastAsia="zh-CN"/>
                <w14:textFill>
                  <w14:solidFill>
                    <w14:schemeClr w14:val="tx1"/>
                  </w14:solidFill>
                </w14:textFill>
              </w:rPr>
              <w:t>内部</w:t>
            </w:r>
            <w:r>
              <w:rPr>
                <w:rFonts w:hint="eastAsia" w:ascii="宋体" w:hAnsi="宋体" w:eastAsia="宋体" w:cs="宋体"/>
                <w:color w:val="000000" w:themeColor="text1"/>
                <w:szCs w:val="21"/>
                <w:lang w:val="en-US" w:eastAsia="zh-CN"/>
                <w14:textFill>
                  <w14:solidFill>
                    <w14:schemeClr w14:val="tx1"/>
                  </w14:solidFill>
                </w14:textFill>
              </w:rPr>
              <w:t>垫层采用≥</w:t>
            </w:r>
            <w:r>
              <w:rPr>
                <w:rFonts w:hint="eastAsia" w:ascii="宋体" w:hAnsi="宋体" w:cs="宋体"/>
                <w:color w:val="000000" w:themeColor="text1"/>
                <w:szCs w:val="21"/>
                <w:lang w:val="en-US" w:eastAsia="zh-CN"/>
                <w14:textFill>
                  <w14:solidFill>
                    <w14:schemeClr w14:val="tx1"/>
                  </w14:solidFill>
                </w14:textFill>
              </w:rPr>
              <w:t>1</w:t>
            </w:r>
            <w:r>
              <w:rPr>
                <w:rFonts w:hint="eastAsia" w:ascii="宋体" w:hAnsi="宋体" w:eastAsia="宋体" w:cs="宋体"/>
                <w:color w:val="000000" w:themeColor="text1"/>
                <w:szCs w:val="21"/>
                <w:lang w:val="en-US" w:eastAsia="zh-CN"/>
                <w14:textFill>
                  <w14:solidFill>
                    <w14:schemeClr w14:val="tx1"/>
                  </w14:solidFill>
                </w14:textFill>
              </w:rPr>
              <w:t>0mm厚天然乳胶；内胆采用≥120mm高度</w:t>
            </w:r>
            <w:r>
              <w:rPr>
                <w:rFonts w:hint="eastAsia" w:ascii="宋体" w:hAnsi="宋体" w:cs="宋体"/>
                <w:color w:val="000000" w:themeColor="text1"/>
                <w:szCs w:val="21"/>
                <w:lang w:val="en-US"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≥2.</w:t>
            </w:r>
            <w:r>
              <w:rPr>
                <w:rFonts w:hint="eastAsia" w:ascii="宋体" w:hAnsi="宋体" w:cs="宋体"/>
                <w:color w:val="000000" w:themeColor="text1"/>
                <w:szCs w:val="21"/>
                <w:lang w:val="en-US" w:eastAsia="zh-CN"/>
                <w14:textFill>
                  <w14:solidFill>
                    <w14:schemeClr w14:val="tx1"/>
                  </w14:solidFill>
                </w14:textFill>
              </w:rPr>
              <w:t>1mm</w:t>
            </w:r>
            <w:r>
              <w:rPr>
                <w:rFonts w:hint="eastAsia" w:ascii="宋体" w:hAnsi="宋体" w:eastAsia="宋体" w:cs="宋体"/>
                <w:color w:val="000000" w:themeColor="text1"/>
                <w:szCs w:val="21"/>
                <w:lang w:val="en-US" w:eastAsia="zh-CN"/>
                <w14:textFill>
                  <w14:solidFill>
                    <w14:schemeClr w14:val="tx1"/>
                  </w14:solidFill>
                </w14:textFill>
              </w:rPr>
              <w:t>线径精钢弹簧；侧边采用针织面料+高密度海绵+无纺布；下部垫层采用≥20mm厚环保棕，环保硬质棉毡；反面面料层采用3D针织</w:t>
            </w:r>
            <w:r>
              <w:rPr>
                <w:rFonts w:hint="eastAsia" w:ascii="宋体" w:hAnsi="宋体" w:cs="宋体"/>
                <w:color w:val="000000" w:themeColor="text1"/>
                <w:szCs w:val="21"/>
                <w:lang w:val="en-US" w:eastAsia="zh-CN"/>
                <w14:textFill>
                  <w14:solidFill>
                    <w14:schemeClr w14:val="tx1"/>
                  </w14:solidFill>
                </w14:textFill>
              </w:rPr>
              <w:t>防螨</w:t>
            </w:r>
            <w:r>
              <w:rPr>
                <w:rFonts w:hint="eastAsia" w:ascii="宋体" w:hAnsi="宋体" w:eastAsia="宋体" w:cs="宋体"/>
                <w:color w:val="000000" w:themeColor="text1"/>
                <w:szCs w:val="21"/>
                <w:lang w:val="en-US" w:eastAsia="zh-CN"/>
                <w14:textFill>
                  <w14:solidFill>
                    <w14:schemeClr w14:val="tx1"/>
                  </w14:solidFill>
                </w14:textFill>
              </w:rPr>
              <w:t>面料+高密度海绵+无纺布。</w:t>
            </w:r>
            <w:r>
              <w:rPr>
                <w:rFonts w:hint="eastAsia" w:ascii="宋体" w:hAnsi="宋体" w:cs="宋体"/>
                <w:lang w:val="en-US" w:eastAsia="zh-CN"/>
              </w:rPr>
              <w:t>面料符合</w:t>
            </w:r>
            <w:r>
              <w:rPr>
                <w:rFonts w:hint="eastAsia" w:ascii="宋体" w:hAnsi="宋体" w:cs="宋体"/>
                <w:lang w:eastAsia="zh-CN"/>
              </w:rPr>
              <w:t>FZ/T 62011.3</w:t>
            </w:r>
            <w:r>
              <w:rPr>
                <w:rFonts w:hint="eastAsia" w:ascii="仿宋" w:hAnsi="仿宋" w:eastAsia="仿宋" w:cs="仿宋"/>
                <w:b w:val="0"/>
                <w:bCs w:val="0"/>
                <w:spacing w:val="6"/>
                <w:sz w:val="21"/>
                <w:szCs w:val="21"/>
                <w:lang w:val="en-US" w:eastAsia="zh-CN"/>
              </w:rPr>
              <w:t>-2016</w:t>
            </w:r>
            <w:r>
              <w:rPr>
                <w:rFonts w:hint="eastAsia" w:ascii="仿宋" w:hAnsi="仿宋" w:eastAsia="仿宋" w:cs="仿宋"/>
                <w:b w:val="0"/>
                <w:bCs w:val="0"/>
                <w:spacing w:val="6"/>
                <w:sz w:val="24"/>
                <w:szCs w:val="24"/>
                <w:lang w:eastAsia="zh-CN"/>
              </w:rPr>
              <w:t>《</w:t>
            </w:r>
            <w:r>
              <w:rPr>
                <w:rFonts w:hint="eastAsia" w:ascii="宋体" w:hAnsi="宋体" w:cs="宋体"/>
                <w:lang w:eastAsia="zh-CN"/>
              </w:rPr>
              <w:t>布艺类产品 第 3 部分：家具用纺织品</w:t>
            </w:r>
            <w:r>
              <w:rPr>
                <w:rFonts w:hint="eastAsia" w:ascii="仿宋" w:hAnsi="仿宋" w:eastAsia="仿宋" w:cs="仿宋"/>
                <w:b w:val="0"/>
                <w:bCs w:val="0"/>
                <w:spacing w:val="6"/>
                <w:sz w:val="24"/>
                <w:szCs w:val="24"/>
                <w:lang w:eastAsia="zh-CN"/>
              </w:rPr>
              <w:t>》</w:t>
            </w:r>
            <w:r>
              <w:rPr>
                <w:rFonts w:hint="eastAsia" w:ascii="宋体" w:hAnsi="宋体" w:eastAsia="宋体" w:cs="宋体"/>
              </w:rPr>
              <w:t>要求</w:t>
            </w:r>
            <w:r>
              <w:rPr>
                <w:rFonts w:hint="eastAsia" w:ascii="宋体" w:hAnsi="宋体" w:eastAsia="宋体" w:cs="宋体"/>
                <w:lang w:eastAsia="zh-CN"/>
              </w:rPr>
              <w:t>；</w:t>
            </w:r>
            <w:r>
              <w:rPr>
                <w:rFonts w:hint="eastAsia" w:ascii="宋体" w:hAnsi="宋体" w:cs="宋体"/>
                <w:color w:val="000000" w:themeColor="text1"/>
                <w:szCs w:val="21"/>
                <w:lang w:val="en-US" w:eastAsia="zh-CN"/>
                <w14:textFill>
                  <w14:solidFill>
                    <w14:schemeClr w14:val="tx1"/>
                  </w14:solidFill>
                </w14:textFill>
              </w:rPr>
              <w:t>海绵</w:t>
            </w:r>
            <w:r>
              <w:rPr>
                <w:rFonts w:hint="eastAsia" w:ascii="宋体" w:hAnsi="宋体" w:eastAsia="宋体" w:cs="宋体"/>
              </w:rPr>
              <w:t>符合GB/T 10802-2023《通用软质聚氨酯泡沫塑料》要求</w:t>
            </w:r>
            <w:r>
              <w:rPr>
                <w:rFonts w:hint="eastAsia" w:ascii="宋体" w:hAnsi="宋体" w:eastAsia="宋体" w:cs="宋体"/>
                <w:lang w:eastAsia="zh-CN"/>
              </w:rPr>
              <w:t>。</w:t>
            </w:r>
            <w:r>
              <w:rPr>
                <w:rFonts w:hint="eastAsia" w:ascii="宋体" w:hAnsi="宋体" w:eastAsia="宋体" w:cs="宋体"/>
                <w:lang w:val="en-US" w:eastAsia="zh-CN"/>
              </w:rPr>
              <w:t>床垫整体符合QB/T 1952.2-2023</w:t>
            </w:r>
            <w:r>
              <w:rPr>
                <w:rFonts w:hint="eastAsia" w:ascii="宋体" w:hAnsi="宋体" w:eastAsia="宋体" w:cs="宋体"/>
              </w:rPr>
              <w:t>《</w:t>
            </w:r>
            <w:r>
              <w:rPr>
                <w:rFonts w:hint="eastAsia" w:ascii="宋体" w:hAnsi="宋体" w:eastAsia="宋体" w:cs="宋体"/>
                <w:lang w:val="en-US" w:eastAsia="zh-CN"/>
              </w:rPr>
              <w:t>软体家具 弹簧软床垫</w:t>
            </w:r>
            <w:r>
              <w:rPr>
                <w:rFonts w:hint="eastAsia" w:ascii="宋体" w:hAnsi="宋体" w:eastAsia="宋体" w:cs="宋体"/>
              </w:rPr>
              <w:t>》</w:t>
            </w:r>
            <w:r>
              <w:rPr>
                <w:rFonts w:hint="eastAsia" w:ascii="宋体" w:hAnsi="宋体" w:eastAsia="宋体" w:cs="宋体"/>
                <w:lang w:val="en-US" w:eastAsia="zh-CN"/>
              </w:rPr>
              <w:t>,符合耐久性3万次测试无损坏。</w:t>
            </w:r>
          </w:p>
        </w:tc>
      </w:tr>
      <w:tr w14:paraId="749F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4E28C4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03" w:type="dxa"/>
            <w:vMerge w:val="restart"/>
            <w:shd w:val="clear" w:color="auto" w:fill="auto"/>
            <w:vAlign w:val="center"/>
          </w:tcPr>
          <w:p w14:paraId="3C428D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床垫(加长)</w:t>
            </w:r>
          </w:p>
        </w:tc>
        <w:tc>
          <w:tcPr>
            <w:tcW w:w="8030" w:type="dxa"/>
            <w:shd w:val="clear" w:color="auto" w:fill="auto"/>
            <w:vAlign w:val="center"/>
          </w:tcPr>
          <w:p w14:paraId="3EA6FD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1.规格：长2100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宽950</w:t>
            </w:r>
            <w:r>
              <w:rPr>
                <w:rFonts w:hint="eastAsia" w:ascii="宋体" w:hAnsi="宋体" w:cs="宋体"/>
                <w:i w:val="0"/>
                <w:iCs w:val="0"/>
                <w:color w:val="000000"/>
                <w:kern w:val="0"/>
                <w:sz w:val="21"/>
                <w:szCs w:val="21"/>
                <w:u w:val="none"/>
                <w:lang w:val="en-US" w:eastAsia="zh-CN" w:bidi="ar"/>
              </w:rPr>
              <w:t>mm（±5mm），厚度≥50mm。</w:t>
            </w:r>
          </w:p>
        </w:tc>
      </w:tr>
      <w:tr w14:paraId="2FCC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65" w:hRule="atLeast"/>
        </w:trPr>
        <w:tc>
          <w:tcPr>
            <w:tcW w:w="654" w:type="dxa"/>
            <w:vMerge w:val="continue"/>
            <w:shd w:val="clear" w:color="auto" w:fill="auto"/>
            <w:vAlign w:val="center"/>
          </w:tcPr>
          <w:p w14:paraId="6E91137C">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7625322">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1B3B62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w:t>
            </w:r>
            <w:r>
              <w:rPr>
                <w:rFonts w:hint="eastAsia" w:ascii="宋体" w:hAnsi="宋体" w:eastAsia="宋体" w:cs="宋体"/>
              </w:rPr>
              <w:t>内胆采用</w:t>
            </w:r>
            <w:r>
              <w:rPr>
                <w:rFonts w:hint="eastAsia" w:ascii="宋体" w:hAnsi="宋体" w:eastAsia="宋体" w:cs="宋体"/>
                <w:lang w:val="en-US" w:eastAsia="zh-CN"/>
              </w:rPr>
              <w:t>天然</w:t>
            </w:r>
            <w:r>
              <w:rPr>
                <w:rFonts w:hint="eastAsia" w:ascii="宋体" w:hAnsi="宋体" w:eastAsia="宋体" w:cs="宋体"/>
              </w:rPr>
              <w:t>椰棕芯，</w:t>
            </w:r>
            <w:r>
              <w:rPr>
                <w:rFonts w:hint="eastAsia" w:ascii="宋体" w:hAnsi="宋体" w:eastAsia="宋体" w:cs="宋体"/>
                <w:lang w:val="en-US" w:eastAsia="zh-CN"/>
              </w:rPr>
              <w:t>采用</w:t>
            </w:r>
            <w:r>
              <w:rPr>
                <w:rFonts w:hint="eastAsia" w:ascii="宋体" w:hAnsi="宋体" w:eastAsia="宋体" w:cs="宋体"/>
              </w:rPr>
              <w:t>天然椰壳丝高温热压脱糖无胶水压制而成。里料高密度高回弹海绵</w:t>
            </w:r>
            <w:r>
              <w:rPr>
                <w:rFonts w:hint="eastAsia" w:ascii="宋体" w:hAnsi="宋体" w:cs="宋体"/>
                <w:lang w:eastAsia="zh-CN"/>
              </w:rPr>
              <w:t>，</w:t>
            </w:r>
            <w:r>
              <w:rPr>
                <w:rFonts w:hint="eastAsia" w:ascii="宋体" w:hAnsi="宋体" w:cs="宋体"/>
                <w:color w:val="000000" w:themeColor="text1"/>
                <w:szCs w:val="21"/>
                <w:lang w:val="en-US" w:eastAsia="zh-CN"/>
                <w14:textFill>
                  <w14:solidFill>
                    <w14:schemeClr w14:val="tx1"/>
                  </w14:solidFill>
                </w14:textFill>
              </w:rPr>
              <w:t>海绵</w:t>
            </w:r>
            <w:r>
              <w:rPr>
                <w:rFonts w:hint="eastAsia" w:ascii="宋体" w:hAnsi="宋体" w:eastAsia="宋体" w:cs="宋体"/>
              </w:rPr>
              <w:t>符合GB/T 10802-2023《通用软质聚氨酯泡沫塑料》要求</w:t>
            </w:r>
            <w:r>
              <w:rPr>
                <w:rFonts w:hint="eastAsia" w:ascii="宋体" w:hAnsi="宋体" w:eastAsia="宋体" w:cs="宋体"/>
                <w:lang w:eastAsia="zh-CN"/>
              </w:rPr>
              <w:t>。</w:t>
            </w:r>
            <w:r>
              <w:rPr>
                <w:rFonts w:hint="eastAsia" w:ascii="宋体" w:hAnsi="宋体" w:eastAsia="宋体" w:cs="宋体"/>
              </w:rPr>
              <w:t>。外包立体三维针织棉绒亲肤透气</w:t>
            </w:r>
            <w:r>
              <w:rPr>
                <w:rFonts w:hint="eastAsia" w:ascii="宋体" w:hAnsi="宋体" w:eastAsia="宋体" w:cs="宋体"/>
                <w:lang w:val="en-US" w:eastAsia="zh-CN"/>
              </w:rPr>
              <w:t>布</w:t>
            </w:r>
            <w:r>
              <w:rPr>
                <w:rFonts w:hint="eastAsia" w:ascii="宋体" w:hAnsi="宋体" w:eastAsia="宋体" w:cs="宋体"/>
              </w:rPr>
              <w:t>料。布艺无异味，可分解芳香胺染料含量未检出；上下两条防撞围边工艺，清洁无污染，耐磨抗菌处理。床垫四角圆弧转角床垫整体符合卫生安全标准，无异味、无夹杂塑料、植物秸秆或叶、壳、竹、丝、刨花、泥沙、石粉等杂物。</w:t>
            </w:r>
            <w:r>
              <w:rPr>
                <w:rFonts w:hint="eastAsia" w:ascii="宋体" w:hAnsi="宋体" w:cs="宋体"/>
                <w:lang w:val="en-US" w:eastAsia="zh-CN"/>
              </w:rPr>
              <w:t>面料符合</w:t>
            </w:r>
            <w:r>
              <w:rPr>
                <w:rFonts w:hint="eastAsia" w:ascii="宋体" w:hAnsi="宋体" w:cs="宋体"/>
                <w:lang w:eastAsia="zh-CN"/>
              </w:rPr>
              <w:t>FZ/T 62011.3</w:t>
            </w:r>
            <w:r>
              <w:rPr>
                <w:rFonts w:hint="eastAsia" w:ascii="仿宋" w:hAnsi="仿宋" w:eastAsia="仿宋" w:cs="仿宋"/>
                <w:b w:val="0"/>
                <w:bCs w:val="0"/>
                <w:spacing w:val="6"/>
                <w:sz w:val="21"/>
                <w:szCs w:val="21"/>
                <w:lang w:val="en-US" w:eastAsia="zh-CN"/>
              </w:rPr>
              <w:t>-2016</w:t>
            </w:r>
            <w:r>
              <w:rPr>
                <w:rFonts w:hint="eastAsia" w:ascii="仿宋" w:hAnsi="仿宋" w:eastAsia="仿宋" w:cs="仿宋"/>
                <w:b w:val="0"/>
                <w:bCs w:val="0"/>
                <w:spacing w:val="6"/>
                <w:sz w:val="24"/>
                <w:szCs w:val="24"/>
                <w:lang w:eastAsia="zh-CN"/>
              </w:rPr>
              <w:t>《</w:t>
            </w:r>
            <w:r>
              <w:rPr>
                <w:rFonts w:hint="eastAsia" w:ascii="宋体" w:hAnsi="宋体" w:cs="宋体"/>
                <w:lang w:eastAsia="zh-CN"/>
              </w:rPr>
              <w:t>布艺类产品 第 3 部分：家具用纺织品</w:t>
            </w:r>
            <w:r>
              <w:rPr>
                <w:rFonts w:hint="eastAsia" w:ascii="仿宋" w:hAnsi="仿宋" w:eastAsia="仿宋" w:cs="仿宋"/>
                <w:b w:val="0"/>
                <w:bCs w:val="0"/>
                <w:spacing w:val="6"/>
                <w:sz w:val="24"/>
                <w:szCs w:val="24"/>
                <w:lang w:eastAsia="zh-CN"/>
              </w:rPr>
              <w:t>》</w:t>
            </w:r>
            <w:r>
              <w:rPr>
                <w:rFonts w:hint="eastAsia" w:ascii="宋体" w:hAnsi="宋体" w:eastAsia="宋体" w:cs="宋体"/>
              </w:rPr>
              <w:t>要求</w:t>
            </w:r>
            <w:r>
              <w:rPr>
                <w:rFonts w:hint="eastAsia" w:ascii="宋体" w:hAnsi="宋体" w:eastAsia="宋体" w:cs="宋体"/>
                <w:lang w:eastAsia="zh-CN"/>
              </w:rPr>
              <w:t>；</w:t>
            </w:r>
            <w:r>
              <w:rPr>
                <w:rFonts w:hint="eastAsia" w:ascii="宋体" w:hAnsi="宋体" w:eastAsia="宋体" w:cs="宋体"/>
                <w:lang w:val="en-US" w:eastAsia="zh-CN"/>
              </w:rPr>
              <w:t>床垫外观、理化、力学、环保性能符合</w:t>
            </w:r>
            <w:r>
              <w:rPr>
                <w:rFonts w:hint="eastAsia" w:ascii="仿宋" w:hAnsi="仿宋" w:eastAsia="仿宋" w:cs="仿宋"/>
                <w:b w:val="0"/>
                <w:bCs w:val="0"/>
                <w:spacing w:val="6"/>
                <w:sz w:val="24"/>
                <w:szCs w:val="24"/>
                <w:lang w:eastAsia="zh-CN"/>
              </w:rPr>
              <w:t>GB/T 26706-20</w:t>
            </w:r>
            <w:r>
              <w:rPr>
                <w:rFonts w:hint="eastAsia" w:ascii="仿宋" w:hAnsi="仿宋" w:eastAsia="仿宋" w:cs="仿宋"/>
                <w:b w:val="0"/>
                <w:bCs w:val="0"/>
                <w:spacing w:val="6"/>
                <w:sz w:val="24"/>
                <w:szCs w:val="24"/>
                <w:lang w:val="en-US" w:eastAsia="zh-CN"/>
              </w:rPr>
              <w:t>25</w:t>
            </w:r>
            <w:r>
              <w:rPr>
                <w:rFonts w:hint="eastAsia" w:ascii="仿宋" w:hAnsi="仿宋" w:eastAsia="仿宋" w:cs="仿宋"/>
                <w:b w:val="0"/>
                <w:bCs w:val="0"/>
                <w:spacing w:val="6"/>
                <w:sz w:val="24"/>
                <w:szCs w:val="24"/>
                <w:lang w:eastAsia="zh-CN"/>
              </w:rPr>
              <w:t>《软体家具 棕纤维弹性床垫》。</w:t>
            </w:r>
          </w:p>
        </w:tc>
      </w:tr>
      <w:tr w14:paraId="5711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618BD2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03" w:type="dxa"/>
            <w:vMerge w:val="restart"/>
            <w:shd w:val="clear" w:color="auto" w:fill="auto"/>
            <w:vAlign w:val="center"/>
          </w:tcPr>
          <w:p w14:paraId="3BF092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书桌+书架1</w:t>
            </w:r>
          </w:p>
        </w:tc>
        <w:tc>
          <w:tcPr>
            <w:tcW w:w="8030" w:type="dxa"/>
            <w:shd w:val="clear" w:color="auto" w:fill="auto"/>
            <w:vAlign w:val="center"/>
          </w:tcPr>
          <w:p w14:paraId="12258C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1.规格：长1200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宽600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高1800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12E4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4DC25E9C">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F9B12FE">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5CE0637">
            <w:pPr>
              <w:keepNext w:val="0"/>
              <w:keepLines w:val="0"/>
              <w:widowControl/>
              <w:suppressLineNumbers w:val="0"/>
              <w:jc w:val="left"/>
              <w:textAlignment w:val="auto"/>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2.桌面：采用不小于25mm厚</w:t>
            </w:r>
            <w:r>
              <w:rPr>
                <w:rFonts w:hint="eastAsia" w:ascii="宋体" w:hAnsi="宋体" w:cs="宋体"/>
                <w:i w:val="0"/>
                <w:iCs w:val="0"/>
                <w:color w:val="000000"/>
                <w:kern w:val="0"/>
                <w:sz w:val="21"/>
                <w:szCs w:val="21"/>
                <w:u w:val="none"/>
                <w:lang w:val="en-US" w:eastAsia="zh-CN" w:bidi="ar"/>
              </w:rPr>
              <w:t>白蜡木实木制作</w:t>
            </w:r>
            <w:r>
              <w:rPr>
                <w:rFonts w:hint="eastAsia" w:ascii="宋体" w:hAnsi="宋体" w:cs="宋体"/>
                <w:color w:val="000000"/>
                <w:kern w:val="0"/>
                <w:szCs w:val="21"/>
              </w:rPr>
              <w:t>（非贴皮），采用白蜡木直拼木板工艺（不</w:t>
            </w:r>
            <w:r>
              <w:rPr>
                <w:rFonts w:hint="eastAsia" w:ascii="宋体" w:hAnsi="宋体" w:cs="宋体"/>
                <w:color w:val="000000"/>
                <w:kern w:val="0"/>
                <w:szCs w:val="21"/>
                <w:lang w:val="en-US" w:eastAsia="zh-CN"/>
              </w:rPr>
              <w:t>允许</w:t>
            </w:r>
            <w:r>
              <w:rPr>
                <w:rFonts w:hint="eastAsia" w:ascii="宋体" w:hAnsi="宋体" w:cs="宋体"/>
                <w:color w:val="000000"/>
                <w:kern w:val="0"/>
                <w:szCs w:val="21"/>
              </w:rPr>
              <w:t>采用指接工艺），直拼板宽度≥</w:t>
            </w:r>
            <w:r>
              <w:rPr>
                <w:rFonts w:hint="eastAsia" w:ascii="宋体" w:hAnsi="宋体" w:cs="宋体"/>
                <w:color w:val="000000"/>
                <w:kern w:val="0"/>
                <w:szCs w:val="21"/>
                <w:lang w:val="en-US" w:eastAsia="zh-CN"/>
              </w:rPr>
              <w:t>6</w:t>
            </w:r>
            <w:r>
              <w:rPr>
                <w:rFonts w:hint="eastAsia" w:ascii="宋体" w:hAnsi="宋体" w:cs="宋体"/>
                <w:color w:val="000000"/>
                <w:kern w:val="0"/>
                <w:szCs w:val="21"/>
              </w:rPr>
              <w:t>0mm，长度不</w:t>
            </w:r>
            <w:r>
              <w:rPr>
                <w:rFonts w:hint="eastAsia" w:ascii="宋体" w:hAnsi="宋体" w:cs="宋体"/>
                <w:color w:val="000000"/>
                <w:kern w:val="0"/>
                <w:szCs w:val="21"/>
                <w:lang w:val="en-US" w:eastAsia="zh-CN"/>
              </w:rPr>
              <w:t>允许</w:t>
            </w:r>
            <w:r>
              <w:rPr>
                <w:rFonts w:hint="eastAsia" w:ascii="宋体" w:hAnsi="宋体" w:cs="宋体"/>
                <w:color w:val="000000"/>
                <w:kern w:val="0"/>
                <w:szCs w:val="21"/>
              </w:rPr>
              <w:t>拼接，无任何人造板材；</w:t>
            </w:r>
            <w:r>
              <w:rPr>
                <w:rFonts w:hint="eastAsia" w:ascii="宋体" w:hAnsi="宋体" w:cs="宋体"/>
                <w:color w:val="000000"/>
                <w:kern w:val="0"/>
                <w:szCs w:val="21"/>
                <w:lang w:val="en-US" w:eastAsia="zh-CN"/>
              </w:rPr>
              <w:t>白蜡木</w:t>
            </w:r>
            <w:r>
              <w:rPr>
                <w:rFonts w:hint="eastAsia" w:ascii="宋体" w:hAnsi="宋体" w:cs="宋体"/>
                <w:color w:val="000000"/>
                <w:kern w:val="0"/>
                <w:szCs w:val="21"/>
              </w:rPr>
              <w:t>符合GB/T 4817-2019《阔叶树锯材》的“特等”要求</w:t>
            </w:r>
            <w:r>
              <w:rPr>
                <w:rFonts w:hint="eastAsia" w:ascii="宋体" w:hAnsi="宋体" w:cs="宋体"/>
                <w:color w:val="000000"/>
                <w:kern w:val="0"/>
                <w:szCs w:val="21"/>
                <w:lang w:eastAsia="zh-CN"/>
              </w:rPr>
              <w:t>；</w:t>
            </w:r>
            <w:r>
              <w:rPr>
                <w:rFonts w:hint="eastAsia" w:ascii="宋体" w:hAnsi="宋体" w:cs="宋体"/>
                <w:color w:val="000000"/>
                <w:kern w:val="0"/>
                <w:szCs w:val="21"/>
              </w:rPr>
              <w:t>边缘及边角需圆弧倒角处理，木材经防腐防虫防潮技术处理，木材四面刨光处理。木材外观、含水率GB/T 3324-2024标准要求。木材鉴定名称为白蜡木，木犀科</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color w:val="000000"/>
                <w:kern w:val="0"/>
                <w:szCs w:val="21"/>
                <w:u w:val="none"/>
                <w:lang w:bidi="ar"/>
              </w:rPr>
              <w:t>水性面漆：封闭漆/半开放工艺，采用3次底漆，2次面漆喷涂制作而成，</w:t>
            </w:r>
            <w:r>
              <w:rPr>
                <w:rFonts w:hint="eastAsia" w:ascii="宋体" w:hAnsi="宋体" w:eastAsia="宋体" w:cs="宋体"/>
                <w:i w:val="0"/>
                <w:iCs w:val="0"/>
                <w:color w:val="000000"/>
                <w:kern w:val="0"/>
                <w:sz w:val="21"/>
                <w:szCs w:val="21"/>
                <w:u w:val="none"/>
                <w:lang w:val="en-US" w:eastAsia="zh-CN" w:bidi="ar"/>
              </w:rPr>
              <w:t>环保性能应符合 GB/T 35602-2017《绿色产品评价 涂料》中品质属性要求。</w:t>
            </w:r>
          </w:p>
        </w:tc>
      </w:tr>
      <w:tr w14:paraId="6754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5B75146B">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24010CB1">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15BACF3">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3.副柜：</w:t>
            </w:r>
            <w:r>
              <w:rPr>
                <w:rFonts w:hint="eastAsia" w:ascii="宋体" w:hAnsi="宋体" w:cs="宋体"/>
                <w:i w:val="0"/>
                <w:iCs w:val="0"/>
                <w:color w:val="000000"/>
                <w:kern w:val="0"/>
                <w:sz w:val="21"/>
                <w:szCs w:val="21"/>
                <w:u w:val="none"/>
                <w:lang w:val="en-US" w:eastAsia="zh-CN" w:bidi="ar"/>
              </w:rPr>
              <w:t>柜门板、柜侧板、抽屉内部板</w:t>
            </w:r>
            <w:r>
              <w:rPr>
                <w:rFonts w:hint="eastAsia" w:ascii="宋体" w:hAnsi="宋体" w:eastAsia="宋体" w:cs="宋体"/>
                <w:i w:val="0"/>
                <w:iCs w:val="0"/>
                <w:color w:val="000000"/>
                <w:kern w:val="0"/>
                <w:sz w:val="21"/>
                <w:szCs w:val="21"/>
                <w:u w:val="none"/>
                <w:lang w:val="en-US" w:eastAsia="zh-CN" w:bidi="ar"/>
              </w:rPr>
              <w:t>采用不小于18mm厚</w:t>
            </w:r>
            <w:r>
              <w:rPr>
                <w:rFonts w:hint="eastAsia" w:ascii="宋体" w:hAnsi="宋体" w:cs="宋体"/>
                <w:i w:val="0"/>
                <w:iCs w:val="0"/>
                <w:color w:val="000000"/>
                <w:kern w:val="0"/>
                <w:sz w:val="21"/>
                <w:szCs w:val="21"/>
                <w:u w:val="none"/>
                <w:lang w:val="en-US" w:eastAsia="zh-CN" w:bidi="ar"/>
              </w:rPr>
              <w:t>，</w:t>
            </w:r>
            <w:r>
              <w:rPr>
                <w:rFonts w:hint="eastAsia" w:ascii="宋体" w:hAnsi="宋体" w:cs="宋体"/>
                <w:color w:val="000000" w:themeColor="text1"/>
                <w:szCs w:val="21"/>
                <w14:textFill>
                  <w14:solidFill>
                    <w14:schemeClr w14:val="tx1"/>
                  </w14:solidFill>
                </w14:textFill>
              </w:rPr>
              <w:t>背板、抽屉底板厚≥9mm</w:t>
            </w:r>
            <w:r>
              <w:rPr>
                <w:rFonts w:hint="eastAsia" w:ascii="宋体" w:hAnsi="宋体" w:eastAsia="宋体" w:cs="宋体"/>
                <w:i w:val="0"/>
                <w:iCs w:val="0"/>
                <w:color w:val="000000"/>
                <w:kern w:val="0"/>
                <w:sz w:val="21"/>
                <w:szCs w:val="21"/>
                <w:u w:val="none"/>
                <w:lang w:val="en-US" w:eastAsia="zh-CN" w:bidi="ar"/>
              </w:rPr>
              <w:t>E0级</w:t>
            </w:r>
            <w:r>
              <w:rPr>
                <w:rFonts w:hint="eastAsia"/>
              </w:rPr>
              <w:t>浸渍胶膜纸</w:t>
            </w:r>
            <w:r>
              <w:rPr>
                <w:rFonts w:hint="eastAsia" w:ascii="宋体" w:hAnsi="宋体" w:eastAsia="宋体" w:cs="宋体"/>
                <w:i w:val="0"/>
                <w:iCs w:val="0"/>
                <w:color w:val="000000"/>
                <w:kern w:val="0"/>
                <w:sz w:val="21"/>
                <w:szCs w:val="21"/>
                <w:u w:val="none"/>
                <w:lang w:val="en-US" w:eastAsia="zh-CN" w:bidi="ar"/>
              </w:rPr>
              <w:t>饰面</w:t>
            </w:r>
            <w:r>
              <w:rPr>
                <w:rFonts w:hint="eastAsia"/>
              </w:rPr>
              <w:t>实木多层板</w:t>
            </w:r>
            <w:r>
              <w:rPr>
                <w:rFonts w:hint="eastAsia" w:ascii="宋体" w:hAnsi="宋体" w:cs="宋体"/>
                <w:i w:val="0"/>
                <w:iCs w:val="0"/>
                <w:color w:val="000000"/>
                <w:kern w:val="0"/>
                <w:sz w:val="21"/>
                <w:szCs w:val="21"/>
                <w:u w:val="none"/>
                <w:lang w:val="en-US" w:eastAsia="zh-CN" w:bidi="ar"/>
              </w:rPr>
              <w:t>（胶合板）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≥1.0mmABS</w:t>
            </w:r>
            <w:r>
              <w:rPr>
                <w:rFonts w:hint="eastAsia" w:ascii="宋体" w:hAnsi="宋体" w:eastAsia="宋体" w:cs="宋体"/>
                <w:i w:val="0"/>
                <w:iCs w:val="0"/>
                <w:color w:val="000000"/>
                <w:kern w:val="0"/>
                <w:sz w:val="21"/>
                <w:szCs w:val="21"/>
                <w:u w:val="none"/>
                <w:lang w:val="en-US" w:eastAsia="zh-CN" w:bidi="ar"/>
              </w:rPr>
              <w:t>封边，封边条</w:t>
            </w:r>
            <w:r>
              <w:rPr>
                <w:rFonts w:hint="eastAsia" w:ascii="宋体" w:hAnsi="宋体" w:cs="宋体"/>
                <w:i w:val="0"/>
                <w:iCs w:val="0"/>
                <w:color w:val="000000"/>
                <w:kern w:val="0"/>
                <w:sz w:val="21"/>
                <w:szCs w:val="21"/>
                <w:u w:val="none"/>
                <w:lang w:val="en-US" w:eastAsia="zh-CN" w:bidi="ar"/>
              </w:rPr>
              <w:t>依据</w:t>
            </w:r>
            <w:r>
              <w:rPr>
                <w:rFonts w:hint="eastAsia" w:ascii="宋体" w:hAnsi="宋体" w:eastAsia="宋体" w:cs="宋体"/>
                <w:i w:val="0"/>
                <w:iCs w:val="0"/>
                <w:color w:val="000000"/>
                <w:kern w:val="0"/>
                <w:sz w:val="21"/>
                <w:szCs w:val="21"/>
                <w:u w:val="none"/>
                <w:lang w:val="en-US" w:eastAsia="zh-CN" w:bidi="ar"/>
              </w:rPr>
              <w:t xml:space="preserve"> QB/T 4463-2025《家具用封边条》</w:t>
            </w:r>
            <w:r>
              <w:rPr>
                <w:rFonts w:hint="eastAsia" w:ascii="宋体" w:hAnsi="宋体" w:cs="宋体"/>
                <w:i w:val="0"/>
                <w:iCs w:val="0"/>
                <w:color w:val="000000"/>
                <w:kern w:val="0"/>
                <w:sz w:val="21"/>
                <w:szCs w:val="21"/>
                <w:u w:val="none"/>
                <w:lang w:val="en-US" w:eastAsia="zh-CN" w:bidi="ar"/>
              </w:rPr>
              <w:t>标准，</w:t>
            </w:r>
            <w:r>
              <w:rPr>
                <w:rFonts w:hint="eastAsia" w:ascii="宋体" w:hAnsi="宋体" w:eastAsia="宋体" w:cs="宋体"/>
                <w:i w:val="0"/>
                <w:iCs w:val="0"/>
                <w:color w:val="000000"/>
                <w:kern w:val="0"/>
                <w:sz w:val="21"/>
                <w:szCs w:val="21"/>
                <w:u w:val="none"/>
                <w:lang w:val="en-US" w:eastAsia="zh-CN" w:bidi="ar"/>
              </w:rPr>
              <w:t>耐干热性、耐磨性、耐龟裂性、耐冷热循性环均符合标准要求，甲醛释放量≤0.1mg/L，可迁移元素</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邻苯二甲酸酯（DBP、BBP、DEHP、DNOP、DINP和DIDP）的总量、多溴联苯（PBB）、多溴联苯醚(PBDE)均未检出的要求,氯乙烯单体未检出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一抽一柜格局，免拉手设计，采用缓冲门铰及阻尼导轨。</w:t>
            </w:r>
            <w:r>
              <w:rPr>
                <w:rFonts w:hint="eastAsia" w:ascii="宋体" w:hAnsi="宋体" w:cs="宋体"/>
                <w:i w:val="0"/>
                <w:iCs w:val="0"/>
                <w:color w:val="000000"/>
                <w:kern w:val="0"/>
                <w:sz w:val="21"/>
                <w:szCs w:val="21"/>
                <w:u w:val="none"/>
                <w:lang w:val="en-US" w:eastAsia="zh-CN" w:bidi="ar"/>
              </w:rPr>
              <w:t>导轨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钢材厚度≥1.2mm，质量</w:t>
            </w:r>
            <w:r>
              <w:rPr>
                <w:rFonts w:hint="eastAsia" w:ascii="宋体" w:hAnsi="宋体" w:cs="宋体"/>
                <w:i w:val="0"/>
                <w:iCs w:val="0"/>
                <w:color w:val="000000"/>
                <w:kern w:val="0"/>
                <w:sz w:val="21"/>
                <w:szCs w:val="21"/>
                <w:u w:val="none"/>
                <w:lang w:val="en-US" w:eastAsia="zh-CN" w:bidi="ar"/>
              </w:rPr>
              <w:t>符合</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QB/T 2454-2013《家具五金 抽屉导轨》商用型要求，耐久性8万次无损坏；门铰钢材厚度≥1.2mm，质量符合QB/T 2189-2013《家具五金 杯状暗铰链》商用型要求，耐久性8万次无损坏。配置4位数机械密码锁，采用锌合金锁芯，配置管理钥匙。</w:t>
            </w:r>
          </w:p>
        </w:tc>
      </w:tr>
      <w:tr w14:paraId="1065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1A75AEC">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ED2987C">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6186BD1F">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4.书架：采用冷轧钢板，</w:t>
            </w:r>
            <w:r>
              <w:rPr>
                <w:rFonts w:hint="eastAsia" w:ascii="宋体" w:hAnsi="宋体" w:eastAsia="宋体" w:cs="宋体"/>
                <w:i w:val="0"/>
                <w:iCs w:val="0"/>
                <w:color w:val="auto"/>
                <w:kern w:val="0"/>
                <w:sz w:val="21"/>
                <w:szCs w:val="21"/>
                <w:u w:val="none"/>
                <w:lang w:val="en-US" w:eastAsia="zh-CN"/>
              </w:rPr>
              <w:t>柜体、层板、背板</w:t>
            </w:r>
            <w:r>
              <w:rPr>
                <w:rFonts w:hint="eastAsia" w:ascii="宋体" w:hAnsi="宋体" w:cs="宋体"/>
                <w:i w:val="0"/>
                <w:iCs w:val="0"/>
                <w:color w:val="auto"/>
                <w:kern w:val="0"/>
                <w:sz w:val="21"/>
                <w:szCs w:val="21"/>
                <w:u w:val="none"/>
                <w:lang w:val="en-US" w:eastAsia="zh-CN"/>
              </w:rPr>
              <w:t>的钢板</w:t>
            </w:r>
            <w:r>
              <w:rPr>
                <w:rFonts w:hint="eastAsia" w:ascii="宋体" w:hAnsi="宋体" w:eastAsia="宋体" w:cs="宋体"/>
                <w:i w:val="0"/>
                <w:iCs w:val="0"/>
                <w:color w:val="000000"/>
                <w:kern w:val="0"/>
                <w:sz w:val="21"/>
                <w:szCs w:val="21"/>
                <w:u w:val="none"/>
                <w:lang w:val="en-US" w:eastAsia="zh-CN" w:bidi="ar"/>
              </w:rPr>
              <w:t>厚度不小于</w:t>
            </w: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mm，表面经粉末涂料塑粉处理，美观耐用防腐蚀。</w:t>
            </w:r>
            <w:r>
              <w:rPr>
                <w:rFonts w:hint="eastAsia" w:ascii="宋体" w:hAnsi="宋体" w:cs="宋体"/>
                <w:i w:val="0"/>
                <w:iCs w:val="0"/>
                <w:color w:val="000000"/>
                <w:kern w:val="0"/>
                <w:sz w:val="21"/>
                <w:szCs w:val="21"/>
                <w:u w:val="none"/>
                <w:lang w:val="en-US" w:eastAsia="zh-CN" w:bidi="ar"/>
              </w:rPr>
              <w:t>功能及结构根据采购方需求深化设计。</w:t>
            </w:r>
          </w:p>
        </w:tc>
      </w:tr>
      <w:tr w14:paraId="7F14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4C246DE5">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2C073138">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1FAECA1">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5.配置led阅读灯，</w:t>
            </w:r>
            <w:r>
              <w:rPr>
                <w:rFonts w:hint="eastAsia" w:ascii="宋体" w:hAnsi="宋体" w:cs="宋体"/>
                <w:szCs w:val="21"/>
              </w:rPr>
              <w:t>色温：可调色温，3000\4000\5000K，</w:t>
            </w:r>
            <w:r>
              <w:rPr>
                <w:rFonts w:hint="eastAsia" w:ascii="宋体" w:hAnsi="宋体" w:cs="宋体"/>
                <w:szCs w:val="21"/>
                <w:lang w:val="en-US" w:eastAsia="zh-CN"/>
              </w:rPr>
              <w:t>功率≥10W</w:t>
            </w:r>
            <w:r>
              <w:rPr>
                <w:rFonts w:hint="eastAsia" w:ascii="宋体" w:hAnsi="宋体" w:cs="宋体"/>
                <w:szCs w:val="21"/>
              </w:rPr>
              <w:t>。无频闪、可调光、可调色、无蓝光危害、具有防眩面罩。</w:t>
            </w:r>
            <w:r>
              <w:rPr>
                <w:rFonts w:hint="eastAsia" w:ascii="宋体" w:hAnsi="宋体" w:cs="宋体"/>
                <w:szCs w:val="21"/>
                <w:lang w:val="en-US" w:eastAsia="zh-CN"/>
              </w:rPr>
              <w:t>固定式与活动式根据采购方需求选定。</w:t>
            </w:r>
          </w:p>
        </w:tc>
      </w:tr>
      <w:tr w14:paraId="6CA9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32B0B274">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421B9FE8">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384340C">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6.书桌底架采用不低于25mm×25mm×1.2mm钢管，</w:t>
            </w:r>
            <w:r>
              <w:rPr>
                <w:rFonts w:hint="eastAsia" w:ascii="宋体" w:hAnsi="宋体" w:cs="宋体"/>
                <w:color w:val="000000" w:themeColor="text1"/>
                <w:szCs w:val="21"/>
                <w14:textFill>
                  <w14:solidFill>
                    <w14:schemeClr w14:val="tx1"/>
                  </w14:solidFill>
                </w14:textFill>
              </w:rPr>
              <w:t>表面焊接口平衡光滑，表面经除油，酸洗去锈、磷化，环氧树脂静电粉末高温固化而成。脚架底部配有</w:t>
            </w:r>
            <w:r>
              <w:rPr>
                <w:rFonts w:hint="eastAsia" w:ascii="宋体" w:hAnsi="宋体" w:cs="宋体"/>
                <w:color w:val="000000" w:themeColor="text1"/>
                <w:szCs w:val="21"/>
                <w:lang w:val="en-US" w:eastAsia="zh-CN"/>
                <w14:textFill>
                  <w14:solidFill>
                    <w14:schemeClr w14:val="tx1"/>
                  </w14:solidFill>
                </w14:textFill>
              </w:rPr>
              <w:t>调节</w:t>
            </w:r>
            <w:r>
              <w:rPr>
                <w:rFonts w:hint="eastAsia" w:ascii="宋体" w:hAnsi="宋体" w:cs="宋体"/>
                <w:color w:val="000000" w:themeColor="text1"/>
                <w:szCs w:val="21"/>
                <w14:textFill>
                  <w14:solidFill>
                    <w14:schemeClr w14:val="tx1"/>
                  </w14:solidFill>
                </w14:textFill>
              </w:rPr>
              <w:t>脚垫。</w:t>
            </w:r>
          </w:p>
        </w:tc>
      </w:tr>
      <w:tr w14:paraId="270E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654" w:type="dxa"/>
            <w:vMerge w:val="continue"/>
            <w:shd w:val="clear" w:color="auto" w:fill="auto"/>
            <w:vAlign w:val="center"/>
          </w:tcPr>
          <w:p w14:paraId="09BDC4F6">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EAD82A5">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ACBFC96">
            <w:pPr>
              <w:keepNext w:val="0"/>
              <w:keepLines w:val="0"/>
              <w:widowControl/>
              <w:suppressLineNumbers w:val="0"/>
              <w:jc w:val="left"/>
              <w:textAlignment w:val="center"/>
              <w:rPr>
                <w:rFonts w:hint="eastAsia"/>
                <w:color w:val="FF0000"/>
              </w:rPr>
            </w:pPr>
            <w:r>
              <w:rPr>
                <w:rFonts w:hint="eastAsia" w:ascii="宋体" w:hAnsi="宋体" w:cs="宋体"/>
                <w:i w:val="0"/>
                <w:iCs w:val="0"/>
                <w:color w:val="FF0000"/>
                <w:kern w:val="0"/>
                <w:sz w:val="21"/>
                <w:szCs w:val="21"/>
                <w:u w:val="none"/>
                <w:lang w:val="en-US" w:eastAsia="zh-CN" w:bidi="ar"/>
              </w:rPr>
              <w:t>7</w:t>
            </w:r>
            <w:r>
              <w:rPr>
                <w:rFonts w:hint="eastAsia" w:ascii="宋体" w:hAnsi="宋体" w:eastAsia="宋体" w:cs="宋体"/>
                <w:i w:val="0"/>
                <w:iCs w:val="0"/>
                <w:color w:val="FF0000"/>
                <w:kern w:val="0"/>
                <w:sz w:val="21"/>
                <w:szCs w:val="21"/>
                <w:u w:val="none"/>
                <w:lang w:val="en-US" w:eastAsia="zh-CN" w:bidi="ar"/>
              </w:rPr>
              <w:t>.▲</w:t>
            </w:r>
            <w:r>
              <w:rPr>
                <w:rFonts w:hint="eastAsia"/>
                <w:color w:val="FF0000"/>
              </w:rPr>
              <w:t>浸渍胶膜纸饰面实木多层板</w:t>
            </w:r>
          </w:p>
          <w:p w14:paraId="73D1C13B">
            <w:pPr>
              <w:rPr>
                <w:rFonts w:hint="eastAsia"/>
                <w:color w:val="FF0000"/>
              </w:rPr>
            </w:pPr>
            <w:r>
              <w:rPr>
                <w:rFonts w:hint="eastAsia" w:ascii="宋体" w:hAnsi="宋体" w:cs="宋体"/>
                <w:color w:val="FF0000"/>
                <w:kern w:val="0"/>
                <w:szCs w:val="21"/>
                <w:u w:val="none"/>
                <w:lang w:val="en-US" w:eastAsia="zh-CN" w:bidi="ar"/>
              </w:rPr>
              <w:t>①检测依据</w:t>
            </w:r>
            <w:r>
              <w:rPr>
                <w:rFonts w:hint="eastAsia"/>
                <w:color w:val="FF0000"/>
              </w:rPr>
              <w:t>GB/T 34722-20</w:t>
            </w:r>
            <w:r>
              <w:rPr>
                <w:rFonts w:hint="eastAsia"/>
                <w:color w:val="FF0000"/>
                <w:lang w:val="en-US" w:eastAsia="zh-CN"/>
              </w:rPr>
              <w:t>25</w:t>
            </w:r>
            <w:r>
              <w:rPr>
                <w:rFonts w:hint="eastAsia"/>
                <w:color w:val="FF0000"/>
              </w:rPr>
              <w:t>《浸渍胶膜纸饰面胶合板和细木工板》</w:t>
            </w:r>
            <w:r>
              <w:rPr>
                <w:rFonts w:hint="eastAsia"/>
                <w:color w:val="FF0000"/>
                <w:lang w:eastAsia="zh-CN"/>
              </w:rPr>
              <w:t>。</w:t>
            </w:r>
            <w:r>
              <w:rPr>
                <w:rFonts w:hint="eastAsia" w:ascii="宋体" w:hAnsi="宋体" w:cs="宋体"/>
                <w:color w:val="FF0000"/>
                <w:kern w:val="0"/>
                <w:szCs w:val="21"/>
                <w:u w:val="none"/>
                <w:lang w:val="en-US" w:eastAsia="zh-CN" w:bidi="ar"/>
              </w:rPr>
              <w:t>检测要求：</w:t>
            </w:r>
            <w:r>
              <w:rPr>
                <w:rFonts w:hint="eastAsia"/>
                <w:color w:val="FF0000"/>
              </w:rPr>
              <w:t>理化性能：含水率</w:t>
            </w:r>
            <w:r>
              <w:rPr>
                <w:rFonts w:hint="eastAsia"/>
                <w:color w:val="FF0000"/>
                <w:lang w:val="en-US" w:eastAsia="zh-CN"/>
              </w:rPr>
              <w:t>检测合格</w:t>
            </w:r>
            <w:r>
              <w:rPr>
                <w:rFonts w:hint="eastAsia"/>
                <w:color w:val="FF0000"/>
              </w:rPr>
              <w:t>，胶合强度≥2MPa，表面耐干热、表面耐污染腐蚀、表面耐龟裂、表面耐水蒸气达到5级，耐光色牢度达到5级；</w:t>
            </w:r>
          </w:p>
          <w:p w14:paraId="1F0A5B27">
            <w:pPr>
              <w:rPr>
                <w:rFonts w:hint="eastAsia"/>
                <w:color w:val="FF0000"/>
              </w:rPr>
            </w:pPr>
            <w:r>
              <w:rPr>
                <w:rFonts w:hint="eastAsia" w:ascii="宋体" w:hAnsi="宋体" w:cs="宋体"/>
                <w:color w:val="FF0000"/>
                <w:kern w:val="0"/>
                <w:szCs w:val="21"/>
                <w:u w:val="none"/>
                <w:lang w:val="en-US" w:eastAsia="zh-CN" w:bidi="ar"/>
              </w:rPr>
              <w:t>②检测依据</w:t>
            </w:r>
            <w:r>
              <w:rPr>
                <w:rFonts w:hint="eastAsia"/>
                <w:color w:val="FF0000"/>
              </w:rPr>
              <w:t>GB/T 9846-2015《普通胶合板》</w:t>
            </w:r>
            <w:r>
              <w:rPr>
                <w:rFonts w:hint="eastAsia"/>
                <w:color w:val="FF0000"/>
                <w:lang w:eastAsia="zh-CN"/>
              </w:rPr>
              <w:t>。</w:t>
            </w:r>
            <w:r>
              <w:rPr>
                <w:rFonts w:hint="eastAsia" w:ascii="宋体" w:hAnsi="宋体" w:cs="宋体"/>
                <w:color w:val="FF0000"/>
                <w:kern w:val="0"/>
                <w:szCs w:val="21"/>
                <w:u w:val="none"/>
                <w:lang w:val="en-US" w:eastAsia="zh-CN" w:bidi="ar"/>
              </w:rPr>
              <w:t>检测要求：</w:t>
            </w:r>
            <w:r>
              <w:rPr>
                <w:rFonts w:hint="eastAsia"/>
                <w:color w:val="FF0000"/>
              </w:rPr>
              <w:t>静曲强度：顺纹≥4</w:t>
            </w:r>
            <w:r>
              <w:rPr>
                <w:rFonts w:hint="eastAsia"/>
                <w:color w:val="FF0000"/>
                <w:lang w:val="en-US" w:eastAsia="zh-CN"/>
              </w:rPr>
              <w:t>0</w:t>
            </w:r>
            <w:r>
              <w:rPr>
                <w:rFonts w:hint="eastAsia"/>
                <w:color w:val="FF0000"/>
              </w:rPr>
              <w:t>MPa，横纹≥</w:t>
            </w:r>
            <w:r>
              <w:rPr>
                <w:rFonts w:hint="eastAsia"/>
                <w:color w:val="FF0000"/>
                <w:lang w:val="en-US" w:eastAsia="zh-CN"/>
              </w:rPr>
              <w:t>35</w:t>
            </w:r>
            <w:r>
              <w:rPr>
                <w:rFonts w:hint="eastAsia"/>
                <w:color w:val="FF0000"/>
              </w:rPr>
              <w:t>MPa；弹性模量：顺纹≥5</w:t>
            </w:r>
            <w:r>
              <w:rPr>
                <w:rFonts w:hint="eastAsia"/>
                <w:color w:val="FF0000"/>
                <w:lang w:val="en-US" w:eastAsia="zh-CN"/>
              </w:rPr>
              <w:t>00</w:t>
            </w:r>
            <w:r>
              <w:rPr>
                <w:rFonts w:hint="eastAsia"/>
                <w:color w:val="FF0000"/>
              </w:rPr>
              <w:t>0MPa，横纹≥4</w:t>
            </w:r>
            <w:r>
              <w:rPr>
                <w:rFonts w:hint="eastAsia"/>
                <w:color w:val="FF0000"/>
                <w:lang w:val="en-US" w:eastAsia="zh-CN"/>
              </w:rPr>
              <w:t>00</w:t>
            </w:r>
            <w:r>
              <w:rPr>
                <w:rFonts w:hint="eastAsia"/>
                <w:color w:val="FF0000"/>
              </w:rPr>
              <w:t>0MPa；</w:t>
            </w:r>
          </w:p>
          <w:p w14:paraId="21235BBE">
            <w:pPr>
              <w:rPr>
                <w:rFonts w:hint="eastAsia"/>
                <w:color w:val="FF0000"/>
              </w:rPr>
            </w:pPr>
            <w:r>
              <w:rPr>
                <w:rFonts w:hint="eastAsia" w:ascii="宋体" w:hAnsi="宋体" w:cs="宋体"/>
                <w:color w:val="FF0000"/>
                <w:kern w:val="0"/>
                <w:szCs w:val="21"/>
                <w:u w:val="none"/>
                <w:lang w:val="en-US" w:eastAsia="zh-CN" w:bidi="ar"/>
              </w:rPr>
              <w:t>③检测依据</w:t>
            </w:r>
            <w:r>
              <w:rPr>
                <w:rFonts w:hint="eastAsia"/>
                <w:color w:val="FF0000"/>
              </w:rPr>
              <w:t>GB/T 39600-2021《人造板及其制品甲醛释放量分级》，GB 18580-20</w:t>
            </w:r>
            <w:r>
              <w:rPr>
                <w:rFonts w:hint="eastAsia"/>
                <w:color w:val="FF0000"/>
                <w:lang w:val="en-US" w:eastAsia="zh-CN"/>
              </w:rPr>
              <w:t>25</w:t>
            </w:r>
            <w:r>
              <w:rPr>
                <w:rFonts w:hint="eastAsia"/>
                <w:color w:val="FF0000"/>
              </w:rPr>
              <w:t>《室内装饰装修材料人造板及其制品中甲醛释放限量》</w:t>
            </w:r>
            <w:r>
              <w:rPr>
                <w:rFonts w:hint="eastAsia"/>
                <w:color w:val="FF0000"/>
                <w:lang w:eastAsia="zh-CN"/>
              </w:rPr>
              <w:t>。</w:t>
            </w:r>
            <w:r>
              <w:rPr>
                <w:rFonts w:hint="eastAsia" w:ascii="宋体" w:hAnsi="宋体" w:cs="宋体"/>
                <w:color w:val="FF0000"/>
                <w:kern w:val="0"/>
                <w:szCs w:val="21"/>
                <w:u w:val="none"/>
                <w:lang w:val="en-US" w:eastAsia="zh-CN" w:bidi="ar"/>
              </w:rPr>
              <w:t>检测要求：</w:t>
            </w:r>
            <w:r>
              <w:rPr>
                <w:rFonts w:hint="eastAsia"/>
                <w:color w:val="FF0000"/>
              </w:rPr>
              <w:t>室内用人造板及其制品甲醛释放量分级：ENF级；②甲醛释放量（1m³气候箱法）≤0.0</w:t>
            </w:r>
            <w:r>
              <w:rPr>
                <w:rFonts w:hint="eastAsia"/>
                <w:color w:val="FF0000"/>
                <w:lang w:val="en-US" w:eastAsia="zh-CN"/>
              </w:rPr>
              <w:t>25</w:t>
            </w:r>
            <w:r>
              <w:rPr>
                <w:rFonts w:hint="eastAsia"/>
                <w:color w:val="FF0000"/>
              </w:rPr>
              <w:t>mg/m³；</w:t>
            </w:r>
          </w:p>
          <w:p w14:paraId="325B77B1">
            <w:pPr>
              <w:rPr>
                <w:rFonts w:hint="eastAsia" w:eastAsia="宋体"/>
                <w:color w:val="FF0000"/>
                <w:lang w:eastAsia="zh-CN"/>
              </w:rPr>
            </w:pPr>
            <w:r>
              <w:rPr>
                <w:rFonts w:hint="eastAsia"/>
                <w:color w:val="FF0000"/>
                <w:lang w:val="en-US" w:eastAsia="zh-CN"/>
              </w:rPr>
              <w:t>④</w:t>
            </w:r>
            <w:r>
              <w:rPr>
                <w:rFonts w:hint="eastAsia" w:ascii="宋体" w:hAnsi="宋体" w:cs="宋体"/>
                <w:color w:val="FF0000"/>
                <w:kern w:val="0"/>
                <w:szCs w:val="21"/>
                <w:u w:val="none"/>
                <w:lang w:val="en-US" w:eastAsia="zh-CN" w:bidi="ar"/>
              </w:rPr>
              <w:t>检测依据</w:t>
            </w:r>
            <w:r>
              <w:rPr>
                <w:rFonts w:hint="eastAsia"/>
                <w:color w:val="FF0000"/>
              </w:rPr>
              <w:t>HJ 571-2010《环境标志产品技术要求人造板及其制品》</w:t>
            </w:r>
            <w:r>
              <w:rPr>
                <w:rFonts w:hint="eastAsia"/>
                <w:color w:val="FF0000"/>
                <w:lang w:eastAsia="zh-CN"/>
              </w:rPr>
              <w:t>。</w:t>
            </w:r>
            <w:r>
              <w:rPr>
                <w:rFonts w:hint="eastAsia" w:ascii="宋体" w:hAnsi="宋体" w:cs="宋体"/>
                <w:color w:val="FF0000"/>
                <w:kern w:val="0"/>
                <w:szCs w:val="21"/>
                <w:u w:val="none"/>
                <w:lang w:val="en-US" w:eastAsia="zh-CN" w:bidi="ar"/>
              </w:rPr>
              <w:t>检测要求：</w:t>
            </w:r>
            <w:r>
              <w:rPr>
                <w:rFonts w:hint="eastAsia"/>
                <w:color w:val="FF0000"/>
              </w:rPr>
              <w:t>总挥发性有机化合物（TVOC）的释放率（72h）≤0.</w:t>
            </w:r>
            <w:r>
              <w:rPr>
                <w:rFonts w:hint="eastAsia"/>
                <w:color w:val="FF0000"/>
                <w:lang w:val="en-US" w:eastAsia="zh-CN"/>
              </w:rPr>
              <w:t>1</w:t>
            </w:r>
            <w:r>
              <w:rPr>
                <w:rFonts w:hint="eastAsia"/>
                <w:color w:val="FF0000"/>
              </w:rPr>
              <w:t>mg/（㎡·h）</w:t>
            </w:r>
            <w:r>
              <w:rPr>
                <w:rFonts w:hint="eastAsia"/>
                <w:color w:val="FF0000"/>
                <w:lang w:eastAsia="zh-CN"/>
              </w:rPr>
              <w:t>；</w:t>
            </w:r>
          </w:p>
          <w:p w14:paraId="531A6E39">
            <w:pPr>
              <w:rPr>
                <w:rFonts w:hint="eastAsia"/>
                <w:color w:val="FF0000"/>
              </w:rPr>
            </w:pPr>
            <w:r>
              <w:rPr>
                <w:rFonts w:hint="eastAsia" w:ascii="宋体" w:hAnsi="宋体" w:cs="宋体"/>
                <w:color w:val="FF0000"/>
                <w:kern w:val="0"/>
                <w:szCs w:val="21"/>
                <w:u w:val="none"/>
                <w:lang w:val="en-US" w:eastAsia="zh-CN" w:bidi="ar"/>
              </w:rPr>
              <w:t>⑤检测依据</w:t>
            </w:r>
            <w:r>
              <w:rPr>
                <w:rFonts w:hint="eastAsia"/>
                <w:color w:val="FF0000"/>
              </w:rPr>
              <w:t>GB/T 29899-2024《人造板及其制品中挥发性有机化合物释放量试验方法 小型释放舱法》</w:t>
            </w:r>
            <w:r>
              <w:rPr>
                <w:rFonts w:hint="eastAsia"/>
                <w:color w:val="FF0000"/>
                <w:lang w:eastAsia="zh-CN"/>
              </w:rPr>
              <w:t>。</w:t>
            </w:r>
            <w:r>
              <w:rPr>
                <w:rFonts w:hint="eastAsia" w:ascii="宋体" w:hAnsi="宋体" w:cs="宋体"/>
                <w:color w:val="FF0000"/>
                <w:kern w:val="0"/>
                <w:szCs w:val="21"/>
                <w:u w:val="none"/>
                <w:lang w:val="en-US" w:eastAsia="zh-CN" w:bidi="ar"/>
              </w:rPr>
              <w:t>检测要求：</w:t>
            </w:r>
            <w:r>
              <w:rPr>
                <w:rFonts w:hint="eastAsia"/>
                <w:color w:val="FF0000"/>
              </w:rPr>
              <w:t>苯、甲苯、二甲苯未检出</w:t>
            </w:r>
            <w:r>
              <w:rPr>
                <w:rFonts w:hint="eastAsia"/>
                <w:color w:val="FF0000"/>
                <w:lang w:eastAsia="zh-CN"/>
              </w:rPr>
              <w:t>，</w:t>
            </w:r>
            <w:r>
              <w:rPr>
                <w:rFonts w:hint="eastAsia"/>
                <w:color w:val="FF0000"/>
              </w:rPr>
              <w:t>总挥发性有机化合物（TVOC）≤</w:t>
            </w:r>
            <w:r>
              <w:rPr>
                <w:rFonts w:hint="eastAsia"/>
                <w:color w:val="FF0000"/>
                <w:lang w:val="en-US" w:eastAsia="zh-CN"/>
              </w:rPr>
              <w:t>80u</w:t>
            </w:r>
            <w:r>
              <w:rPr>
                <w:rFonts w:hint="eastAsia"/>
                <w:color w:val="FF0000"/>
              </w:rPr>
              <w:t>g/m³；</w:t>
            </w:r>
          </w:p>
          <w:p w14:paraId="4262BE23">
            <w:pPr>
              <w:rPr>
                <w:rFonts w:hint="eastAsia"/>
                <w:color w:val="FF0000"/>
              </w:rPr>
            </w:pPr>
            <w:r>
              <w:rPr>
                <w:rFonts w:hint="eastAsia" w:ascii="宋体" w:hAnsi="宋体" w:cs="宋体"/>
                <w:color w:val="FF0000"/>
                <w:kern w:val="0"/>
                <w:szCs w:val="21"/>
                <w:u w:val="none"/>
                <w:lang w:val="en-US" w:eastAsia="zh-CN" w:bidi="ar"/>
              </w:rPr>
              <w:t>⑥检测依据</w:t>
            </w:r>
            <w:r>
              <w:rPr>
                <w:rFonts w:hint="eastAsia"/>
                <w:color w:val="FF0000"/>
              </w:rPr>
              <w:t>GB/T 44689-2024《人造板及其制品气味分级及评价方法》</w:t>
            </w:r>
            <w:r>
              <w:rPr>
                <w:rFonts w:hint="eastAsia"/>
                <w:color w:val="FF0000"/>
                <w:lang w:eastAsia="zh-CN"/>
              </w:rPr>
              <w:t>。</w:t>
            </w:r>
            <w:r>
              <w:rPr>
                <w:rFonts w:hint="eastAsia" w:ascii="宋体" w:hAnsi="宋体" w:cs="宋体"/>
                <w:color w:val="FF0000"/>
                <w:kern w:val="0"/>
                <w:szCs w:val="21"/>
                <w:u w:val="none"/>
                <w:lang w:val="en-US" w:eastAsia="zh-CN" w:bidi="ar"/>
              </w:rPr>
              <w:t>检测要求：</w:t>
            </w:r>
            <w:r>
              <w:rPr>
                <w:rFonts w:hint="eastAsia"/>
                <w:color w:val="FF0000"/>
              </w:rPr>
              <w:t>气味分级：0级；</w:t>
            </w:r>
          </w:p>
          <w:p w14:paraId="61327F24">
            <w:pPr>
              <w:rPr>
                <w:rFonts w:hint="eastAsia"/>
                <w:color w:val="FF0000"/>
              </w:rPr>
            </w:pPr>
            <w:r>
              <w:rPr>
                <w:rFonts w:hint="eastAsia" w:ascii="宋体" w:hAnsi="宋体" w:cs="宋体"/>
                <w:color w:val="FF0000"/>
                <w:kern w:val="0"/>
                <w:szCs w:val="21"/>
                <w:u w:val="none"/>
                <w:lang w:val="en-US" w:eastAsia="zh-CN" w:bidi="ar"/>
              </w:rPr>
              <w:t>⑦检测依据</w:t>
            </w:r>
            <w:r>
              <w:rPr>
                <w:rFonts w:hint="eastAsia"/>
                <w:color w:val="FF0000"/>
              </w:rPr>
              <w:t>JC/T 2039-2010《抗菌防霉木质装饰板》</w:t>
            </w:r>
            <w:r>
              <w:rPr>
                <w:rFonts w:hint="eastAsia"/>
                <w:color w:val="FF0000"/>
                <w:lang w:eastAsia="zh-CN"/>
              </w:rPr>
              <w:t>。</w:t>
            </w:r>
            <w:r>
              <w:rPr>
                <w:rFonts w:hint="eastAsia" w:ascii="宋体" w:hAnsi="宋体" w:cs="宋体"/>
                <w:color w:val="FF0000"/>
                <w:kern w:val="0"/>
                <w:szCs w:val="21"/>
                <w:u w:val="none"/>
                <w:lang w:val="en-US" w:eastAsia="zh-CN" w:bidi="ar"/>
              </w:rPr>
              <w:t>检测要求：</w:t>
            </w:r>
            <w:r>
              <w:rPr>
                <w:rFonts w:hint="eastAsia"/>
                <w:color w:val="FF0000"/>
              </w:rPr>
              <w:t>对肺炎克雷伯氏菌的抗细菌率≥99%；</w:t>
            </w:r>
          </w:p>
          <w:p w14:paraId="091ADE4B">
            <w:pPr>
              <w:keepNext w:val="0"/>
              <w:keepLines w:val="0"/>
              <w:widowControl/>
              <w:suppressLineNumbers w:val="0"/>
              <w:jc w:val="left"/>
              <w:textAlignment w:val="center"/>
              <w:rPr>
                <w:rFonts w:hint="eastAsia"/>
              </w:rPr>
            </w:pPr>
            <w:r>
              <w:rPr>
                <w:rFonts w:hint="eastAsia"/>
                <w:color w:val="FF0000"/>
                <w:lang w:val="en-US" w:eastAsia="zh-CN"/>
              </w:rPr>
              <w:t>⑧</w:t>
            </w:r>
            <w:r>
              <w:rPr>
                <w:rFonts w:hint="eastAsia" w:ascii="宋体" w:hAnsi="宋体" w:cs="宋体"/>
                <w:color w:val="FF0000"/>
                <w:kern w:val="0"/>
                <w:szCs w:val="21"/>
                <w:u w:val="none"/>
                <w:lang w:val="en-US" w:eastAsia="zh-CN" w:bidi="ar"/>
              </w:rPr>
              <w:t>检测依据</w:t>
            </w:r>
            <w:r>
              <w:rPr>
                <w:rFonts w:hint="eastAsia"/>
                <w:color w:val="FF0000"/>
              </w:rPr>
              <w:t>GB 8624-2012《建筑材料及制品燃烧性能分级》</w:t>
            </w:r>
            <w:r>
              <w:rPr>
                <w:rFonts w:hint="eastAsia"/>
                <w:color w:val="FF0000"/>
                <w:lang w:eastAsia="zh-CN"/>
              </w:rPr>
              <w:t>。</w:t>
            </w:r>
            <w:r>
              <w:rPr>
                <w:rFonts w:hint="eastAsia" w:ascii="宋体" w:hAnsi="宋体" w:cs="宋体"/>
                <w:color w:val="FF0000"/>
                <w:kern w:val="0"/>
                <w:szCs w:val="21"/>
                <w:u w:val="none"/>
                <w:lang w:val="en-US" w:eastAsia="zh-CN" w:bidi="ar"/>
              </w:rPr>
              <w:t>检测要求：</w:t>
            </w:r>
            <w:r>
              <w:rPr>
                <w:rFonts w:hint="eastAsia"/>
                <w:color w:val="FF0000"/>
              </w:rPr>
              <w:t>燃烧性能：热释放速率峰值≤</w:t>
            </w:r>
            <w:r>
              <w:rPr>
                <w:rFonts w:hint="eastAsia"/>
                <w:color w:val="FF0000"/>
                <w:lang w:val="en-US" w:eastAsia="zh-CN"/>
              </w:rPr>
              <w:t>50</w:t>
            </w:r>
            <w:r>
              <w:rPr>
                <w:rFonts w:hint="eastAsia"/>
                <w:color w:val="FF0000"/>
              </w:rPr>
              <w:t>kW，5min内总热释放量≤</w:t>
            </w:r>
            <w:r>
              <w:rPr>
                <w:rFonts w:hint="eastAsia"/>
                <w:color w:val="FF0000"/>
                <w:lang w:val="en-US" w:eastAsia="zh-CN"/>
              </w:rPr>
              <w:t>30</w:t>
            </w:r>
            <w:r>
              <w:rPr>
                <w:rFonts w:hint="eastAsia"/>
                <w:color w:val="FF0000"/>
              </w:rPr>
              <w:t>MJ，最大烟密度≤</w:t>
            </w:r>
            <w:r>
              <w:rPr>
                <w:rFonts w:hint="eastAsia"/>
                <w:color w:val="FF0000"/>
                <w:lang w:val="en-US" w:eastAsia="zh-CN"/>
              </w:rPr>
              <w:t>50</w:t>
            </w:r>
            <w:r>
              <w:rPr>
                <w:rFonts w:hint="eastAsia"/>
                <w:color w:val="FF0000"/>
              </w:rPr>
              <w:t>%</w:t>
            </w:r>
            <w:r>
              <w:rPr>
                <w:rFonts w:hint="eastAsia"/>
                <w:color w:val="FF0000"/>
                <w:lang w:eastAsia="zh-CN"/>
              </w:rPr>
              <w:t>。</w:t>
            </w:r>
          </w:p>
          <w:p w14:paraId="70CA1393">
            <w:pPr>
              <w:keepNext w:val="0"/>
              <w:keepLines w:val="0"/>
              <w:widowControl/>
              <w:suppressLineNumbers w:val="0"/>
              <w:jc w:val="left"/>
              <w:textAlignment w:val="center"/>
              <w:rPr>
                <w:rStyle w:val="60"/>
                <w:rFonts w:hint="eastAsia" w:hAnsi="宋体" w:cs="宋体"/>
                <w:b/>
                <w:sz w:val="21"/>
                <w:szCs w:val="21"/>
                <w:highlight w:val="none"/>
                <w:lang w:eastAsia="zh-CN" w:bidi="ar"/>
              </w:rPr>
            </w:pPr>
            <w:r>
              <w:rPr>
                <w:rFonts w:hint="eastAsia" w:ascii="宋体" w:hAnsi="宋体" w:cs="宋体"/>
                <w:b/>
                <w:bCs/>
                <w:color w:val="FF0000"/>
                <w:kern w:val="0"/>
                <w:sz w:val="20"/>
                <w:szCs w:val="20"/>
                <w:highlight w:val="none"/>
              </w:rPr>
              <w:t>【提供20</w:t>
            </w:r>
            <w:r>
              <w:rPr>
                <w:rFonts w:hint="eastAsia" w:ascii="宋体" w:hAnsi="宋体" w:cs="宋体"/>
                <w:b/>
                <w:bCs/>
                <w:color w:val="FF0000"/>
                <w:kern w:val="0"/>
                <w:sz w:val="20"/>
                <w:szCs w:val="20"/>
                <w:highlight w:val="none"/>
                <w:lang w:val="en-US" w:eastAsia="zh-CN"/>
              </w:rPr>
              <w:t>24</w:t>
            </w:r>
            <w:r>
              <w:rPr>
                <w:rFonts w:hint="eastAsia" w:ascii="宋体" w:hAnsi="宋体" w:cs="宋体"/>
                <w:b/>
                <w:bCs/>
                <w:color w:val="FF0000"/>
                <w:kern w:val="0"/>
                <w:sz w:val="20"/>
                <w:szCs w:val="20"/>
                <w:highlight w:val="none"/>
              </w:rPr>
              <w:t>年</w:t>
            </w:r>
            <w:r>
              <w:rPr>
                <w:rFonts w:hint="eastAsia" w:ascii="宋体" w:hAnsi="宋体" w:cs="宋体"/>
                <w:b/>
                <w:bCs/>
                <w:color w:val="FF0000"/>
                <w:kern w:val="0"/>
                <w:sz w:val="20"/>
                <w:szCs w:val="20"/>
                <w:highlight w:val="none"/>
                <w:lang w:val="en-US" w:eastAsia="zh-CN"/>
              </w:rPr>
              <w:t>6</w:t>
            </w:r>
            <w:r>
              <w:rPr>
                <w:rFonts w:hint="eastAsia" w:ascii="宋体" w:hAnsi="宋体" w:cs="宋体"/>
                <w:b/>
                <w:bCs/>
                <w:color w:val="FF0000"/>
                <w:kern w:val="0"/>
                <w:sz w:val="20"/>
                <w:szCs w:val="20"/>
                <w:highlight w:val="none"/>
              </w:rPr>
              <w:t>月1日起至本项目投标截止日止由第三方检测机构出具带有CMA标志的符合上述检测依据和检测内容及结论要求的原材料检测报告扫描件。并按要求提供“国家认证认可监督管理委员会”官方网站（http://www.cnca.gov.cn/）检测报告查询记录的截图，因该平台升级等原因导致无法查询的，则需提供通过检测机构官网、邮箱等可靠途径查询所提交检测报告具体内容的真实性的证明材料或者检测机构盖章的证明材料，证明该报告真实有效。】</w:t>
            </w:r>
            <w:r>
              <w:rPr>
                <w:rFonts w:hint="eastAsia" w:hAnsi="宋体" w:cs="宋体"/>
                <w:b/>
                <w:bCs/>
                <w:color w:val="FF0000"/>
                <w:kern w:val="0"/>
                <w:sz w:val="20"/>
                <w:szCs w:val="20"/>
                <w:highlight w:val="none"/>
                <w:lang w:eastAsia="zh-CN"/>
              </w:rPr>
              <w:t>，</w:t>
            </w:r>
            <w:r>
              <w:rPr>
                <w:rFonts w:hint="eastAsia" w:hAnsi="宋体" w:cs="宋体"/>
                <w:b/>
                <w:bCs/>
                <w:color w:val="FF0000"/>
                <w:kern w:val="0"/>
                <w:sz w:val="20"/>
                <w:szCs w:val="20"/>
                <w:highlight w:val="none"/>
                <w:lang w:val="en-US" w:eastAsia="zh-CN"/>
              </w:rPr>
              <w:t>注：</w:t>
            </w:r>
            <w:r>
              <w:rPr>
                <w:rStyle w:val="60"/>
                <w:rFonts w:hint="eastAsia" w:ascii="宋体" w:hAnsi="宋体" w:eastAsia="宋体" w:cs="宋体"/>
                <w:b/>
                <w:sz w:val="21"/>
                <w:szCs w:val="21"/>
                <w:highlight w:val="none"/>
                <w:lang w:bidi="ar"/>
              </w:rPr>
              <w:t>对应参数（检验检测项）在检验检测报告中进行标注</w:t>
            </w:r>
            <w:r>
              <w:rPr>
                <w:rStyle w:val="60"/>
                <w:rFonts w:hint="eastAsia" w:hAnsi="宋体" w:cs="宋体"/>
                <w:b/>
                <w:sz w:val="21"/>
                <w:szCs w:val="21"/>
                <w:highlight w:val="none"/>
                <w:lang w:eastAsia="zh-CN" w:bidi="ar"/>
              </w:rPr>
              <w:t>，</w:t>
            </w:r>
            <w:r>
              <w:rPr>
                <w:rStyle w:val="60"/>
                <w:rFonts w:hint="eastAsia" w:hAnsi="宋体" w:cs="宋体"/>
                <w:b/>
                <w:sz w:val="21"/>
                <w:szCs w:val="21"/>
                <w:highlight w:val="none"/>
                <w:lang w:val="en-US" w:eastAsia="zh-CN" w:bidi="ar"/>
              </w:rPr>
              <w:t>未标注不做扣分处理</w:t>
            </w:r>
            <w:r>
              <w:rPr>
                <w:rStyle w:val="60"/>
                <w:rFonts w:hint="eastAsia" w:hAnsi="宋体" w:cs="宋体"/>
                <w:b/>
                <w:sz w:val="21"/>
                <w:szCs w:val="21"/>
                <w:highlight w:val="none"/>
                <w:lang w:eastAsia="zh-CN" w:bidi="ar"/>
              </w:rPr>
              <w:t>。</w:t>
            </w:r>
          </w:p>
          <w:p w14:paraId="12A715E4">
            <w:pPr>
              <w:pStyle w:val="39"/>
              <w:rPr>
                <w:rFonts w:hint="eastAsia" w:ascii="宋体" w:hAnsi="宋体" w:cs="宋体"/>
                <w:b/>
                <w:bCs/>
                <w:color w:val="FF0000"/>
                <w:szCs w:val="21"/>
              </w:rPr>
            </w:pPr>
            <w:r>
              <w:rPr>
                <w:rFonts w:hint="eastAsia" w:ascii="宋体" w:hAnsi="宋体" w:eastAsia="宋体" w:cs="宋体"/>
                <w:b/>
                <w:bCs/>
                <w:color w:val="FF0000"/>
                <w:sz w:val="21"/>
                <w:szCs w:val="21"/>
              </w:rPr>
              <w:t>如检测报告需要分包的，则实施检测的分包机构需具有相应的CMA资质且分包检测项目应在该分包机构CMA资质许可范围内，投标人提供相关承诺函（格式自拟），否则不予得分。若分包检验项目不在该分包机构CMA资质许可范围内的，则该份检验（检测）报告不得分。</w:t>
            </w:r>
          </w:p>
          <w:p w14:paraId="7BDBB2ED">
            <w:pPr>
              <w:pStyle w:val="9"/>
              <w:rPr>
                <w:rFonts w:hint="eastAsia"/>
              </w:rPr>
            </w:pPr>
          </w:p>
        </w:tc>
      </w:tr>
      <w:tr w14:paraId="220E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03F825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03" w:type="dxa"/>
            <w:vMerge w:val="restart"/>
            <w:shd w:val="clear" w:color="auto" w:fill="auto"/>
            <w:vAlign w:val="center"/>
          </w:tcPr>
          <w:p w14:paraId="6D2278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书桌+书架2</w:t>
            </w:r>
          </w:p>
        </w:tc>
        <w:tc>
          <w:tcPr>
            <w:tcW w:w="8030" w:type="dxa"/>
            <w:shd w:val="clear" w:color="auto" w:fill="auto"/>
            <w:vAlign w:val="center"/>
          </w:tcPr>
          <w:p w14:paraId="6A4508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1.规格：长1000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宽600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高1800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46F3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5E11EFA0">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D2F9B20">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BB8B1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2.桌面：采用不小于25mm厚</w:t>
            </w:r>
            <w:r>
              <w:rPr>
                <w:rFonts w:hint="eastAsia" w:ascii="宋体" w:hAnsi="宋体" w:cs="宋体"/>
                <w:i w:val="0"/>
                <w:iCs w:val="0"/>
                <w:color w:val="000000"/>
                <w:kern w:val="0"/>
                <w:sz w:val="21"/>
                <w:szCs w:val="21"/>
                <w:u w:val="none"/>
                <w:lang w:val="en-US" w:eastAsia="zh-CN" w:bidi="ar"/>
              </w:rPr>
              <w:t>白蜡木实木制作</w:t>
            </w:r>
            <w:r>
              <w:rPr>
                <w:rFonts w:hint="eastAsia" w:ascii="宋体" w:hAnsi="宋体" w:cs="宋体"/>
                <w:color w:val="000000"/>
                <w:kern w:val="0"/>
                <w:szCs w:val="21"/>
              </w:rPr>
              <w:t>（非贴皮），采用白蜡木直拼木板工艺（不采用指接工艺），直拼板宽度≥</w:t>
            </w:r>
            <w:r>
              <w:rPr>
                <w:rFonts w:hint="eastAsia" w:ascii="宋体" w:hAnsi="宋体" w:cs="宋体"/>
                <w:color w:val="000000"/>
                <w:kern w:val="0"/>
                <w:szCs w:val="21"/>
                <w:lang w:val="en-US" w:eastAsia="zh-CN"/>
              </w:rPr>
              <w:t>6</w:t>
            </w:r>
            <w:r>
              <w:rPr>
                <w:rFonts w:hint="eastAsia" w:ascii="宋体" w:hAnsi="宋体" w:cs="宋体"/>
                <w:color w:val="000000"/>
                <w:kern w:val="0"/>
                <w:szCs w:val="21"/>
              </w:rPr>
              <w:t>0mm，长度不拼接，无任何人造板材；</w:t>
            </w:r>
            <w:r>
              <w:rPr>
                <w:rFonts w:hint="eastAsia" w:ascii="宋体" w:hAnsi="宋体" w:cs="宋体"/>
                <w:color w:val="000000"/>
                <w:kern w:val="0"/>
                <w:szCs w:val="21"/>
                <w:lang w:val="en-US" w:eastAsia="zh-CN"/>
              </w:rPr>
              <w:t>白蜡木</w:t>
            </w:r>
            <w:r>
              <w:rPr>
                <w:rFonts w:hint="eastAsia" w:ascii="宋体" w:hAnsi="宋体" w:cs="宋体"/>
                <w:color w:val="000000"/>
                <w:kern w:val="0"/>
                <w:szCs w:val="21"/>
              </w:rPr>
              <w:t>符合GB/T 4817-2019《阔叶树锯材》的“特等”要求</w:t>
            </w:r>
            <w:r>
              <w:rPr>
                <w:rFonts w:hint="eastAsia" w:ascii="宋体" w:hAnsi="宋体" w:cs="宋体"/>
                <w:color w:val="000000"/>
                <w:kern w:val="0"/>
                <w:szCs w:val="21"/>
                <w:lang w:eastAsia="zh-CN"/>
              </w:rPr>
              <w:t>；</w:t>
            </w:r>
            <w:r>
              <w:rPr>
                <w:rFonts w:hint="eastAsia" w:ascii="宋体" w:hAnsi="宋体" w:cs="宋体"/>
                <w:color w:val="000000"/>
                <w:kern w:val="0"/>
                <w:szCs w:val="21"/>
              </w:rPr>
              <w:t>边缘及边角需圆弧倒角处理，木材经防腐防虫防潮技术处理，木材四面刨光处理。木材外观、含水率GB/T 3324-2024标准要求。木材鉴定名称为白蜡木，木犀科</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color w:val="000000"/>
                <w:kern w:val="0"/>
                <w:szCs w:val="21"/>
                <w:u w:val="none"/>
                <w:lang w:bidi="ar"/>
              </w:rPr>
              <w:t>水性面漆：封闭漆/半开放工艺，采用3次底漆，2次面漆喷涂制作而成，</w:t>
            </w:r>
            <w:r>
              <w:rPr>
                <w:rFonts w:hint="eastAsia" w:ascii="宋体" w:hAnsi="宋体" w:eastAsia="宋体" w:cs="宋体"/>
                <w:i w:val="0"/>
                <w:iCs w:val="0"/>
                <w:color w:val="000000"/>
                <w:kern w:val="0"/>
                <w:sz w:val="21"/>
                <w:szCs w:val="21"/>
                <w:u w:val="none"/>
                <w:lang w:val="en-US" w:eastAsia="zh-CN" w:bidi="ar"/>
              </w:rPr>
              <w:t>环保性能应符合 GB/T 35602-2017《绿色产品评价 涂料》中品质属性要求。</w:t>
            </w:r>
          </w:p>
        </w:tc>
      </w:tr>
      <w:tr w14:paraId="431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38063D5A">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E4555E5">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230D65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3.副柜：采用不小于18mm厚E0级</w:t>
            </w:r>
            <w:r>
              <w:rPr>
                <w:rFonts w:hint="eastAsia"/>
              </w:rPr>
              <w:t>浸渍胶膜纸</w:t>
            </w:r>
            <w:r>
              <w:rPr>
                <w:rFonts w:hint="eastAsia" w:ascii="宋体" w:hAnsi="宋体" w:eastAsia="宋体" w:cs="宋体"/>
                <w:i w:val="0"/>
                <w:iCs w:val="0"/>
                <w:color w:val="000000"/>
                <w:kern w:val="0"/>
                <w:sz w:val="21"/>
                <w:szCs w:val="21"/>
                <w:u w:val="none"/>
                <w:lang w:val="en-US" w:eastAsia="zh-CN" w:bidi="ar"/>
              </w:rPr>
              <w:t>饰面</w:t>
            </w:r>
            <w:r>
              <w:rPr>
                <w:rFonts w:hint="eastAsia"/>
              </w:rPr>
              <w:t>实木多层板</w:t>
            </w:r>
            <w:r>
              <w:rPr>
                <w:rFonts w:hint="eastAsia" w:ascii="宋体" w:hAnsi="宋体" w:cs="宋体"/>
                <w:i w:val="0"/>
                <w:iCs w:val="0"/>
                <w:color w:val="000000"/>
                <w:kern w:val="0"/>
                <w:sz w:val="21"/>
                <w:szCs w:val="21"/>
                <w:u w:val="none"/>
                <w:lang w:val="en-US" w:eastAsia="zh-CN" w:bidi="ar"/>
              </w:rPr>
              <w:t>（胶合板）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≥1.0mm厚ABS</w:t>
            </w:r>
            <w:r>
              <w:rPr>
                <w:rFonts w:hint="eastAsia" w:ascii="宋体" w:hAnsi="宋体" w:eastAsia="宋体" w:cs="宋体"/>
                <w:i w:val="0"/>
                <w:iCs w:val="0"/>
                <w:color w:val="000000"/>
                <w:kern w:val="0"/>
                <w:sz w:val="21"/>
                <w:szCs w:val="21"/>
                <w:u w:val="none"/>
                <w:lang w:val="en-US" w:eastAsia="zh-CN" w:bidi="ar"/>
              </w:rPr>
              <w:t>封边，封边条</w:t>
            </w:r>
            <w:r>
              <w:rPr>
                <w:rFonts w:hint="eastAsia" w:ascii="宋体" w:hAnsi="宋体" w:cs="宋体"/>
                <w:i w:val="0"/>
                <w:iCs w:val="0"/>
                <w:color w:val="000000"/>
                <w:kern w:val="0"/>
                <w:sz w:val="21"/>
                <w:szCs w:val="21"/>
                <w:u w:val="none"/>
                <w:lang w:val="en-US" w:eastAsia="zh-CN" w:bidi="ar"/>
              </w:rPr>
              <w:t>依据</w:t>
            </w:r>
            <w:r>
              <w:rPr>
                <w:rFonts w:hint="eastAsia" w:ascii="宋体" w:hAnsi="宋体" w:eastAsia="宋体" w:cs="宋体"/>
                <w:i w:val="0"/>
                <w:iCs w:val="0"/>
                <w:color w:val="000000"/>
                <w:kern w:val="0"/>
                <w:sz w:val="21"/>
                <w:szCs w:val="21"/>
                <w:u w:val="none"/>
                <w:lang w:val="en-US" w:eastAsia="zh-CN" w:bidi="ar"/>
              </w:rPr>
              <w:t xml:space="preserve"> QB/T 4463-2025《家具用封边条》</w:t>
            </w:r>
            <w:r>
              <w:rPr>
                <w:rFonts w:hint="eastAsia" w:ascii="宋体" w:hAnsi="宋体" w:cs="宋体"/>
                <w:i w:val="0"/>
                <w:iCs w:val="0"/>
                <w:color w:val="000000"/>
                <w:kern w:val="0"/>
                <w:sz w:val="21"/>
                <w:szCs w:val="21"/>
                <w:u w:val="none"/>
                <w:lang w:val="en-US" w:eastAsia="zh-CN" w:bidi="ar"/>
              </w:rPr>
              <w:t>标准，</w:t>
            </w:r>
            <w:r>
              <w:rPr>
                <w:rFonts w:hint="eastAsia" w:ascii="宋体" w:hAnsi="宋体" w:eastAsia="宋体" w:cs="宋体"/>
                <w:i w:val="0"/>
                <w:iCs w:val="0"/>
                <w:color w:val="000000"/>
                <w:kern w:val="0"/>
                <w:sz w:val="21"/>
                <w:szCs w:val="21"/>
                <w:u w:val="none"/>
                <w:lang w:val="en-US" w:eastAsia="zh-CN" w:bidi="ar"/>
              </w:rPr>
              <w:t>耐干热性、耐磨性、耐龟裂性、耐冷热循性环均符合标准要求，甲醛释放量≤0.1mg/L，可迁移元素</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邻苯二甲酸酯（DBP、BBP、DEHP、DNOP、DINP和DIDP）的总量、多溴联苯（PBB）、多溴联苯醚(PBDE)均未检出的要求,氯乙烯单体未检出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一抽一柜格局，免拉手设计，采用缓冲门铰及阻尼导轨。</w:t>
            </w:r>
            <w:r>
              <w:rPr>
                <w:rFonts w:hint="eastAsia" w:ascii="宋体" w:hAnsi="宋体" w:cs="宋体"/>
                <w:i w:val="0"/>
                <w:iCs w:val="0"/>
                <w:color w:val="000000"/>
                <w:kern w:val="0"/>
                <w:sz w:val="21"/>
                <w:szCs w:val="21"/>
                <w:u w:val="none"/>
                <w:lang w:val="en-US" w:eastAsia="zh-CN" w:bidi="ar"/>
              </w:rPr>
              <w:t>导轨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钢材厚度≥1.2mm，质量</w:t>
            </w:r>
            <w:r>
              <w:rPr>
                <w:rFonts w:hint="eastAsia" w:ascii="宋体" w:hAnsi="宋体" w:cs="宋体"/>
                <w:i w:val="0"/>
                <w:iCs w:val="0"/>
                <w:color w:val="000000"/>
                <w:kern w:val="0"/>
                <w:sz w:val="21"/>
                <w:szCs w:val="21"/>
                <w:u w:val="none"/>
                <w:lang w:val="en-US" w:eastAsia="zh-CN" w:bidi="ar"/>
              </w:rPr>
              <w:t>符合</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QB/T 2454-2013《家具五金 抽屉导轨》商用型要求，耐久性8万次无损坏；门铰钢材厚度≥1.2mm，质量符合QB/T 2189-2013《家具五金 杯状暗铰链》商用型要求，耐久性8万次无损坏。配置4位数机械密码锁，采用锌合金锁芯，配置管理钥匙。</w:t>
            </w:r>
          </w:p>
        </w:tc>
      </w:tr>
      <w:tr w14:paraId="620D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7184F476">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CD19BD8">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73A14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4.书架：采用冷轧钢板，</w:t>
            </w:r>
            <w:r>
              <w:rPr>
                <w:rFonts w:hint="eastAsia" w:ascii="宋体" w:hAnsi="宋体" w:eastAsia="宋体" w:cs="宋体"/>
                <w:i w:val="0"/>
                <w:iCs w:val="0"/>
                <w:color w:val="auto"/>
                <w:kern w:val="0"/>
                <w:sz w:val="21"/>
                <w:szCs w:val="21"/>
                <w:u w:val="none"/>
                <w:lang w:val="en-US" w:eastAsia="zh-CN"/>
              </w:rPr>
              <w:t>柜体、层板、背板</w:t>
            </w:r>
            <w:r>
              <w:rPr>
                <w:rFonts w:hint="eastAsia" w:ascii="宋体" w:hAnsi="宋体" w:cs="宋体"/>
                <w:i w:val="0"/>
                <w:iCs w:val="0"/>
                <w:color w:val="auto"/>
                <w:kern w:val="0"/>
                <w:sz w:val="21"/>
                <w:szCs w:val="21"/>
                <w:u w:val="none"/>
                <w:lang w:val="en-US" w:eastAsia="zh-CN"/>
              </w:rPr>
              <w:t>的钢板</w:t>
            </w:r>
            <w:r>
              <w:rPr>
                <w:rFonts w:hint="eastAsia" w:ascii="宋体" w:hAnsi="宋体" w:eastAsia="宋体" w:cs="宋体"/>
                <w:i w:val="0"/>
                <w:iCs w:val="0"/>
                <w:color w:val="000000"/>
                <w:kern w:val="0"/>
                <w:sz w:val="21"/>
                <w:szCs w:val="21"/>
                <w:u w:val="none"/>
                <w:lang w:val="en-US" w:eastAsia="zh-CN" w:bidi="ar"/>
              </w:rPr>
              <w:t>厚度不小于</w:t>
            </w: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mm，表面经粉末涂料塑粉处理，美观耐用防腐蚀。</w:t>
            </w:r>
            <w:r>
              <w:rPr>
                <w:rFonts w:hint="eastAsia" w:ascii="宋体" w:hAnsi="宋体" w:cs="宋体"/>
                <w:i w:val="0"/>
                <w:iCs w:val="0"/>
                <w:color w:val="000000"/>
                <w:kern w:val="0"/>
                <w:sz w:val="21"/>
                <w:szCs w:val="21"/>
                <w:u w:val="none"/>
                <w:lang w:val="en-US" w:eastAsia="zh-CN" w:bidi="ar"/>
              </w:rPr>
              <w:t>功能及结构根据采购方需求深化设计。</w:t>
            </w:r>
          </w:p>
        </w:tc>
      </w:tr>
      <w:tr w14:paraId="4FC8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A7718D8">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0F0682F">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7A7241EE">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5.配置led阅读灯，</w:t>
            </w:r>
            <w:r>
              <w:rPr>
                <w:rFonts w:hint="eastAsia" w:ascii="宋体" w:hAnsi="宋体" w:cs="宋体"/>
                <w:szCs w:val="21"/>
              </w:rPr>
              <w:t>色温：可调色温，3000\4000\5000K，</w:t>
            </w:r>
            <w:r>
              <w:rPr>
                <w:rFonts w:hint="eastAsia" w:ascii="宋体" w:hAnsi="宋体" w:cs="宋体"/>
                <w:szCs w:val="21"/>
                <w:lang w:val="en-US" w:eastAsia="zh-CN"/>
              </w:rPr>
              <w:t>功率≥10W</w:t>
            </w:r>
            <w:r>
              <w:rPr>
                <w:rFonts w:hint="eastAsia" w:ascii="宋体" w:hAnsi="宋体" w:cs="宋体"/>
                <w:szCs w:val="21"/>
              </w:rPr>
              <w:t>。无频闪、可调光、可调色、无蓝光危害、具有防眩面罩。</w:t>
            </w:r>
            <w:r>
              <w:rPr>
                <w:rFonts w:hint="eastAsia" w:ascii="宋体" w:hAnsi="宋体" w:cs="宋体"/>
                <w:szCs w:val="21"/>
                <w:lang w:val="en-US" w:eastAsia="zh-CN"/>
              </w:rPr>
              <w:t>固定式与活动式根据采购方需求选定。配置集成插座（含不少于3个五孔插座），内嵌式或台面安装式，结合现场及采购方需求选定。</w:t>
            </w:r>
          </w:p>
        </w:tc>
      </w:tr>
      <w:tr w14:paraId="609C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3458A81">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6EEBF7BE">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4843355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6.书桌底架采用不低于25mm×25mm×1.2mm钢管，</w:t>
            </w:r>
            <w:r>
              <w:rPr>
                <w:rFonts w:hint="eastAsia" w:ascii="宋体" w:hAnsi="宋体" w:cs="宋体"/>
                <w:color w:val="000000" w:themeColor="text1"/>
                <w:szCs w:val="21"/>
                <w14:textFill>
                  <w14:solidFill>
                    <w14:schemeClr w14:val="tx1"/>
                  </w14:solidFill>
                </w14:textFill>
              </w:rPr>
              <w:t>表面焊接口平衡光滑，表面经除油，酸洗去锈、磷化，环氧树脂静电粉末高温固化而成。脚架底部配有</w:t>
            </w:r>
            <w:r>
              <w:rPr>
                <w:rFonts w:hint="eastAsia" w:ascii="宋体" w:hAnsi="宋体" w:cs="宋体"/>
                <w:color w:val="000000" w:themeColor="text1"/>
                <w:szCs w:val="21"/>
                <w:lang w:val="en-US" w:eastAsia="zh-CN"/>
                <w14:textFill>
                  <w14:solidFill>
                    <w14:schemeClr w14:val="tx1"/>
                  </w14:solidFill>
                </w14:textFill>
              </w:rPr>
              <w:t>调节</w:t>
            </w:r>
            <w:r>
              <w:rPr>
                <w:rFonts w:hint="eastAsia" w:ascii="宋体" w:hAnsi="宋体" w:cs="宋体"/>
                <w:color w:val="000000" w:themeColor="text1"/>
                <w:szCs w:val="21"/>
                <w14:textFill>
                  <w14:solidFill>
                    <w14:schemeClr w14:val="tx1"/>
                  </w14:solidFill>
                </w14:textFill>
              </w:rPr>
              <w:t>脚垫。</w:t>
            </w:r>
          </w:p>
        </w:tc>
      </w:tr>
      <w:tr w14:paraId="015D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456A3B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03" w:type="dxa"/>
            <w:vMerge w:val="restart"/>
            <w:shd w:val="clear" w:color="auto" w:fill="auto"/>
            <w:vAlign w:val="center"/>
          </w:tcPr>
          <w:p w14:paraId="2CE1AF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书桌+书架(加长)</w:t>
            </w:r>
          </w:p>
        </w:tc>
        <w:tc>
          <w:tcPr>
            <w:tcW w:w="8030" w:type="dxa"/>
            <w:shd w:val="clear" w:color="auto" w:fill="auto"/>
            <w:vAlign w:val="center"/>
          </w:tcPr>
          <w:p w14:paraId="066D08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1.规格：长1300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宽600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高1800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5D51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571E2B46">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CA8AA7D">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2DACCF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2.桌面：采用不小于25mm厚</w:t>
            </w:r>
            <w:r>
              <w:rPr>
                <w:rFonts w:hint="eastAsia" w:ascii="宋体" w:hAnsi="宋体" w:cs="宋体"/>
                <w:i w:val="0"/>
                <w:iCs w:val="0"/>
                <w:color w:val="000000"/>
                <w:kern w:val="0"/>
                <w:sz w:val="21"/>
                <w:szCs w:val="21"/>
                <w:u w:val="none"/>
                <w:lang w:val="en-US" w:eastAsia="zh-CN" w:bidi="ar"/>
              </w:rPr>
              <w:t>白蜡木实木制作</w:t>
            </w:r>
            <w:r>
              <w:rPr>
                <w:rFonts w:hint="eastAsia" w:ascii="宋体" w:hAnsi="宋体" w:cs="宋体"/>
                <w:color w:val="000000"/>
                <w:kern w:val="0"/>
                <w:szCs w:val="21"/>
              </w:rPr>
              <w:t>（非贴皮），采用白蜡木直拼木板工艺（不采用指接工艺），直拼板宽度≥</w:t>
            </w:r>
            <w:r>
              <w:rPr>
                <w:rFonts w:hint="eastAsia" w:ascii="宋体" w:hAnsi="宋体" w:cs="宋体"/>
                <w:color w:val="000000"/>
                <w:kern w:val="0"/>
                <w:szCs w:val="21"/>
                <w:lang w:val="en-US" w:eastAsia="zh-CN"/>
              </w:rPr>
              <w:t>6</w:t>
            </w:r>
            <w:r>
              <w:rPr>
                <w:rFonts w:hint="eastAsia" w:ascii="宋体" w:hAnsi="宋体" w:cs="宋体"/>
                <w:color w:val="000000"/>
                <w:kern w:val="0"/>
                <w:szCs w:val="21"/>
              </w:rPr>
              <w:t>0mm，长度不拼接，无任何人造板材；</w:t>
            </w:r>
            <w:r>
              <w:rPr>
                <w:rFonts w:hint="eastAsia" w:ascii="宋体" w:hAnsi="宋体" w:cs="宋体"/>
                <w:color w:val="000000"/>
                <w:kern w:val="0"/>
                <w:szCs w:val="21"/>
                <w:lang w:val="en-US" w:eastAsia="zh-CN"/>
              </w:rPr>
              <w:t>白蜡木</w:t>
            </w:r>
            <w:r>
              <w:rPr>
                <w:rFonts w:hint="eastAsia" w:ascii="宋体" w:hAnsi="宋体" w:cs="宋体"/>
                <w:color w:val="000000"/>
                <w:kern w:val="0"/>
                <w:szCs w:val="21"/>
              </w:rPr>
              <w:t>符合GB/T 4817-2019《阔叶树锯材》的“特等”要求</w:t>
            </w:r>
            <w:r>
              <w:rPr>
                <w:rFonts w:hint="eastAsia" w:ascii="宋体" w:hAnsi="宋体" w:cs="宋体"/>
                <w:color w:val="000000"/>
                <w:kern w:val="0"/>
                <w:szCs w:val="21"/>
                <w:lang w:eastAsia="zh-CN"/>
              </w:rPr>
              <w:t>；</w:t>
            </w:r>
            <w:r>
              <w:rPr>
                <w:rFonts w:hint="eastAsia" w:ascii="宋体" w:hAnsi="宋体" w:cs="宋体"/>
                <w:color w:val="000000"/>
                <w:kern w:val="0"/>
                <w:szCs w:val="21"/>
              </w:rPr>
              <w:t>边缘及边角需圆弧倒角处理，木材经防腐防虫防潮技术处理，木材四面刨光处理。木材外观、含水率GB/T 3324-2024标准要求。木材鉴定名称为蜡木，木犀科</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color w:val="000000"/>
                <w:kern w:val="0"/>
                <w:szCs w:val="21"/>
                <w:u w:val="none"/>
                <w:lang w:bidi="ar"/>
              </w:rPr>
              <w:t>水性面漆：封闭漆/半开放工艺，采用3次底漆，2次面漆喷涂制作而成，</w:t>
            </w:r>
            <w:r>
              <w:rPr>
                <w:rFonts w:hint="eastAsia" w:ascii="宋体" w:hAnsi="宋体" w:eastAsia="宋体" w:cs="宋体"/>
                <w:i w:val="0"/>
                <w:iCs w:val="0"/>
                <w:color w:val="000000"/>
                <w:kern w:val="0"/>
                <w:sz w:val="21"/>
                <w:szCs w:val="21"/>
                <w:u w:val="none"/>
                <w:lang w:val="en-US" w:eastAsia="zh-CN" w:bidi="ar"/>
              </w:rPr>
              <w:t>环保性能应符合 GB/T 35602-2017《绿色产品评价 涂料》中品质属性要求。</w:t>
            </w:r>
          </w:p>
        </w:tc>
      </w:tr>
      <w:tr w14:paraId="526B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75D0ED05">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12057B66">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27FD41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3.副柜：采用不小于18mm厚E0级</w:t>
            </w:r>
            <w:r>
              <w:rPr>
                <w:rFonts w:hint="eastAsia"/>
              </w:rPr>
              <w:t>浸渍胶膜纸</w:t>
            </w:r>
            <w:r>
              <w:rPr>
                <w:rFonts w:hint="eastAsia" w:ascii="宋体" w:hAnsi="宋体" w:eastAsia="宋体" w:cs="宋体"/>
                <w:i w:val="0"/>
                <w:iCs w:val="0"/>
                <w:color w:val="000000"/>
                <w:kern w:val="0"/>
                <w:sz w:val="21"/>
                <w:szCs w:val="21"/>
                <w:u w:val="none"/>
                <w:lang w:val="en-US" w:eastAsia="zh-CN" w:bidi="ar"/>
              </w:rPr>
              <w:t>饰面</w:t>
            </w:r>
            <w:r>
              <w:rPr>
                <w:rFonts w:hint="eastAsia"/>
              </w:rPr>
              <w:t>实木多层板</w:t>
            </w:r>
            <w:r>
              <w:rPr>
                <w:rFonts w:hint="eastAsia" w:ascii="宋体" w:hAnsi="宋体" w:cs="宋体"/>
                <w:i w:val="0"/>
                <w:iCs w:val="0"/>
                <w:color w:val="000000"/>
                <w:kern w:val="0"/>
                <w:sz w:val="21"/>
                <w:szCs w:val="21"/>
                <w:u w:val="none"/>
                <w:lang w:val="en-US" w:eastAsia="zh-CN" w:bidi="ar"/>
              </w:rPr>
              <w:t>（胶合板）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ABS</w:t>
            </w:r>
            <w:r>
              <w:rPr>
                <w:rFonts w:hint="eastAsia" w:ascii="宋体" w:hAnsi="宋体" w:eastAsia="宋体" w:cs="宋体"/>
                <w:i w:val="0"/>
                <w:iCs w:val="0"/>
                <w:color w:val="000000"/>
                <w:kern w:val="0"/>
                <w:sz w:val="21"/>
                <w:szCs w:val="21"/>
                <w:u w:val="none"/>
                <w:lang w:val="en-US" w:eastAsia="zh-CN" w:bidi="ar"/>
              </w:rPr>
              <w:t>封边，封边条</w:t>
            </w:r>
            <w:r>
              <w:rPr>
                <w:rFonts w:hint="eastAsia" w:ascii="宋体" w:hAnsi="宋体" w:cs="宋体"/>
                <w:i w:val="0"/>
                <w:iCs w:val="0"/>
                <w:color w:val="000000"/>
                <w:kern w:val="0"/>
                <w:sz w:val="21"/>
                <w:szCs w:val="21"/>
                <w:u w:val="none"/>
                <w:lang w:val="en-US" w:eastAsia="zh-CN" w:bidi="ar"/>
              </w:rPr>
              <w:t>依据</w:t>
            </w:r>
            <w:r>
              <w:rPr>
                <w:rFonts w:hint="eastAsia" w:ascii="宋体" w:hAnsi="宋体" w:eastAsia="宋体" w:cs="宋体"/>
                <w:i w:val="0"/>
                <w:iCs w:val="0"/>
                <w:color w:val="000000"/>
                <w:kern w:val="0"/>
                <w:sz w:val="21"/>
                <w:szCs w:val="21"/>
                <w:u w:val="none"/>
                <w:lang w:val="en-US" w:eastAsia="zh-CN" w:bidi="ar"/>
              </w:rPr>
              <w:t xml:space="preserve"> QB/T 4463-2025《家具用封边条》</w:t>
            </w:r>
            <w:r>
              <w:rPr>
                <w:rFonts w:hint="eastAsia" w:ascii="宋体" w:hAnsi="宋体" w:cs="宋体"/>
                <w:i w:val="0"/>
                <w:iCs w:val="0"/>
                <w:color w:val="000000"/>
                <w:kern w:val="0"/>
                <w:sz w:val="21"/>
                <w:szCs w:val="21"/>
                <w:u w:val="none"/>
                <w:lang w:val="en-US" w:eastAsia="zh-CN" w:bidi="ar"/>
              </w:rPr>
              <w:t>标准，</w:t>
            </w:r>
            <w:r>
              <w:rPr>
                <w:rFonts w:hint="eastAsia" w:ascii="宋体" w:hAnsi="宋体" w:eastAsia="宋体" w:cs="宋体"/>
                <w:i w:val="0"/>
                <w:iCs w:val="0"/>
                <w:color w:val="000000"/>
                <w:kern w:val="0"/>
                <w:sz w:val="21"/>
                <w:szCs w:val="21"/>
                <w:u w:val="none"/>
                <w:lang w:val="en-US" w:eastAsia="zh-CN" w:bidi="ar"/>
              </w:rPr>
              <w:t>耐干热性、耐磨性、耐龟裂性、耐冷热循性环均符合标准要求，甲醛释放量≤0.1mg/L，可迁移元素</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邻苯二甲酸酯（DBP、BBP、DEHP、DNOP、DINP和DIDP）的总量、多溴联苯（PBB）、多溴联苯醚(PBDE)均未检出的要求,氯乙烯单体未检出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一抽一柜格局，免拉手设计，采用缓冲门铰及阻尼导轨。</w:t>
            </w:r>
            <w:r>
              <w:rPr>
                <w:rFonts w:hint="eastAsia" w:ascii="宋体" w:hAnsi="宋体" w:cs="宋体"/>
                <w:i w:val="0"/>
                <w:iCs w:val="0"/>
                <w:color w:val="000000"/>
                <w:kern w:val="0"/>
                <w:sz w:val="21"/>
                <w:szCs w:val="21"/>
                <w:u w:val="none"/>
                <w:lang w:val="en-US" w:eastAsia="zh-CN" w:bidi="ar"/>
              </w:rPr>
              <w:t>导轨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钢材厚度≥1.2mm，质量</w:t>
            </w:r>
            <w:r>
              <w:rPr>
                <w:rFonts w:hint="eastAsia" w:ascii="宋体" w:hAnsi="宋体" w:cs="宋体"/>
                <w:i w:val="0"/>
                <w:iCs w:val="0"/>
                <w:color w:val="000000"/>
                <w:kern w:val="0"/>
                <w:sz w:val="21"/>
                <w:szCs w:val="21"/>
                <w:u w:val="none"/>
                <w:lang w:val="en-US" w:eastAsia="zh-CN" w:bidi="ar"/>
              </w:rPr>
              <w:t>符合</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QB/T 2454-2013《家具五金 抽屉导轨》商用型要求，耐久性8万次无损坏；门铰钢材厚度≥1.2mm，质量符合QB/T 2189-2013《家具五金 杯状暗铰链》商用型要求，耐久性8万次无损坏。配置4位数机械密码锁，采用锌合金锁芯，配置管理钥匙。</w:t>
            </w:r>
          </w:p>
        </w:tc>
      </w:tr>
      <w:tr w14:paraId="2FA1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7B611F51">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8E391F3">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203B95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4.书架：采用冷轧钢板，厚度不小于</w:t>
            </w: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mm，表面经粉末涂料塑粉处理，美观耐用防腐蚀。</w:t>
            </w:r>
            <w:r>
              <w:rPr>
                <w:rFonts w:hint="eastAsia" w:ascii="宋体" w:hAnsi="宋体" w:cs="宋体"/>
                <w:i w:val="0"/>
                <w:iCs w:val="0"/>
                <w:color w:val="000000"/>
                <w:kern w:val="0"/>
                <w:sz w:val="21"/>
                <w:szCs w:val="21"/>
                <w:u w:val="none"/>
                <w:lang w:val="en-US" w:eastAsia="zh-CN" w:bidi="ar"/>
              </w:rPr>
              <w:t>功能及结构根据采购方需求深化设计。</w:t>
            </w:r>
          </w:p>
        </w:tc>
      </w:tr>
      <w:tr w14:paraId="0796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7C681B80">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0B87CB9">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64EF877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5.配置led阅读灯，</w:t>
            </w:r>
            <w:r>
              <w:rPr>
                <w:rFonts w:hint="eastAsia" w:ascii="宋体" w:hAnsi="宋体" w:cs="宋体"/>
                <w:szCs w:val="21"/>
              </w:rPr>
              <w:t>色温：可调色温，3000\4000\5000K，</w:t>
            </w:r>
            <w:r>
              <w:rPr>
                <w:rFonts w:hint="eastAsia" w:ascii="宋体" w:hAnsi="宋体" w:cs="宋体"/>
                <w:szCs w:val="21"/>
                <w:lang w:val="en-US" w:eastAsia="zh-CN"/>
              </w:rPr>
              <w:t>功率≥10W</w:t>
            </w:r>
            <w:r>
              <w:rPr>
                <w:rFonts w:hint="eastAsia" w:ascii="宋体" w:hAnsi="宋体" w:cs="宋体"/>
                <w:szCs w:val="21"/>
              </w:rPr>
              <w:t>。无频闪、可调光、可调色、无蓝光危害、具有防眩面罩。</w:t>
            </w:r>
            <w:r>
              <w:rPr>
                <w:rFonts w:hint="eastAsia" w:ascii="宋体" w:hAnsi="宋体" w:cs="宋体"/>
                <w:szCs w:val="21"/>
                <w:lang w:val="en-US" w:eastAsia="zh-CN"/>
              </w:rPr>
              <w:t>固定式与活动式根据采购方需求选定。</w:t>
            </w:r>
          </w:p>
        </w:tc>
      </w:tr>
      <w:tr w14:paraId="3115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73F01A7E">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ADD220C">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2E027FF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6.书桌底架采用不低于25mm×25mm×1.2mm钢管，</w:t>
            </w:r>
            <w:r>
              <w:rPr>
                <w:rFonts w:hint="eastAsia" w:ascii="宋体" w:hAnsi="宋体" w:cs="宋体"/>
                <w:color w:val="000000" w:themeColor="text1"/>
                <w:szCs w:val="21"/>
                <w14:textFill>
                  <w14:solidFill>
                    <w14:schemeClr w14:val="tx1"/>
                  </w14:solidFill>
                </w14:textFill>
              </w:rPr>
              <w:t>表面焊接口平衡光滑，表面经除油，酸洗去锈、磷化，环氧树脂静电粉末高温固化而成。脚架底部配有</w:t>
            </w:r>
            <w:r>
              <w:rPr>
                <w:rFonts w:hint="eastAsia" w:ascii="宋体" w:hAnsi="宋体" w:cs="宋体"/>
                <w:color w:val="000000" w:themeColor="text1"/>
                <w:szCs w:val="21"/>
                <w:lang w:val="en-US" w:eastAsia="zh-CN"/>
                <w14:textFill>
                  <w14:solidFill>
                    <w14:schemeClr w14:val="tx1"/>
                  </w14:solidFill>
                </w14:textFill>
              </w:rPr>
              <w:t>调节</w:t>
            </w:r>
            <w:r>
              <w:rPr>
                <w:rFonts w:hint="eastAsia" w:ascii="宋体" w:hAnsi="宋体" w:cs="宋体"/>
                <w:color w:val="000000" w:themeColor="text1"/>
                <w:szCs w:val="21"/>
                <w14:textFill>
                  <w14:solidFill>
                    <w14:schemeClr w14:val="tx1"/>
                  </w14:solidFill>
                </w14:textFill>
              </w:rPr>
              <w:t>脚垫。</w:t>
            </w:r>
          </w:p>
        </w:tc>
      </w:tr>
      <w:tr w14:paraId="640B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dxa"/>
            <w:vMerge w:val="restart"/>
            <w:shd w:val="clear" w:color="auto" w:fill="auto"/>
            <w:vAlign w:val="center"/>
          </w:tcPr>
          <w:p w14:paraId="3481E6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03" w:type="dxa"/>
            <w:vMerge w:val="restart"/>
            <w:shd w:val="clear" w:color="auto" w:fill="auto"/>
            <w:vAlign w:val="center"/>
          </w:tcPr>
          <w:p w14:paraId="2E7F67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椅子1</w:t>
            </w:r>
          </w:p>
        </w:tc>
        <w:tc>
          <w:tcPr>
            <w:tcW w:w="8030" w:type="dxa"/>
            <w:shd w:val="clear" w:color="auto" w:fill="auto"/>
            <w:vAlign w:val="center"/>
          </w:tcPr>
          <w:p w14:paraId="6CA04E2B">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规格：</w:t>
            </w:r>
            <w:r>
              <w:rPr>
                <w:rFonts w:hint="eastAsia" w:ascii="宋体" w:hAnsi="宋体" w:eastAsia="宋体" w:cs="宋体"/>
                <w:i w:val="0"/>
                <w:iCs w:val="0"/>
                <w:color w:val="000000"/>
                <w:kern w:val="0"/>
                <w:sz w:val="20"/>
                <w:szCs w:val="20"/>
                <w:highlight w:val="none"/>
                <w:u w:val="none"/>
                <w:lang w:val="en-US" w:eastAsia="zh-CN" w:bidi="ar"/>
              </w:rPr>
              <w:t>W560*D590*H780（±5mm)</w:t>
            </w:r>
          </w:p>
        </w:tc>
      </w:tr>
      <w:tr w14:paraId="174B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2AC85722">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4DFC816F">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D4A85D2">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2、座面与椅背框架：一体注塑成型，</w:t>
            </w:r>
            <w:r>
              <w:rPr>
                <w:rFonts w:hint="eastAsia" w:ascii="宋体" w:hAnsi="宋体" w:cs="宋体"/>
                <w:i w:val="0"/>
                <w:iCs w:val="0"/>
                <w:color w:val="000000"/>
                <w:kern w:val="0"/>
                <w:sz w:val="21"/>
                <w:szCs w:val="21"/>
                <w:highlight w:val="none"/>
                <w:u w:val="none"/>
                <w:lang w:val="en-US" w:eastAsia="zh-CN" w:bidi="ar"/>
              </w:rPr>
              <w:t>颜色可选，</w:t>
            </w:r>
            <w:r>
              <w:rPr>
                <w:rFonts w:hint="eastAsia" w:ascii="宋体" w:hAnsi="宋体" w:eastAsia="宋体" w:cs="宋体"/>
                <w:i w:val="0"/>
                <w:iCs w:val="0"/>
                <w:color w:val="000000"/>
                <w:kern w:val="0"/>
                <w:sz w:val="21"/>
                <w:szCs w:val="21"/>
                <w:highlight w:val="none"/>
                <w:u w:val="none"/>
                <w:lang w:val="en-US" w:eastAsia="zh-CN" w:bidi="ar"/>
              </w:rPr>
              <w:t>坐面和椅背中间连接部分无拼接。椅背顶端采用向后折弯设计，折弯部分为20-40mm,座面前端采用向下弧形设计。</w:t>
            </w:r>
          </w:p>
        </w:tc>
      </w:tr>
      <w:tr w14:paraId="4BE7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654" w:type="dxa"/>
            <w:vMerge w:val="continue"/>
            <w:shd w:val="clear" w:color="auto" w:fill="auto"/>
            <w:vAlign w:val="center"/>
          </w:tcPr>
          <w:p w14:paraId="38416461">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2BFB1D2A">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EEFF4A0">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3、椅背最宽处＜500mm，椅背最窄处＞450mm，椅座最宽处＜500mm，椅座最窄处＞450mm。椅背最下端与椅座最后端留长度420mm（±10mm)、高度≥40mm的镂空设计，坐垫和椅背更好的压制成符合人体工学的形状。</w:t>
            </w:r>
          </w:p>
        </w:tc>
      </w:tr>
      <w:tr w14:paraId="6498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Merge w:val="continue"/>
            <w:shd w:val="clear" w:color="auto" w:fill="auto"/>
            <w:vAlign w:val="center"/>
          </w:tcPr>
          <w:p w14:paraId="0E8B546C">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67E112D">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41D3EC3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钢管脚：钢制椅架采用实心钢制弯管脚架，实心钢管直径12mm（±1mm)，表面喷涂。椅架前端增加横梁，横梁离地高度270mm（±10mm)，横梁内凹造型。钢制椅架与坐垫通过螺丝连接，同时后端插入椅背两端，增加椅背强度。底部带脚垫。</w:t>
            </w:r>
          </w:p>
        </w:tc>
      </w:tr>
      <w:tr w14:paraId="25E4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654" w:type="dxa"/>
            <w:vMerge w:val="continue"/>
            <w:shd w:val="clear" w:color="auto" w:fill="auto"/>
            <w:vAlign w:val="center"/>
          </w:tcPr>
          <w:p w14:paraId="179B71D8">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1A93755F">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B39F8B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结构功能：座椅无扶手，可纵向堆叠，坐垫底部配四个防刮花胶塞，胶塞高度≥12mm。</w:t>
            </w:r>
          </w:p>
        </w:tc>
      </w:tr>
      <w:tr w14:paraId="4B69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3C5C2F6B">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5823F52">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870F7F9">
            <w:pPr>
              <w:keepNext w:val="0"/>
              <w:keepLines w:val="0"/>
              <w:widowControl/>
              <w:suppressLineNumbers w:val="0"/>
              <w:jc w:val="left"/>
              <w:textAlignment w:val="center"/>
              <w:rPr>
                <w:rFonts w:hint="eastAsia" w:ascii="宋体" w:hAnsi="宋体" w:cs="宋体"/>
                <w:b/>
                <w:bCs/>
                <w:color w:val="FF0000"/>
                <w:kern w:val="0"/>
                <w:szCs w:val="21"/>
                <w:lang w:eastAsia="zh-CN"/>
              </w:rPr>
            </w:pPr>
            <w:r>
              <w:rPr>
                <w:rFonts w:hint="eastAsia" w:ascii="宋体" w:hAnsi="宋体" w:cs="宋体"/>
                <w:i w:val="0"/>
                <w:iCs w:val="0"/>
                <w:color w:val="FF0000"/>
                <w:kern w:val="0"/>
                <w:sz w:val="21"/>
                <w:szCs w:val="21"/>
                <w:u w:val="none"/>
                <w:lang w:val="en-US" w:eastAsia="zh-CN" w:bidi="ar"/>
              </w:rPr>
              <w:t>6</w:t>
            </w:r>
            <w:r>
              <w:rPr>
                <w:rFonts w:hint="eastAsia" w:ascii="宋体" w:hAnsi="宋体" w:eastAsia="宋体" w:cs="宋体"/>
                <w:i w:val="0"/>
                <w:iCs w:val="0"/>
                <w:color w:val="FF0000"/>
                <w:kern w:val="0"/>
                <w:sz w:val="21"/>
                <w:szCs w:val="21"/>
                <w:u w:val="none"/>
                <w:lang w:val="en-US" w:eastAsia="zh-CN" w:bidi="ar"/>
              </w:rPr>
              <w:t>.▲</w:t>
            </w:r>
            <w:r>
              <w:rPr>
                <w:rFonts w:hint="eastAsia" w:ascii="宋体" w:hAnsi="宋体" w:cs="宋体"/>
                <w:b/>
                <w:bCs/>
                <w:color w:val="FF0000"/>
                <w:kern w:val="0"/>
                <w:szCs w:val="21"/>
                <w:lang w:val="en-US" w:eastAsia="zh-CN"/>
              </w:rPr>
              <w:t>椅子</w:t>
            </w:r>
          </w:p>
          <w:p w14:paraId="5F56B0FB">
            <w:pPr>
              <w:rPr>
                <w:rFonts w:hint="default" w:ascii="宋体" w:hAnsi="宋体" w:eastAsia="宋体" w:cs="宋体"/>
                <w:b w:val="0"/>
                <w:bCs w:val="0"/>
                <w:color w:val="FF0000"/>
                <w:kern w:val="0"/>
                <w:szCs w:val="21"/>
                <w:lang w:val="en-US" w:eastAsia="zh-CN"/>
              </w:rPr>
            </w:pPr>
            <w:r>
              <w:rPr>
                <w:rFonts w:hint="eastAsia" w:ascii="宋体" w:hAnsi="宋体" w:cs="宋体"/>
                <w:b w:val="0"/>
                <w:bCs w:val="0"/>
                <w:color w:val="FF0000"/>
                <w:kern w:val="0"/>
                <w:szCs w:val="21"/>
                <w:lang w:val="en-US" w:eastAsia="zh-CN"/>
              </w:rPr>
              <w:t>①</w:t>
            </w:r>
            <w:r>
              <w:rPr>
                <w:rFonts w:hint="eastAsia" w:ascii="宋体" w:hAnsi="宋体" w:cs="宋体"/>
                <w:color w:val="FF0000"/>
                <w:kern w:val="0"/>
                <w:szCs w:val="21"/>
                <w:u w:val="none"/>
                <w:lang w:val="en-US" w:eastAsia="zh-CN" w:bidi="ar"/>
              </w:rPr>
              <w:t>检测依据</w:t>
            </w:r>
            <w:r>
              <w:rPr>
                <w:rFonts w:hint="eastAsia" w:ascii="宋体" w:hAnsi="宋体" w:cs="宋体"/>
                <w:b w:val="0"/>
                <w:bCs w:val="0"/>
                <w:color w:val="FF0000"/>
                <w:kern w:val="0"/>
                <w:szCs w:val="21"/>
              </w:rPr>
              <w:t>GB/T 3325-2024</w:t>
            </w:r>
            <w:r>
              <w:rPr>
                <w:rFonts w:hint="eastAsia" w:ascii="宋体" w:hAnsi="宋体" w:eastAsia="宋体" w:cs="宋体"/>
                <w:color w:val="FF0000"/>
                <w:kern w:val="0"/>
                <w:szCs w:val="21"/>
                <w:u w:val="none"/>
                <w:lang w:bidi="ar"/>
              </w:rPr>
              <w:t>《金属家具通用技术条件》</w:t>
            </w:r>
            <w:r>
              <w:rPr>
                <w:rFonts w:hint="eastAsia" w:ascii="宋体" w:hAnsi="宋体" w:cs="宋体"/>
                <w:color w:val="FF0000"/>
                <w:kern w:val="0"/>
                <w:szCs w:val="21"/>
                <w:u w:val="none"/>
                <w:lang w:eastAsia="zh-CN" w:bidi="ar"/>
              </w:rPr>
              <w:t>。</w:t>
            </w:r>
            <w:r>
              <w:rPr>
                <w:rFonts w:hint="eastAsia" w:ascii="宋体" w:hAnsi="宋体" w:cs="宋体"/>
                <w:color w:val="FF0000"/>
                <w:kern w:val="0"/>
                <w:szCs w:val="21"/>
                <w:u w:val="none"/>
                <w:lang w:val="en-US" w:eastAsia="zh-CN" w:bidi="ar"/>
              </w:rPr>
              <w:t>检测要求：</w:t>
            </w:r>
            <w:r>
              <w:rPr>
                <w:rFonts w:hint="eastAsia" w:ascii="宋体" w:hAnsi="宋体" w:cs="宋体"/>
                <w:b w:val="0"/>
                <w:bCs w:val="0"/>
                <w:color w:val="FF0000"/>
                <w:kern w:val="0"/>
                <w:szCs w:val="21"/>
              </w:rPr>
              <w:t>外观性能金属件喷漆（塑）涂层合格；产品表面理化性能金属喷漆（塑）涂层（硬度、冲击强度、耐盐浴≥100h合格；附着力为0级）；座面和椅背静载荷试验、椅凳腿前向静载荷试验、椅凳腿侧向静载荷试验、座面冲击试验、椅背和凳类冲击试验，</w:t>
            </w:r>
            <w:r>
              <w:rPr>
                <w:rFonts w:hint="eastAsia" w:ascii="宋体" w:hAnsi="宋体" w:cs="宋体"/>
                <w:b w:val="0"/>
                <w:bCs w:val="0"/>
                <w:color w:val="FF0000"/>
                <w:kern w:val="0"/>
                <w:szCs w:val="21"/>
                <w:lang w:val="en-US" w:eastAsia="zh-CN"/>
              </w:rPr>
              <w:t>座面和椅背联合耐久性试验，</w:t>
            </w:r>
            <w:r>
              <w:rPr>
                <w:rFonts w:hint="eastAsia" w:ascii="宋体" w:hAnsi="宋体" w:cs="宋体"/>
                <w:b w:val="0"/>
                <w:bCs w:val="0"/>
                <w:color w:val="FF0000"/>
                <w:kern w:val="0"/>
                <w:szCs w:val="21"/>
              </w:rPr>
              <w:t>椅子向前倾翻试验、无扶手椅侧向倾翻试验、椅子向后倾翻试验，以上检测结果均为符合或合格。</w:t>
            </w:r>
          </w:p>
          <w:p w14:paraId="43EC6068">
            <w:pPr>
              <w:rPr>
                <w:rFonts w:hint="eastAsia" w:ascii="宋体" w:hAnsi="宋体" w:cs="宋体"/>
                <w:b w:val="0"/>
                <w:bCs w:val="0"/>
                <w:color w:val="FF0000"/>
                <w:kern w:val="0"/>
                <w:szCs w:val="21"/>
              </w:rPr>
            </w:pPr>
            <w:r>
              <w:rPr>
                <w:rFonts w:hint="eastAsia" w:ascii="宋体" w:hAnsi="宋体" w:cs="宋体"/>
                <w:b w:val="0"/>
                <w:bCs w:val="0"/>
                <w:color w:val="FF0000"/>
                <w:kern w:val="0"/>
                <w:szCs w:val="21"/>
                <w:lang w:val="en-US" w:eastAsia="zh-CN"/>
              </w:rPr>
              <w:t>②</w:t>
            </w:r>
            <w:r>
              <w:rPr>
                <w:rFonts w:hint="eastAsia" w:ascii="宋体" w:hAnsi="宋体" w:cs="宋体"/>
                <w:color w:val="FF0000"/>
                <w:kern w:val="0"/>
                <w:szCs w:val="21"/>
                <w:u w:val="none"/>
                <w:lang w:val="en-US" w:eastAsia="zh-CN" w:bidi="ar"/>
              </w:rPr>
              <w:t>检测依据</w:t>
            </w:r>
            <w:r>
              <w:rPr>
                <w:rFonts w:hint="eastAsia" w:ascii="宋体" w:hAnsi="宋体" w:cs="宋体"/>
                <w:b w:val="0"/>
                <w:bCs w:val="0"/>
                <w:color w:val="FF0000"/>
                <w:kern w:val="0"/>
                <w:szCs w:val="21"/>
              </w:rPr>
              <w:t>QB/T 4371-2012</w:t>
            </w:r>
            <w:r>
              <w:rPr>
                <w:rFonts w:hint="eastAsia" w:ascii="宋体" w:hAnsi="宋体" w:eastAsia="宋体" w:cs="宋体"/>
                <w:color w:val="FF0000"/>
                <w:kern w:val="0"/>
                <w:szCs w:val="21"/>
                <w:u w:val="none"/>
                <w:lang w:bidi="ar"/>
              </w:rPr>
              <w:t>《</w:t>
            </w:r>
            <w:r>
              <w:rPr>
                <w:rFonts w:hint="eastAsia" w:ascii="宋体" w:hAnsi="宋体" w:cs="宋体"/>
                <w:b w:val="0"/>
                <w:bCs w:val="0"/>
                <w:color w:val="FF0000"/>
                <w:kern w:val="0"/>
                <w:szCs w:val="21"/>
              </w:rPr>
              <w:t>家具抗菌性能的评价</w:t>
            </w:r>
            <w:r>
              <w:rPr>
                <w:rFonts w:hint="eastAsia" w:ascii="宋体" w:hAnsi="宋体" w:eastAsia="宋体" w:cs="宋体"/>
                <w:color w:val="FF0000"/>
                <w:kern w:val="0"/>
                <w:szCs w:val="21"/>
                <w:u w:val="none"/>
                <w:lang w:bidi="ar"/>
              </w:rPr>
              <w:t>》</w:t>
            </w:r>
            <w:r>
              <w:rPr>
                <w:rFonts w:hint="eastAsia" w:ascii="宋体" w:hAnsi="宋体" w:cs="宋体"/>
                <w:b w:val="0"/>
                <w:bCs w:val="0"/>
                <w:color w:val="FF0000"/>
                <w:kern w:val="0"/>
                <w:szCs w:val="21"/>
                <w:lang w:eastAsia="zh-CN"/>
              </w:rPr>
              <w:t>。</w:t>
            </w:r>
            <w:r>
              <w:rPr>
                <w:rFonts w:hint="eastAsia" w:ascii="宋体" w:hAnsi="宋体" w:cs="宋体"/>
                <w:b w:val="0"/>
                <w:bCs w:val="0"/>
                <w:color w:val="FF0000"/>
                <w:kern w:val="0"/>
                <w:szCs w:val="21"/>
                <w:lang w:val="en-US" w:eastAsia="zh-CN"/>
              </w:rPr>
              <w:t>检测要求：</w:t>
            </w:r>
            <w:r>
              <w:rPr>
                <w:rFonts w:hint="eastAsia" w:ascii="宋体" w:hAnsi="宋体" w:cs="宋体"/>
                <w:b w:val="0"/>
                <w:bCs w:val="0"/>
                <w:color w:val="FF0000"/>
                <w:kern w:val="0"/>
                <w:szCs w:val="21"/>
              </w:rPr>
              <w:t>抗菌性能抑菌率</w:t>
            </w:r>
            <w:r>
              <w:rPr>
                <w:rFonts w:hint="eastAsia" w:ascii="宋体" w:hAnsi="宋体" w:cs="宋体"/>
                <w:b w:val="0"/>
                <w:bCs w:val="0"/>
                <w:color w:val="FF0000"/>
                <w:kern w:val="0"/>
                <w:szCs w:val="21"/>
                <w:lang w:val="en-US" w:eastAsia="zh-CN"/>
              </w:rPr>
              <w:t>-</w:t>
            </w:r>
            <w:r>
              <w:rPr>
                <w:rFonts w:hint="eastAsia" w:ascii="宋体" w:hAnsi="宋体" w:cs="宋体"/>
                <w:b w:val="0"/>
                <w:bCs w:val="0"/>
                <w:color w:val="FF0000"/>
                <w:kern w:val="0"/>
                <w:szCs w:val="21"/>
              </w:rPr>
              <w:t>肺炎克雷伯氏菌≥99%；</w:t>
            </w:r>
          </w:p>
          <w:p w14:paraId="0B06C43D">
            <w:pPr>
              <w:rPr>
                <w:rFonts w:hint="eastAsia" w:ascii="宋体" w:hAnsi="宋体" w:cs="宋体"/>
                <w:color w:val="FF0000"/>
                <w:kern w:val="0"/>
                <w:szCs w:val="21"/>
                <w:highlight w:val="none"/>
                <w:u w:val="none"/>
                <w:lang w:val="en-US" w:eastAsia="zh-CN" w:bidi="ar"/>
              </w:rPr>
            </w:pPr>
            <w:r>
              <w:rPr>
                <w:rFonts w:hint="eastAsia" w:ascii="宋体" w:hAnsi="宋体" w:cs="宋体"/>
                <w:b w:val="0"/>
                <w:bCs w:val="0"/>
                <w:color w:val="FF0000"/>
                <w:kern w:val="0"/>
                <w:szCs w:val="21"/>
                <w:highlight w:val="none"/>
                <w:lang w:val="en-US" w:eastAsia="zh-CN"/>
              </w:rPr>
              <w:t>③</w:t>
            </w:r>
            <w:r>
              <w:rPr>
                <w:rFonts w:hint="eastAsia" w:ascii="宋体" w:hAnsi="宋体" w:cs="宋体"/>
                <w:color w:val="FF0000"/>
                <w:kern w:val="0"/>
                <w:szCs w:val="21"/>
                <w:highlight w:val="none"/>
                <w:u w:val="none"/>
                <w:lang w:val="en-US" w:eastAsia="zh-CN" w:bidi="ar"/>
              </w:rPr>
              <w:t>检测依据</w:t>
            </w:r>
            <w:r>
              <w:rPr>
                <w:rFonts w:hint="eastAsia" w:ascii="宋体" w:hAnsi="宋体" w:eastAsia="宋体" w:cs="宋体"/>
                <w:color w:val="FF0000"/>
                <w:kern w:val="0"/>
                <w:szCs w:val="21"/>
                <w:highlight w:val="none"/>
                <w:u w:val="none"/>
                <w:lang w:bidi="ar"/>
              </w:rPr>
              <w:t>QB/T382</w:t>
            </w:r>
            <w:r>
              <w:rPr>
                <w:rFonts w:hint="eastAsia" w:ascii="宋体" w:hAnsi="宋体" w:cs="宋体"/>
                <w:color w:val="FF0000"/>
                <w:kern w:val="0"/>
                <w:szCs w:val="21"/>
                <w:highlight w:val="none"/>
                <w:u w:val="none"/>
                <w:lang w:val="en-US" w:eastAsia="zh-CN" w:bidi="ar"/>
              </w:rPr>
              <w:t>7</w:t>
            </w:r>
            <w:r>
              <w:rPr>
                <w:rFonts w:hint="eastAsia" w:ascii="宋体" w:hAnsi="宋体" w:eastAsia="宋体" w:cs="宋体"/>
                <w:color w:val="FF0000"/>
                <w:kern w:val="0"/>
                <w:szCs w:val="21"/>
                <w:highlight w:val="none"/>
                <w:u w:val="none"/>
                <w:lang w:bidi="ar"/>
              </w:rPr>
              <w:t>-1999《轻工产品金属镀层和化学处理层的耐腐蚀试验方法</w:t>
            </w:r>
            <w:r>
              <w:rPr>
                <w:rFonts w:hint="eastAsia" w:ascii="宋体" w:hAnsi="宋体" w:cs="宋体"/>
                <w:color w:val="FF0000"/>
                <w:kern w:val="0"/>
                <w:szCs w:val="21"/>
                <w:highlight w:val="none"/>
                <w:u w:val="none"/>
                <w:lang w:val="en-US" w:eastAsia="zh-CN" w:bidi="ar"/>
              </w:rPr>
              <w:t xml:space="preserve"> </w:t>
            </w:r>
            <w:r>
              <w:rPr>
                <w:rFonts w:hint="eastAsia" w:ascii="宋体" w:hAnsi="宋体" w:eastAsia="宋体" w:cs="宋体"/>
                <w:color w:val="FF0000"/>
                <w:kern w:val="0"/>
                <w:szCs w:val="21"/>
                <w:highlight w:val="none"/>
                <w:u w:val="none"/>
                <w:lang w:bidi="ar"/>
              </w:rPr>
              <w:t>乙酸盐雾试验(ASS)法》</w:t>
            </w:r>
            <w:r>
              <w:rPr>
                <w:rFonts w:hint="eastAsia" w:ascii="宋体" w:hAnsi="宋体" w:eastAsia="宋体" w:cs="宋体"/>
                <w:lang w:val="en-US" w:eastAsia="zh-CN"/>
              </w:rPr>
              <w:t>、QB/T3832-1999《轻工产品金属镀层腐蚀试验结果的评价》</w:t>
            </w:r>
            <w:r>
              <w:rPr>
                <w:rFonts w:hint="eastAsia" w:ascii="宋体" w:hAnsi="宋体" w:cs="宋体"/>
                <w:color w:val="FF0000"/>
                <w:kern w:val="0"/>
                <w:szCs w:val="21"/>
                <w:highlight w:val="none"/>
                <w:u w:val="none"/>
                <w:lang w:eastAsia="zh-CN" w:bidi="ar"/>
              </w:rPr>
              <w:t>。</w:t>
            </w:r>
            <w:r>
              <w:rPr>
                <w:rFonts w:hint="eastAsia" w:ascii="宋体" w:hAnsi="宋体" w:cs="宋体"/>
                <w:color w:val="FF0000"/>
                <w:kern w:val="0"/>
                <w:szCs w:val="21"/>
                <w:highlight w:val="none"/>
                <w:u w:val="none"/>
                <w:lang w:val="en-US" w:eastAsia="zh-CN" w:bidi="ar"/>
              </w:rPr>
              <w:t>检测要求：</w:t>
            </w:r>
            <w:r>
              <w:rPr>
                <w:rFonts w:hint="eastAsia" w:ascii="宋体" w:hAnsi="宋体" w:eastAsia="宋体" w:cs="宋体"/>
                <w:color w:val="FF0000"/>
                <w:kern w:val="0"/>
                <w:szCs w:val="21"/>
                <w:highlight w:val="none"/>
                <w:u w:val="none"/>
                <w:lang w:bidi="ar"/>
              </w:rPr>
              <w:t>乙酸盐雾试验连续喷雾≥120h镀（涂）层本身耐腐蚀等级和对基体的保护等级为10级；</w:t>
            </w:r>
          </w:p>
          <w:p w14:paraId="2A998364">
            <w:pPr>
              <w:rPr>
                <w:rFonts w:hint="eastAsia" w:ascii="宋体" w:hAnsi="宋体" w:eastAsia="宋体" w:cs="宋体"/>
                <w:color w:val="FF0000"/>
                <w:kern w:val="0"/>
                <w:szCs w:val="21"/>
                <w:u w:val="none"/>
                <w:lang w:bidi="ar"/>
              </w:rPr>
            </w:pPr>
            <w:r>
              <w:rPr>
                <w:rFonts w:hint="eastAsia" w:ascii="宋体" w:hAnsi="宋体" w:cs="宋体"/>
                <w:color w:val="FF0000"/>
                <w:kern w:val="0"/>
                <w:szCs w:val="21"/>
                <w:u w:val="none"/>
                <w:lang w:val="en-US" w:eastAsia="zh-CN" w:bidi="ar"/>
              </w:rPr>
              <w:t>④检测依据</w:t>
            </w:r>
            <w:r>
              <w:rPr>
                <w:rFonts w:hint="eastAsia" w:ascii="宋体" w:hAnsi="宋体" w:cs="宋体"/>
                <w:b w:val="0"/>
                <w:bCs w:val="0"/>
                <w:color w:val="FF0000"/>
                <w:kern w:val="0"/>
                <w:szCs w:val="21"/>
              </w:rPr>
              <w:t>GB/T 10125-2021</w:t>
            </w:r>
            <w:r>
              <w:rPr>
                <w:rFonts w:hint="eastAsia" w:ascii="宋体" w:hAnsi="宋体" w:eastAsia="宋体" w:cs="宋体"/>
                <w:color w:val="FF0000"/>
                <w:kern w:val="0"/>
                <w:szCs w:val="21"/>
                <w:u w:val="none"/>
                <w:lang w:bidi="ar"/>
              </w:rPr>
              <w:t>《人造气氛腐蚀试验盐雾试验》</w:t>
            </w:r>
            <w:r>
              <w:rPr>
                <w:rFonts w:hint="eastAsia" w:ascii="宋体" w:hAnsi="宋体" w:cs="宋体"/>
                <w:color w:val="FF0000"/>
                <w:kern w:val="0"/>
                <w:szCs w:val="21"/>
                <w:u w:val="none"/>
                <w:lang w:eastAsia="zh-CN" w:bidi="ar"/>
              </w:rPr>
              <w:t>、</w:t>
            </w:r>
            <w:r>
              <w:rPr>
                <w:rFonts w:hint="eastAsia" w:ascii="宋体" w:hAnsi="宋体" w:eastAsia="宋体" w:cs="宋体"/>
                <w:color w:val="FF0000"/>
                <w:kern w:val="0"/>
                <w:szCs w:val="21"/>
                <w:u w:val="none"/>
                <w:lang w:bidi="ar"/>
              </w:rPr>
              <w:t>GB/T 6461-2002《金属基体上金属和其它无机覆盖层 经腐蚀试验后的试样和试件的评级》</w:t>
            </w:r>
            <w:r>
              <w:rPr>
                <w:rFonts w:hint="eastAsia" w:ascii="宋体" w:hAnsi="宋体" w:cs="宋体"/>
                <w:color w:val="FF0000"/>
                <w:kern w:val="0"/>
                <w:szCs w:val="21"/>
                <w:u w:val="none"/>
                <w:lang w:eastAsia="zh-CN" w:bidi="ar"/>
              </w:rPr>
              <w:t>。</w:t>
            </w:r>
            <w:r>
              <w:rPr>
                <w:rFonts w:hint="eastAsia" w:ascii="宋体" w:hAnsi="宋体" w:cs="宋体"/>
                <w:color w:val="FF0000"/>
                <w:kern w:val="0"/>
                <w:szCs w:val="21"/>
                <w:u w:val="none"/>
                <w:lang w:val="en-US" w:eastAsia="zh-CN" w:bidi="ar"/>
              </w:rPr>
              <w:t>检测要求：</w:t>
            </w:r>
            <w:r>
              <w:rPr>
                <w:rFonts w:hint="eastAsia" w:ascii="宋体" w:hAnsi="宋体" w:cs="宋体"/>
                <w:b w:val="0"/>
                <w:bCs w:val="0"/>
                <w:color w:val="FF0000"/>
                <w:kern w:val="0"/>
                <w:szCs w:val="21"/>
              </w:rPr>
              <w:t>铜加速乙酸盐雾试验连续喷雾≥1</w:t>
            </w:r>
            <w:r>
              <w:rPr>
                <w:rFonts w:hint="eastAsia" w:ascii="宋体" w:hAnsi="宋体" w:cs="宋体"/>
                <w:b w:val="0"/>
                <w:bCs w:val="0"/>
                <w:color w:val="FF0000"/>
                <w:kern w:val="0"/>
                <w:szCs w:val="21"/>
                <w:lang w:val="en-US" w:eastAsia="zh-CN"/>
              </w:rPr>
              <w:t>56</w:t>
            </w:r>
            <w:r>
              <w:rPr>
                <w:rFonts w:hint="eastAsia" w:ascii="宋体" w:hAnsi="宋体" w:cs="宋体"/>
                <w:b w:val="0"/>
                <w:bCs w:val="0"/>
                <w:color w:val="FF0000"/>
                <w:kern w:val="0"/>
                <w:szCs w:val="21"/>
              </w:rPr>
              <w:t>h</w:t>
            </w:r>
            <w:r>
              <w:rPr>
                <w:rFonts w:hint="eastAsia" w:ascii="宋体" w:hAnsi="宋体" w:cs="宋体"/>
                <w:b w:val="0"/>
                <w:bCs w:val="0"/>
                <w:color w:val="FF0000"/>
                <w:kern w:val="0"/>
                <w:szCs w:val="21"/>
                <w:lang w:eastAsia="zh-CN"/>
              </w:rPr>
              <w:t>，</w:t>
            </w:r>
            <w:r>
              <w:rPr>
                <w:rFonts w:hint="eastAsia" w:ascii="宋体" w:hAnsi="宋体" w:eastAsia="宋体" w:cs="宋体"/>
                <w:color w:val="FF0000"/>
                <w:kern w:val="0"/>
                <w:szCs w:val="21"/>
                <w:u w:val="none"/>
                <w:lang w:bidi="ar"/>
              </w:rPr>
              <w:t>保护评级（Rp）≥10级、外观评级（RA）≥10级；</w:t>
            </w:r>
          </w:p>
          <w:p w14:paraId="07E2F4DC">
            <w:pPr>
              <w:rPr>
                <w:rFonts w:hint="eastAsia" w:ascii="宋体" w:hAnsi="宋体" w:cs="宋体"/>
                <w:b w:val="0"/>
                <w:bCs w:val="0"/>
                <w:color w:val="FF0000"/>
                <w:kern w:val="0"/>
                <w:szCs w:val="21"/>
              </w:rPr>
            </w:pPr>
            <w:r>
              <w:rPr>
                <w:rFonts w:hint="eastAsia" w:ascii="宋体" w:hAnsi="宋体" w:cs="宋体"/>
                <w:color w:val="FF0000"/>
                <w:kern w:val="0"/>
                <w:szCs w:val="21"/>
                <w:u w:val="none"/>
                <w:lang w:val="en-US" w:eastAsia="zh-CN" w:bidi="ar"/>
              </w:rPr>
              <w:t>⑤检测依据</w:t>
            </w:r>
            <w:r>
              <w:rPr>
                <w:rFonts w:hint="eastAsia" w:ascii="宋体" w:hAnsi="宋体" w:cs="宋体"/>
                <w:b w:val="0"/>
                <w:bCs w:val="0"/>
                <w:color w:val="FF0000"/>
                <w:kern w:val="0"/>
                <w:szCs w:val="21"/>
                <w:lang w:val="en-US" w:eastAsia="zh-CN"/>
              </w:rPr>
              <w:t>GB 18584-2024</w:t>
            </w:r>
            <w:r>
              <w:rPr>
                <w:rFonts w:hint="eastAsia" w:ascii="宋体" w:hAnsi="宋体" w:eastAsia="宋体" w:cs="宋体"/>
                <w:color w:val="FF0000"/>
                <w:kern w:val="0"/>
                <w:szCs w:val="21"/>
                <w:u w:val="none"/>
                <w:lang w:bidi="ar"/>
              </w:rPr>
              <w:t>《</w:t>
            </w:r>
            <w:r>
              <w:rPr>
                <w:rFonts w:hint="eastAsia" w:ascii="宋体" w:hAnsi="宋体" w:cs="宋体"/>
                <w:b w:val="0"/>
                <w:bCs w:val="0"/>
                <w:color w:val="FF0000"/>
                <w:kern w:val="0"/>
                <w:szCs w:val="21"/>
                <w:lang w:val="en-US" w:eastAsia="zh-CN"/>
              </w:rPr>
              <w:t>家具中有害物质限量</w:t>
            </w:r>
            <w:r>
              <w:rPr>
                <w:rFonts w:hint="eastAsia" w:ascii="宋体" w:hAnsi="宋体" w:eastAsia="宋体" w:cs="宋体"/>
                <w:color w:val="FF0000"/>
                <w:kern w:val="0"/>
                <w:szCs w:val="21"/>
                <w:u w:val="none"/>
                <w:lang w:bidi="ar"/>
              </w:rPr>
              <w:t>》</w:t>
            </w:r>
            <w:r>
              <w:rPr>
                <w:rFonts w:hint="eastAsia" w:ascii="宋体" w:hAnsi="宋体" w:cs="宋体"/>
                <w:color w:val="FF0000"/>
                <w:kern w:val="0"/>
                <w:szCs w:val="21"/>
                <w:u w:val="none"/>
                <w:lang w:eastAsia="zh-CN" w:bidi="ar"/>
              </w:rPr>
              <w:t>。</w:t>
            </w:r>
            <w:r>
              <w:rPr>
                <w:rFonts w:hint="eastAsia" w:ascii="宋体" w:hAnsi="宋体" w:cs="宋体"/>
                <w:color w:val="FF0000"/>
                <w:kern w:val="0"/>
                <w:szCs w:val="21"/>
                <w:u w:val="none"/>
                <w:lang w:val="en-US" w:eastAsia="zh-CN" w:bidi="ar"/>
              </w:rPr>
              <w:t>检测要求：</w:t>
            </w:r>
            <w:r>
              <w:rPr>
                <w:rFonts w:hint="eastAsia" w:ascii="宋体" w:hAnsi="宋体" w:cs="宋体"/>
                <w:b w:val="0"/>
                <w:bCs w:val="0"/>
                <w:color w:val="FF0000"/>
                <w:kern w:val="0"/>
                <w:szCs w:val="21"/>
              </w:rPr>
              <w:t>甲醛≤0.01mg/m³，苯≤0.01mg/m³、甲苯≤0.0</w:t>
            </w:r>
            <w:r>
              <w:rPr>
                <w:rFonts w:hint="eastAsia" w:ascii="宋体" w:hAnsi="宋体" w:cs="宋体"/>
                <w:b w:val="0"/>
                <w:bCs w:val="0"/>
                <w:color w:val="FF0000"/>
                <w:kern w:val="0"/>
                <w:szCs w:val="21"/>
                <w:lang w:val="en-US" w:eastAsia="zh-CN"/>
              </w:rPr>
              <w:t>1</w:t>
            </w:r>
            <w:r>
              <w:rPr>
                <w:rFonts w:hint="eastAsia" w:ascii="宋体" w:hAnsi="宋体" w:cs="宋体"/>
                <w:b w:val="0"/>
                <w:bCs w:val="0"/>
                <w:color w:val="FF0000"/>
                <w:kern w:val="0"/>
                <w:szCs w:val="21"/>
              </w:rPr>
              <w:t>mg/m³、二甲苯≤0.0</w:t>
            </w:r>
            <w:r>
              <w:rPr>
                <w:rFonts w:hint="eastAsia" w:ascii="宋体" w:hAnsi="宋体" w:cs="宋体"/>
                <w:b w:val="0"/>
                <w:bCs w:val="0"/>
                <w:color w:val="FF0000"/>
                <w:kern w:val="0"/>
                <w:szCs w:val="21"/>
                <w:lang w:val="en-US" w:eastAsia="zh-CN"/>
              </w:rPr>
              <w:t>1</w:t>
            </w:r>
            <w:r>
              <w:rPr>
                <w:rFonts w:hint="eastAsia" w:ascii="宋体" w:hAnsi="宋体" w:cs="宋体"/>
                <w:b w:val="0"/>
                <w:bCs w:val="0"/>
                <w:color w:val="FF0000"/>
                <w:kern w:val="0"/>
                <w:szCs w:val="21"/>
              </w:rPr>
              <w:t>mg/m³、总挥发性有机化合物</w:t>
            </w:r>
            <w:r>
              <w:rPr>
                <w:rFonts w:hint="eastAsia" w:ascii="宋体" w:hAnsi="宋体" w:cs="宋体"/>
                <w:b w:val="0"/>
                <w:bCs w:val="0"/>
                <w:color w:val="FF0000"/>
                <w:kern w:val="0"/>
                <w:szCs w:val="21"/>
                <w:lang w:eastAsia="zh-CN"/>
              </w:rPr>
              <w:t>（</w:t>
            </w:r>
            <w:r>
              <w:rPr>
                <w:rFonts w:hint="eastAsia" w:ascii="宋体" w:hAnsi="宋体" w:cs="宋体"/>
                <w:b w:val="0"/>
                <w:bCs w:val="0"/>
                <w:color w:val="FF0000"/>
                <w:kern w:val="0"/>
                <w:szCs w:val="21"/>
                <w:lang w:val="en-US" w:eastAsia="zh-CN"/>
              </w:rPr>
              <w:t>TVOC</w:t>
            </w:r>
            <w:r>
              <w:rPr>
                <w:rFonts w:hint="eastAsia" w:ascii="宋体" w:hAnsi="宋体" w:cs="宋体"/>
                <w:b w:val="0"/>
                <w:bCs w:val="0"/>
                <w:color w:val="FF0000"/>
                <w:kern w:val="0"/>
                <w:szCs w:val="21"/>
                <w:lang w:eastAsia="zh-CN"/>
              </w:rPr>
              <w:t>）</w:t>
            </w:r>
            <w:r>
              <w:rPr>
                <w:rFonts w:hint="eastAsia" w:ascii="宋体" w:hAnsi="宋体" w:cs="宋体"/>
                <w:b w:val="0"/>
                <w:bCs w:val="0"/>
                <w:color w:val="FF0000"/>
                <w:kern w:val="0"/>
                <w:szCs w:val="21"/>
              </w:rPr>
              <w:t>≤0.</w:t>
            </w:r>
            <w:r>
              <w:rPr>
                <w:rFonts w:hint="eastAsia" w:ascii="宋体" w:hAnsi="宋体" w:cs="宋体"/>
                <w:b w:val="0"/>
                <w:bCs w:val="0"/>
                <w:color w:val="FF0000"/>
                <w:kern w:val="0"/>
                <w:szCs w:val="21"/>
                <w:lang w:val="en-US" w:eastAsia="zh-CN"/>
              </w:rPr>
              <w:t>05</w:t>
            </w:r>
            <w:r>
              <w:rPr>
                <w:rFonts w:hint="eastAsia" w:ascii="宋体" w:hAnsi="宋体" w:cs="宋体"/>
                <w:b w:val="0"/>
                <w:bCs w:val="0"/>
                <w:color w:val="FF0000"/>
                <w:kern w:val="0"/>
                <w:szCs w:val="21"/>
              </w:rPr>
              <w:t>mg/m³</w:t>
            </w:r>
            <w:r>
              <w:rPr>
                <w:rFonts w:hint="eastAsia" w:ascii="宋体" w:hAnsi="宋体" w:cs="宋体"/>
                <w:b w:val="0"/>
                <w:bCs w:val="0"/>
                <w:color w:val="FF0000"/>
                <w:kern w:val="0"/>
                <w:szCs w:val="21"/>
                <w:lang w:eastAsia="zh-CN"/>
              </w:rPr>
              <w:t>。</w:t>
            </w:r>
            <w:r>
              <w:rPr>
                <w:rFonts w:hint="eastAsia" w:ascii="宋体" w:hAnsi="宋体" w:cs="宋体"/>
                <w:b w:val="0"/>
                <w:bCs w:val="0"/>
                <w:color w:val="FF0000"/>
                <w:kern w:val="0"/>
                <w:szCs w:val="21"/>
              </w:rPr>
              <w:t>铅、镉、铬、汞、锑、硒、砷均未检出</w:t>
            </w:r>
            <w:r>
              <w:rPr>
                <w:rFonts w:hint="eastAsia" w:ascii="宋体" w:hAnsi="宋体" w:cs="宋体"/>
                <w:b w:val="0"/>
                <w:bCs w:val="0"/>
                <w:color w:val="FF0000"/>
                <w:kern w:val="0"/>
                <w:szCs w:val="21"/>
                <w:lang w:eastAsia="zh-CN"/>
              </w:rPr>
              <w:t>，</w:t>
            </w:r>
            <w:r>
              <w:rPr>
                <w:rFonts w:hint="eastAsia" w:ascii="宋体" w:hAnsi="宋体" w:cs="宋体"/>
                <w:b w:val="0"/>
                <w:bCs w:val="0"/>
                <w:color w:val="FF0000"/>
                <w:kern w:val="0"/>
                <w:szCs w:val="21"/>
              </w:rPr>
              <w:t>钡≤300 mg/kg；</w:t>
            </w:r>
          </w:p>
          <w:p w14:paraId="72DBC69F">
            <w:pPr>
              <w:keepNext w:val="0"/>
              <w:keepLines w:val="0"/>
              <w:widowControl/>
              <w:suppressLineNumbers w:val="0"/>
              <w:jc w:val="left"/>
              <w:textAlignment w:val="center"/>
              <w:rPr>
                <w:rFonts w:hint="eastAsia" w:ascii="宋体" w:hAnsi="宋体" w:cs="宋体"/>
                <w:b/>
                <w:bCs/>
                <w:color w:val="FF0000"/>
                <w:kern w:val="0"/>
                <w:szCs w:val="21"/>
                <w:lang w:eastAsia="zh-CN"/>
              </w:rPr>
            </w:pPr>
            <w:r>
              <w:rPr>
                <w:rFonts w:hint="eastAsia" w:ascii="宋体" w:hAnsi="宋体" w:cs="宋体"/>
                <w:b w:val="0"/>
                <w:bCs w:val="0"/>
                <w:color w:val="FF0000"/>
                <w:kern w:val="0"/>
                <w:szCs w:val="21"/>
                <w:lang w:val="en-US" w:eastAsia="zh-CN"/>
              </w:rPr>
              <w:t>⑥</w:t>
            </w:r>
            <w:r>
              <w:rPr>
                <w:rFonts w:hint="eastAsia" w:ascii="宋体" w:hAnsi="宋体" w:cs="宋体"/>
                <w:b w:val="0"/>
                <w:bCs w:val="0"/>
                <w:color w:val="FF0000"/>
                <w:kern w:val="0"/>
                <w:szCs w:val="21"/>
              </w:rPr>
              <w:t>GB/T 32487-2016</w:t>
            </w:r>
            <w:r>
              <w:rPr>
                <w:rFonts w:hint="eastAsia" w:ascii="宋体" w:hAnsi="宋体" w:eastAsia="宋体" w:cs="宋体"/>
                <w:color w:val="FF0000"/>
                <w:kern w:val="0"/>
                <w:szCs w:val="21"/>
                <w:u w:val="none"/>
                <w:lang w:bidi="ar"/>
              </w:rPr>
              <w:t>《</w:t>
            </w:r>
            <w:r>
              <w:rPr>
                <w:rFonts w:hint="eastAsia" w:ascii="宋体" w:hAnsi="宋体" w:cs="宋体"/>
                <w:b w:val="0"/>
                <w:bCs w:val="0"/>
                <w:color w:val="FF0000"/>
                <w:kern w:val="0"/>
                <w:szCs w:val="21"/>
              </w:rPr>
              <w:t>塑料家具通用技术条件</w:t>
            </w:r>
            <w:r>
              <w:rPr>
                <w:rFonts w:hint="eastAsia" w:ascii="宋体" w:hAnsi="宋体" w:eastAsia="宋体" w:cs="宋体"/>
                <w:color w:val="FF0000"/>
                <w:kern w:val="0"/>
                <w:szCs w:val="21"/>
                <w:u w:val="none"/>
                <w:lang w:bidi="ar"/>
              </w:rPr>
              <w:t>》</w:t>
            </w:r>
            <w:r>
              <w:rPr>
                <w:rFonts w:hint="eastAsia" w:ascii="宋体" w:hAnsi="宋体" w:cs="宋体"/>
                <w:b w:val="0"/>
                <w:bCs w:val="0"/>
                <w:color w:val="FF0000"/>
                <w:kern w:val="0"/>
                <w:szCs w:val="21"/>
                <w:lang w:eastAsia="zh-CN"/>
              </w:rPr>
              <w:t>。</w:t>
            </w:r>
            <w:r>
              <w:rPr>
                <w:rFonts w:hint="eastAsia" w:ascii="宋体" w:hAnsi="宋体" w:cs="宋体"/>
                <w:color w:val="FF0000"/>
                <w:kern w:val="0"/>
                <w:szCs w:val="21"/>
                <w:u w:val="none"/>
                <w:lang w:val="en-US" w:eastAsia="zh-CN" w:bidi="ar"/>
              </w:rPr>
              <w:t>检测要求：</w:t>
            </w:r>
            <w:r>
              <w:rPr>
                <w:rFonts w:hint="eastAsia" w:ascii="宋体" w:hAnsi="宋体" w:cs="宋体"/>
                <w:b w:val="0"/>
                <w:bCs w:val="0"/>
                <w:color w:val="FF0000"/>
                <w:kern w:val="0"/>
                <w:szCs w:val="21"/>
              </w:rPr>
              <w:t>理化性能塑料件（耐冷热循环合格；邵氏D硬度≥HD</w:t>
            </w:r>
            <w:r>
              <w:rPr>
                <w:rFonts w:hint="eastAsia" w:ascii="宋体" w:hAnsi="宋体" w:cs="宋体"/>
                <w:b w:val="0"/>
                <w:bCs w:val="0"/>
                <w:color w:val="FF0000"/>
                <w:kern w:val="0"/>
                <w:szCs w:val="21"/>
                <w:lang w:val="en-US" w:eastAsia="zh-CN"/>
              </w:rPr>
              <w:t>63</w:t>
            </w:r>
            <w:r>
              <w:rPr>
                <w:rFonts w:hint="eastAsia" w:ascii="宋体" w:hAnsi="宋体" w:cs="宋体"/>
                <w:b w:val="0"/>
                <w:bCs w:val="0"/>
                <w:color w:val="FF0000"/>
                <w:kern w:val="0"/>
                <w:szCs w:val="21"/>
              </w:rPr>
              <w:t>）</w:t>
            </w:r>
            <w:r>
              <w:rPr>
                <w:rFonts w:hint="eastAsia" w:ascii="宋体" w:hAnsi="宋体" w:cs="宋体"/>
                <w:b w:val="0"/>
                <w:bCs w:val="0"/>
                <w:color w:val="FF0000"/>
                <w:kern w:val="0"/>
                <w:szCs w:val="21"/>
                <w:lang w:eastAsia="zh-CN"/>
              </w:rPr>
              <w:t>。</w:t>
            </w:r>
          </w:p>
          <w:p w14:paraId="0FDF9BB5">
            <w:pPr>
              <w:keepNext w:val="0"/>
              <w:keepLines w:val="0"/>
              <w:widowControl/>
              <w:suppressLineNumbers w:val="0"/>
              <w:jc w:val="left"/>
              <w:textAlignment w:val="center"/>
              <w:rPr>
                <w:rStyle w:val="60"/>
                <w:rFonts w:hint="eastAsia" w:hAnsi="宋体" w:cs="宋体"/>
                <w:b/>
                <w:sz w:val="21"/>
                <w:szCs w:val="21"/>
                <w:highlight w:val="none"/>
                <w:lang w:eastAsia="zh-CN" w:bidi="ar"/>
              </w:rPr>
            </w:pPr>
            <w:r>
              <w:rPr>
                <w:rFonts w:hint="eastAsia" w:ascii="宋体" w:hAnsi="宋体" w:cs="宋体"/>
                <w:b/>
                <w:bCs/>
                <w:color w:val="FF0000"/>
                <w:kern w:val="0"/>
                <w:sz w:val="20"/>
                <w:szCs w:val="20"/>
                <w:highlight w:val="none"/>
              </w:rPr>
              <w:t>【提供20</w:t>
            </w:r>
            <w:r>
              <w:rPr>
                <w:rFonts w:hint="eastAsia" w:ascii="宋体" w:hAnsi="宋体" w:cs="宋体"/>
                <w:b/>
                <w:bCs/>
                <w:color w:val="FF0000"/>
                <w:kern w:val="0"/>
                <w:sz w:val="20"/>
                <w:szCs w:val="20"/>
                <w:highlight w:val="none"/>
                <w:lang w:val="en-US" w:eastAsia="zh-CN"/>
              </w:rPr>
              <w:t>24</w:t>
            </w:r>
            <w:r>
              <w:rPr>
                <w:rFonts w:hint="eastAsia" w:ascii="宋体" w:hAnsi="宋体" w:cs="宋体"/>
                <w:b/>
                <w:bCs/>
                <w:color w:val="FF0000"/>
                <w:kern w:val="0"/>
                <w:sz w:val="20"/>
                <w:szCs w:val="20"/>
                <w:highlight w:val="none"/>
              </w:rPr>
              <w:t>年</w:t>
            </w:r>
            <w:r>
              <w:rPr>
                <w:rFonts w:hint="eastAsia" w:ascii="宋体" w:hAnsi="宋体" w:cs="宋体"/>
                <w:b/>
                <w:bCs/>
                <w:color w:val="FF0000"/>
                <w:kern w:val="0"/>
                <w:sz w:val="20"/>
                <w:szCs w:val="20"/>
                <w:highlight w:val="none"/>
                <w:lang w:val="en-US" w:eastAsia="zh-CN"/>
              </w:rPr>
              <w:t>6</w:t>
            </w:r>
            <w:r>
              <w:rPr>
                <w:rFonts w:hint="eastAsia" w:ascii="宋体" w:hAnsi="宋体" w:cs="宋体"/>
                <w:b/>
                <w:bCs/>
                <w:color w:val="FF0000"/>
                <w:kern w:val="0"/>
                <w:sz w:val="20"/>
                <w:szCs w:val="20"/>
                <w:highlight w:val="none"/>
              </w:rPr>
              <w:t>月1日起至本项目投标截止日止由第三方检测机构出具带有CMA标志的符合上述检测依据和检测内容及结论要求的</w:t>
            </w:r>
            <w:r>
              <w:rPr>
                <w:rFonts w:hint="eastAsia" w:ascii="宋体" w:hAnsi="宋体" w:cs="宋体"/>
                <w:b/>
                <w:bCs/>
                <w:color w:val="FF0000"/>
                <w:kern w:val="0"/>
                <w:sz w:val="20"/>
                <w:szCs w:val="20"/>
                <w:highlight w:val="none"/>
                <w:lang w:val="en-US" w:eastAsia="zh-CN"/>
              </w:rPr>
              <w:t>成品</w:t>
            </w:r>
            <w:r>
              <w:rPr>
                <w:rFonts w:hint="eastAsia" w:ascii="宋体" w:hAnsi="宋体" w:cs="宋体"/>
                <w:b/>
                <w:bCs/>
                <w:color w:val="FF0000"/>
                <w:kern w:val="0"/>
                <w:sz w:val="20"/>
                <w:szCs w:val="20"/>
                <w:highlight w:val="none"/>
              </w:rPr>
              <w:t>检测报告扫描件。并按要求提供“国家认证认可监督管理委员会”官方网站（http://www.cnca.gov.cn/）检测报告查询记录的截图，因该平台升级等原因导致无法查询的，则需提供通过检测机构官网、邮箱等可靠途径查询所提交检测报告具体内容的真实性的证明材料或者检测机构盖章的证明材料，证明该报告真实有效。】</w:t>
            </w:r>
            <w:r>
              <w:rPr>
                <w:rFonts w:hint="eastAsia" w:hAnsi="宋体" w:cs="宋体"/>
                <w:b/>
                <w:bCs/>
                <w:color w:val="FF0000"/>
                <w:kern w:val="0"/>
                <w:sz w:val="20"/>
                <w:szCs w:val="20"/>
                <w:highlight w:val="none"/>
                <w:lang w:eastAsia="zh-CN"/>
              </w:rPr>
              <w:t>，</w:t>
            </w:r>
            <w:r>
              <w:rPr>
                <w:rFonts w:hint="eastAsia" w:hAnsi="宋体" w:cs="宋体"/>
                <w:b/>
                <w:bCs/>
                <w:color w:val="FF0000"/>
                <w:kern w:val="0"/>
                <w:sz w:val="20"/>
                <w:szCs w:val="20"/>
                <w:highlight w:val="none"/>
                <w:lang w:val="en-US" w:eastAsia="zh-CN"/>
              </w:rPr>
              <w:t>注：</w:t>
            </w:r>
            <w:r>
              <w:rPr>
                <w:rStyle w:val="60"/>
                <w:rFonts w:hint="eastAsia" w:ascii="宋体" w:hAnsi="宋体" w:eastAsia="宋体" w:cs="宋体"/>
                <w:b/>
                <w:sz w:val="21"/>
                <w:szCs w:val="21"/>
                <w:highlight w:val="none"/>
                <w:lang w:bidi="ar"/>
              </w:rPr>
              <w:t>对应参数（检验检测项）在检验检测报告中进行标注</w:t>
            </w:r>
            <w:r>
              <w:rPr>
                <w:rStyle w:val="60"/>
                <w:rFonts w:hint="eastAsia" w:hAnsi="宋体" w:cs="宋体"/>
                <w:b/>
                <w:sz w:val="21"/>
                <w:szCs w:val="21"/>
                <w:highlight w:val="none"/>
                <w:lang w:eastAsia="zh-CN" w:bidi="ar"/>
              </w:rPr>
              <w:t>，</w:t>
            </w:r>
            <w:r>
              <w:rPr>
                <w:rStyle w:val="60"/>
                <w:rFonts w:hint="eastAsia" w:hAnsi="宋体" w:cs="宋体"/>
                <w:b/>
                <w:sz w:val="21"/>
                <w:szCs w:val="21"/>
                <w:highlight w:val="none"/>
                <w:lang w:val="en-US" w:eastAsia="zh-CN" w:bidi="ar"/>
              </w:rPr>
              <w:t>未标注不做扣分处理</w:t>
            </w:r>
            <w:r>
              <w:rPr>
                <w:rStyle w:val="60"/>
                <w:rFonts w:hint="eastAsia" w:hAnsi="宋体" w:cs="宋体"/>
                <w:b/>
                <w:sz w:val="21"/>
                <w:szCs w:val="21"/>
                <w:highlight w:val="none"/>
                <w:lang w:eastAsia="zh-CN" w:bidi="ar"/>
              </w:rPr>
              <w:t>。</w:t>
            </w:r>
          </w:p>
          <w:p w14:paraId="1F3A7511">
            <w:pPr>
              <w:pStyle w:val="39"/>
              <w:rPr>
                <w:rFonts w:hint="eastAsia" w:ascii="宋体" w:hAnsi="宋体" w:cs="宋体"/>
                <w:b/>
                <w:bCs/>
                <w:color w:val="FF0000"/>
                <w:szCs w:val="21"/>
              </w:rPr>
            </w:pPr>
            <w:r>
              <w:rPr>
                <w:rFonts w:hint="eastAsia" w:ascii="宋体" w:hAnsi="宋体" w:eastAsia="宋体" w:cs="宋体"/>
                <w:b/>
                <w:bCs/>
                <w:color w:val="FF0000"/>
                <w:sz w:val="21"/>
                <w:szCs w:val="21"/>
              </w:rPr>
              <w:t>如检测报告需要分包的，则实施检测的分包机构需具有相应的CMA资质且分包检测项目应在该分包机构CMA资质许可范围内，投标人提供相关承诺函（格式自拟），否则不予得分。若分包检验项目不在该分包机构CMA资质许可范围内的，则该份检验（检测）报告不得分。</w:t>
            </w:r>
          </w:p>
          <w:p w14:paraId="425FB3F5">
            <w:pPr>
              <w:pStyle w:val="9"/>
              <w:rPr>
                <w:rFonts w:hint="eastAsia"/>
                <w:lang w:val="en-US" w:eastAsia="zh-CN"/>
              </w:rPr>
            </w:pPr>
          </w:p>
        </w:tc>
      </w:tr>
      <w:tr w14:paraId="1E32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6E0A6F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003" w:type="dxa"/>
            <w:vMerge w:val="restart"/>
            <w:shd w:val="clear" w:color="auto" w:fill="auto"/>
            <w:vAlign w:val="center"/>
          </w:tcPr>
          <w:p w14:paraId="45C6EC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椅子2</w:t>
            </w:r>
          </w:p>
        </w:tc>
        <w:tc>
          <w:tcPr>
            <w:tcW w:w="8030" w:type="dxa"/>
            <w:shd w:val="clear" w:color="auto" w:fill="auto"/>
            <w:vAlign w:val="center"/>
          </w:tcPr>
          <w:p w14:paraId="79C1244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1.规格：常规</w:t>
            </w:r>
          </w:p>
        </w:tc>
      </w:tr>
      <w:tr w14:paraId="14A5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5DE0C494">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EA75D8B">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64AA5D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2、主材：框架采用白蜡木原木</w:t>
            </w:r>
            <w:r>
              <w:rPr>
                <w:rFonts w:hint="eastAsia" w:ascii="宋体" w:hAnsi="宋体" w:cs="宋体"/>
                <w:i w:val="0"/>
                <w:iCs w:val="0"/>
                <w:color w:val="000000"/>
                <w:kern w:val="0"/>
                <w:sz w:val="21"/>
                <w:szCs w:val="21"/>
                <w:u w:val="none"/>
                <w:lang w:val="en-US" w:eastAsia="zh-CN" w:bidi="ar"/>
              </w:rPr>
              <w:t>制作而成，椅腿整根原木无拼接</w:t>
            </w:r>
            <w:r>
              <w:rPr>
                <w:rFonts w:hint="eastAsia" w:ascii="宋体" w:hAnsi="宋体" w:eastAsia="宋体" w:cs="宋体"/>
                <w:i w:val="0"/>
                <w:iCs w:val="0"/>
                <w:color w:val="000000"/>
                <w:kern w:val="0"/>
                <w:sz w:val="21"/>
                <w:szCs w:val="21"/>
                <w:u w:val="none"/>
                <w:lang w:val="en-US" w:eastAsia="zh-CN" w:bidi="ar"/>
              </w:rPr>
              <w:t>。</w:t>
            </w:r>
          </w:p>
        </w:tc>
      </w:tr>
      <w:tr w14:paraId="7E61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42D35BB8">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19165B73">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5125AC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3、油漆：环保水性漆，</w:t>
            </w:r>
            <w:r>
              <w:rPr>
                <w:rFonts w:hint="eastAsia" w:ascii="宋体" w:hAnsi="宋体" w:cs="宋体"/>
                <w:i w:val="0"/>
                <w:iCs w:val="0"/>
                <w:color w:val="000000"/>
                <w:kern w:val="0"/>
                <w:sz w:val="21"/>
                <w:szCs w:val="21"/>
                <w:u w:val="none"/>
                <w:lang w:val="en-US" w:eastAsia="zh-CN" w:bidi="ar"/>
              </w:rPr>
              <w:t>三底两面</w:t>
            </w:r>
            <w:r>
              <w:rPr>
                <w:rFonts w:hint="eastAsia" w:ascii="宋体" w:hAnsi="宋体" w:eastAsia="宋体" w:cs="宋体"/>
                <w:i w:val="0"/>
                <w:iCs w:val="0"/>
                <w:color w:val="000000"/>
                <w:kern w:val="0"/>
                <w:sz w:val="21"/>
                <w:szCs w:val="21"/>
                <w:u w:val="none"/>
                <w:lang w:val="en-US" w:eastAsia="zh-CN" w:bidi="ar"/>
              </w:rPr>
              <w:t>喷涂</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环保性能应符合 GB/T 35602-2017《绿色产品评价 涂料》中品质属性要求。</w:t>
            </w:r>
          </w:p>
        </w:tc>
      </w:tr>
      <w:tr w14:paraId="7B54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620FD873">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4C097E5">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6C263B4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4、工艺：座背板采用曲木板一次弯曲成型；采用传统榫卯连接工艺，座板底部需采用螺丝固定于椅架上。</w:t>
            </w:r>
          </w:p>
        </w:tc>
      </w:tr>
      <w:tr w14:paraId="28BB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54" w:type="dxa"/>
            <w:vMerge w:val="continue"/>
            <w:shd w:val="clear" w:color="auto" w:fill="auto"/>
            <w:vAlign w:val="center"/>
          </w:tcPr>
          <w:p w14:paraId="1532ED87">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6501FA4B">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42880C9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5、配置：配软包坐垫，</w:t>
            </w:r>
            <w:r>
              <w:rPr>
                <w:rFonts w:hint="eastAsia" w:ascii="宋体" w:hAnsi="宋体" w:cs="宋体"/>
                <w:i w:val="0"/>
                <w:iCs w:val="0"/>
                <w:color w:val="000000"/>
                <w:kern w:val="0"/>
                <w:sz w:val="21"/>
                <w:szCs w:val="21"/>
                <w:u w:val="none"/>
                <w:lang w:val="en-US" w:eastAsia="zh-CN" w:bidi="ar"/>
              </w:rPr>
              <w:t>采用超纤皮面料，质量GB/T 16799</w:t>
            </w:r>
            <w:r>
              <w:rPr>
                <w:rFonts w:hint="eastAsia"/>
                <w:lang w:val="en-US" w:eastAsia="zh-CN"/>
              </w:rPr>
              <w:t>-2018</w:t>
            </w:r>
            <w:r>
              <w:rPr>
                <w:rFonts w:hint="eastAsia" w:ascii="宋体" w:hAnsi="宋体" w:cs="宋体"/>
                <w:i w:val="0"/>
                <w:iCs w:val="0"/>
                <w:color w:val="000000"/>
                <w:kern w:val="0"/>
                <w:sz w:val="21"/>
                <w:szCs w:val="21"/>
                <w:u w:val="none"/>
                <w:lang w:val="en-US" w:eastAsia="zh-CN" w:bidi="ar"/>
              </w:rPr>
              <w:t>《家具用皮革》要求；</w:t>
            </w:r>
            <w:r>
              <w:rPr>
                <w:rFonts w:hint="eastAsia" w:ascii="宋体" w:hAnsi="宋体" w:eastAsia="宋体" w:cs="宋体"/>
                <w:i w:val="0"/>
                <w:iCs w:val="0"/>
                <w:color w:val="000000"/>
                <w:kern w:val="0"/>
                <w:sz w:val="21"/>
                <w:szCs w:val="21"/>
                <w:u w:val="none"/>
                <w:lang w:val="en-US" w:eastAsia="zh-CN" w:bidi="ar"/>
              </w:rPr>
              <w:t>四脚落地，脚架底部带防滑耐磨尼龙脚垫或脚钉。扶手前端与前脚连接，自然过渡，线条流畅且承重均匀；椅面前端做圆弧折弯处理，兼顾美观与实用性。</w:t>
            </w:r>
          </w:p>
        </w:tc>
      </w:tr>
      <w:tr w14:paraId="296D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5B0E3F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03" w:type="dxa"/>
            <w:vMerge w:val="restart"/>
            <w:shd w:val="clear" w:color="auto" w:fill="auto"/>
            <w:vAlign w:val="center"/>
          </w:tcPr>
          <w:p w14:paraId="302984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衣柜1</w:t>
            </w:r>
          </w:p>
        </w:tc>
        <w:tc>
          <w:tcPr>
            <w:tcW w:w="8030" w:type="dxa"/>
            <w:shd w:val="clear" w:color="auto" w:fill="auto"/>
            <w:vAlign w:val="center"/>
          </w:tcPr>
          <w:p w14:paraId="51E1D3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1.规格：长800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宽600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高1800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34D0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525CD9EF">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1619E940">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4C742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2.柜体采用冷轧钢板，</w:t>
            </w:r>
            <w:r>
              <w:rPr>
                <w:rFonts w:hint="eastAsia" w:ascii="宋体" w:hAnsi="宋体" w:eastAsia="宋体" w:cs="宋体"/>
                <w:i w:val="0"/>
                <w:iCs w:val="0"/>
                <w:color w:val="auto"/>
                <w:kern w:val="0"/>
                <w:sz w:val="21"/>
                <w:szCs w:val="21"/>
                <w:u w:val="none"/>
                <w:lang w:val="en-US" w:eastAsia="zh-CN"/>
              </w:rPr>
              <w:t>柜体、层板、背板</w:t>
            </w:r>
            <w:r>
              <w:rPr>
                <w:rFonts w:hint="eastAsia" w:ascii="宋体" w:hAnsi="宋体" w:cs="宋体"/>
                <w:i w:val="0"/>
                <w:iCs w:val="0"/>
                <w:color w:val="auto"/>
                <w:kern w:val="0"/>
                <w:sz w:val="21"/>
                <w:szCs w:val="21"/>
                <w:u w:val="none"/>
                <w:lang w:val="en-US" w:eastAsia="zh-CN"/>
              </w:rPr>
              <w:t>的钢板</w:t>
            </w:r>
            <w:r>
              <w:rPr>
                <w:rFonts w:hint="eastAsia" w:ascii="宋体" w:hAnsi="宋体" w:eastAsia="宋体" w:cs="宋体"/>
                <w:i w:val="0"/>
                <w:iCs w:val="0"/>
                <w:color w:val="000000"/>
                <w:kern w:val="0"/>
                <w:sz w:val="21"/>
                <w:szCs w:val="21"/>
                <w:u w:val="none"/>
                <w:lang w:val="en-US" w:eastAsia="zh-CN" w:bidi="ar"/>
              </w:rPr>
              <w:t>材料厚度不小于</w:t>
            </w: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mm，表面经粉末涂料塑粉处理，美观耐腐蚀。</w:t>
            </w:r>
          </w:p>
        </w:tc>
      </w:tr>
      <w:tr w14:paraId="55F7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316AEA40">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B386FA9">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ACC77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3.柜门</w:t>
            </w:r>
            <w:r>
              <w:rPr>
                <w:rFonts w:hint="eastAsia" w:ascii="宋体" w:hAnsi="宋体" w:cs="宋体"/>
                <w:i w:val="0"/>
                <w:iCs w:val="0"/>
                <w:color w:val="000000"/>
                <w:kern w:val="0"/>
                <w:sz w:val="21"/>
                <w:szCs w:val="21"/>
                <w:u w:val="none"/>
                <w:lang w:val="en-US" w:eastAsia="zh-CN" w:bidi="ar"/>
              </w:rPr>
              <w:t>采用≥18mm厚</w:t>
            </w:r>
            <w:r>
              <w:rPr>
                <w:rFonts w:hint="eastAsia" w:ascii="宋体" w:hAnsi="宋体" w:eastAsia="宋体" w:cs="宋体"/>
                <w:i w:val="0"/>
                <w:iCs w:val="0"/>
                <w:color w:val="000000"/>
                <w:kern w:val="0"/>
                <w:sz w:val="21"/>
                <w:szCs w:val="21"/>
                <w:u w:val="none"/>
                <w:lang w:val="en-US" w:eastAsia="zh-CN" w:bidi="ar"/>
              </w:rPr>
              <w:t>E0级</w:t>
            </w:r>
            <w:r>
              <w:rPr>
                <w:rFonts w:hint="eastAsia"/>
              </w:rPr>
              <w:t>浸渍胶膜纸</w:t>
            </w:r>
            <w:r>
              <w:rPr>
                <w:rFonts w:hint="eastAsia" w:ascii="宋体" w:hAnsi="宋体" w:eastAsia="宋体" w:cs="宋体"/>
                <w:i w:val="0"/>
                <w:iCs w:val="0"/>
                <w:color w:val="000000"/>
                <w:kern w:val="0"/>
                <w:sz w:val="21"/>
                <w:szCs w:val="21"/>
                <w:u w:val="none"/>
                <w:lang w:val="en-US" w:eastAsia="zh-CN" w:bidi="ar"/>
              </w:rPr>
              <w:t>饰面</w:t>
            </w:r>
            <w:r>
              <w:rPr>
                <w:rFonts w:hint="eastAsia"/>
              </w:rPr>
              <w:t>实木多层板</w:t>
            </w:r>
            <w:r>
              <w:rPr>
                <w:rFonts w:hint="eastAsia" w:ascii="宋体" w:hAnsi="宋体" w:cs="宋体"/>
                <w:i w:val="0"/>
                <w:iCs w:val="0"/>
                <w:color w:val="000000"/>
                <w:kern w:val="0"/>
                <w:sz w:val="21"/>
                <w:szCs w:val="21"/>
                <w:u w:val="none"/>
                <w:lang w:val="en-US" w:eastAsia="zh-CN" w:bidi="ar"/>
              </w:rPr>
              <w:t>（胶合板）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ABS</w:t>
            </w:r>
            <w:r>
              <w:rPr>
                <w:rFonts w:hint="eastAsia" w:ascii="宋体" w:hAnsi="宋体" w:eastAsia="宋体" w:cs="宋体"/>
                <w:i w:val="0"/>
                <w:iCs w:val="0"/>
                <w:color w:val="000000"/>
                <w:kern w:val="0"/>
                <w:sz w:val="21"/>
                <w:szCs w:val="21"/>
                <w:u w:val="none"/>
                <w:lang w:val="en-US" w:eastAsia="zh-CN" w:bidi="ar"/>
              </w:rPr>
              <w:t>封边</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封边条</w:t>
            </w:r>
            <w:r>
              <w:rPr>
                <w:rFonts w:hint="eastAsia" w:ascii="宋体" w:hAnsi="宋体" w:cs="宋体"/>
                <w:i w:val="0"/>
                <w:iCs w:val="0"/>
                <w:color w:val="000000"/>
                <w:kern w:val="0"/>
                <w:sz w:val="21"/>
                <w:szCs w:val="21"/>
                <w:u w:val="none"/>
                <w:lang w:val="en-US" w:eastAsia="zh-CN" w:bidi="ar"/>
              </w:rPr>
              <w:t>依据</w:t>
            </w:r>
            <w:r>
              <w:rPr>
                <w:rFonts w:hint="eastAsia" w:ascii="宋体" w:hAnsi="宋体" w:eastAsia="宋体" w:cs="宋体"/>
                <w:i w:val="0"/>
                <w:iCs w:val="0"/>
                <w:color w:val="000000"/>
                <w:kern w:val="0"/>
                <w:sz w:val="21"/>
                <w:szCs w:val="21"/>
                <w:u w:val="none"/>
                <w:lang w:val="en-US" w:eastAsia="zh-CN" w:bidi="ar"/>
              </w:rPr>
              <w:t xml:space="preserve"> QB/T 4463-2025《家具用封边条》</w:t>
            </w:r>
            <w:r>
              <w:rPr>
                <w:rFonts w:hint="eastAsia" w:ascii="宋体" w:hAnsi="宋体" w:cs="宋体"/>
                <w:i w:val="0"/>
                <w:iCs w:val="0"/>
                <w:color w:val="000000"/>
                <w:kern w:val="0"/>
                <w:sz w:val="21"/>
                <w:szCs w:val="21"/>
                <w:u w:val="none"/>
                <w:lang w:val="en-US" w:eastAsia="zh-CN" w:bidi="ar"/>
              </w:rPr>
              <w:t>标准，</w:t>
            </w:r>
            <w:r>
              <w:rPr>
                <w:rFonts w:hint="eastAsia" w:ascii="宋体" w:hAnsi="宋体" w:eastAsia="宋体" w:cs="宋体"/>
                <w:i w:val="0"/>
                <w:iCs w:val="0"/>
                <w:color w:val="000000"/>
                <w:kern w:val="0"/>
                <w:sz w:val="21"/>
                <w:szCs w:val="21"/>
                <w:u w:val="none"/>
                <w:lang w:val="en-US" w:eastAsia="zh-CN" w:bidi="ar"/>
              </w:rPr>
              <w:t>耐干热性、耐磨性、耐龟裂性、耐冷热循性环均符合标准要求，甲醛释放量≤0.1mg/L，可迁移元素</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邻苯二甲酸酯（DBP、BBP、DEHP、DNOP、DINP和DIDP）的总量、多溴联苯（PBB）、多溴联苯醚(PBDE)均未检出的要求,氯乙烯单体未检出。均匀对开门设计</w:t>
            </w:r>
            <w:r>
              <w:rPr>
                <w:rFonts w:hint="eastAsia" w:ascii="宋体" w:hAnsi="宋体" w:cs="宋体"/>
                <w:i w:val="0"/>
                <w:iCs w:val="0"/>
                <w:color w:val="000000"/>
                <w:kern w:val="0"/>
                <w:sz w:val="21"/>
                <w:szCs w:val="21"/>
                <w:u w:val="none"/>
                <w:lang w:val="en-US" w:eastAsia="zh-CN" w:bidi="ar"/>
              </w:rPr>
              <w:t>。采用阻尼缓冲</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铰链，钢材厚度≥1.2mm，符合QB/T 2189-2013《家具五金 杯状暗铰链》商用型要求，耐久性8万次无损坏。配置4位数机械密码锁，采用锌合金锁芯，配置管理钥匙。</w:t>
            </w:r>
          </w:p>
        </w:tc>
      </w:tr>
      <w:tr w14:paraId="3A06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AD0D773">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26A0394C">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1E81D3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4.衣柜内部配置层板</w:t>
            </w:r>
            <w:r>
              <w:rPr>
                <w:rFonts w:hint="eastAsia" w:ascii="宋体" w:hAnsi="宋体" w:cs="宋体"/>
                <w:i w:val="0"/>
                <w:iCs w:val="0"/>
                <w:color w:val="000000"/>
                <w:kern w:val="0"/>
                <w:sz w:val="21"/>
                <w:szCs w:val="21"/>
                <w:u w:val="none"/>
                <w:lang w:val="en-US" w:eastAsia="zh-CN" w:bidi="ar"/>
              </w:rPr>
              <w:t>及</w:t>
            </w:r>
            <w:r>
              <w:rPr>
                <w:rFonts w:hint="eastAsia" w:ascii="宋体" w:hAnsi="宋体" w:eastAsia="宋体" w:cs="宋体"/>
                <w:i w:val="0"/>
                <w:iCs w:val="0"/>
                <w:color w:val="000000"/>
                <w:kern w:val="0"/>
                <w:sz w:val="21"/>
                <w:szCs w:val="21"/>
                <w:u w:val="none"/>
                <w:lang w:val="en-US" w:eastAsia="zh-CN" w:bidi="ar"/>
              </w:rPr>
              <w:t>铝合金挂衣杆</w:t>
            </w:r>
            <w:r>
              <w:rPr>
                <w:rFonts w:hint="eastAsia" w:ascii="宋体" w:hAnsi="宋体" w:cs="宋体"/>
                <w:i w:val="0"/>
                <w:iCs w:val="0"/>
                <w:color w:val="000000"/>
                <w:kern w:val="0"/>
                <w:sz w:val="21"/>
                <w:szCs w:val="21"/>
                <w:u w:val="none"/>
                <w:lang w:val="en-US" w:eastAsia="zh-CN" w:bidi="ar"/>
              </w:rPr>
              <w:t>，内部功能及结构根据采购方需求深化设计</w:t>
            </w:r>
            <w:r>
              <w:rPr>
                <w:rFonts w:hint="eastAsia" w:ascii="宋体" w:hAnsi="宋体" w:eastAsia="宋体" w:cs="宋体"/>
                <w:i w:val="0"/>
                <w:iCs w:val="0"/>
                <w:color w:val="000000"/>
                <w:kern w:val="0"/>
                <w:sz w:val="21"/>
                <w:szCs w:val="21"/>
                <w:u w:val="none"/>
                <w:lang w:val="en-US" w:eastAsia="zh-CN" w:bidi="ar"/>
              </w:rPr>
              <w:t>。一体式拉手。</w:t>
            </w:r>
          </w:p>
        </w:tc>
      </w:tr>
      <w:tr w14:paraId="6FA5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46ACE6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003" w:type="dxa"/>
            <w:vMerge w:val="restart"/>
            <w:shd w:val="clear" w:color="auto" w:fill="auto"/>
            <w:vAlign w:val="center"/>
          </w:tcPr>
          <w:p w14:paraId="77392D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衣柜2</w:t>
            </w:r>
          </w:p>
        </w:tc>
        <w:tc>
          <w:tcPr>
            <w:tcW w:w="8030" w:type="dxa"/>
            <w:shd w:val="clear" w:color="auto" w:fill="auto"/>
            <w:vAlign w:val="center"/>
          </w:tcPr>
          <w:p w14:paraId="6C447A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1.规格：长900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宽600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w:t>
            </w:r>
            <w:r>
              <w:rPr>
                <w:rFonts w:hint="eastAsia" w:ascii="宋体" w:hAnsi="宋体" w:cs="宋体"/>
                <w:i w:val="0"/>
                <w:iCs w:val="0"/>
                <w:color w:val="000000"/>
                <w:kern w:val="0"/>
                <w:sz w:val="21"/>
                <w:szCs w:val="21"/>
                <w:u w:val="none"/>
                <w:lang w:val="en-US" w:eastAsia="zh-CN" w:bidi="ar"/>
              </w:rPr>
              <w:t>18</w:t>
            </w:r>
            <w:r>
              <w:rPr>
                <w:rFonts w:hint="eastAsia" w:ascii="宋体" w:hAnsi="宋体" w:eastAsia="宋体" w:cs="宋体"/>
                <w:i w:val="0"/>
                <w:iCs w:val="0"/>
                <w:color w:val="000000"/>
                <w:kern w:val="0"/>
                <w:sz w:val="21"/>
                <w:szCs w:val="21"/>
                <w:u w:val="none"/>
                <w:lang w:val="en-US" w:eastAsia="zh-CN" w:bidi="ar"/>
              </w:rPr>
              <w:t>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51C7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DEE4E52">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2F0BFD3F">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71ADD3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2.柜体采用冷轧钢板，</w:t>
            </w:r>
            <w:r>
              <w:rPr>
                <w:rFonts w:hint="eastAsia" w:ascii="宋体" w:hAnsi="宋体" w:eastAsia="宋体" w:cs="宋体"/>
                <w:i w:val="0"/>
                <w:iCs w:val="0"/>
                <w:color w:val="auto"/>
                <w:kern w:val="0"/>
                <w:sz w:val="21"/>
                <w:szCs w:val="21"/>
                <w:u w:val="none"/>
                <w:lang w:val="en-US" w:eastAsia="zh-CN"/>
              </w:rPr>
              <w:t>柜体、层板、背板</w:t>
            </w:r>
            <w:r>
              <w:rPr>
                <w:rFonts w:hint="eastAsia" w:ascii="宋体" w:hAnsi="宋体" w:cs="宋体"/>
                <w:i w:val="0"/>
                <w:iCs w:val="0"/>
                <w:color w:val="auto"/>
                <w:kern w:val="0"/>
                <w:sz w:val="21"/>
                <w:szCs w:val="21"/>
                <w:u w:val="none"/>
                <w:lang w:val="en-US" w:eastAsia="zh-CN"/>
              </w:rPr>
              <w:t>的钢板</w:t>
            </w:r>
            <w:r>
              <w:rPr>
                <w:rFonts w:hint="eastAsia" w:ascii="宋体" w:hAnsi="宋体" w:eastAsia="宋体" w:cs="宋体"/>
                <w:i w:val="0"/>
                <w:iCs w:val="0"/>
                <w:color w:val="000000"/>
                <w:kern w:val="0"/>
                <w:sz w:val="21"/>
                <w:szCs w:val="21"/>
                <w:u w:val="none"/>
                <w:lang w:val="en-US" w:eastAsia="zh-CN" w:bidi="ar"/>
              </w:rPr>
              <w:t>材料厚度不小于</w:t>
            </w: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mm，表面经粉末涂料塑粉处理，美观耐腐蚀。</w:t>
            </w:r>
          </w:p>
        </w:tc>
      </w:tr>
      <w:tr w14:paraId="3F26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B913021">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18B28F9">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7CFC87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3.柜门</w:t>
            </w:r>
            <w:r>
              <w:rPr>
                <w:rFonts w:hint="eastAsia" w:ascii="宋体" w:hAnsi="宋体" w:cs="宋体"/>
                <w:i w:val="0"/>
                <w:iCs w:val="0"/>
                <w:color w:val="000000"/>
                <w:kern w:val="0"/>
                <w:sz w:val="21"/>
                <w:szCs w:val="21"/>
                <w:u w:val="none"/>
                <w:lang w:val="en-US" w:eastAsia="zh-CN" w:bidi="ar"/>
              </w:rPr>
              <w:t>采用≥18mm厚</w:t>
            </w:r>
            <w:r>
              <w:rPr>
                <w:rFonts w:hint="eastAsia" w:ascii="宋体" w:hAnsi="宋体" w:eastAsia="宋体" w:cs="宋体"/>
                <w:i w:val="0"/>
                <w:iCs w:val="0"/>
                <w:color w:val="000000"/>
                <w:kern w:val="0"/>
                <w:sz w:val="21"/>
                <w:szCs w:val="21"/>
                <w:u w:val="none"/>
                <w:lang w:val="en-US" w:eastAsia="zh-CN" w:bidi="ar"/>
              </w:rPr>
              <w:t>E0级</w:t>
            </w:r>
            <w:r>
              <w:rPr>
                <w:rFonts w:hint="eastAsia"/>
              </w:rPr>
              <w:t>浸渍胶膜纸</w:t>
            </w:r>
            <w:r>
              <w:rPr>
                <w:rFonts w:hint="eastAsia" w:ascii="宋体" w:hAnsi="宋体" w:eastAsia="宋体" w:cs="宋体"/>
                <w:i w:val="0"/>
                <w:iCs w:val="0"/>
                <w:color w:val="000000"/>
                <w:kern w:val="0"/>
                <w:sz w:val="21"/>
                <w:szCs w:val="21"/>
                <w:u w:val="none"/>
                <w:lang w:val="en-US" w:eastAsia="zh-CN" w:bidi="ar"/>
              </w:rPr>
              <w:t>饰面</w:t>
            </w:r>
            <w:r>
              <w:rPr>
                <w:rFonts w:hint="eastAsia"/>
              </w:rPr>
              <w:t>实木多层板</w:t>
            </w:r>
            <w:r>
              <w:rPr>
                <w:rFonts w:hint="eastAsia" w:ascii="宋体" w:hAnsi="宋体" w:cs="宋体"/>
                <w:i w:val="0"/>
                <w:iCs w:val="0"/>
                <w:color w:val="000000"/>
                <w:kern w:val="0"/>
                <w:sz w:val="21"/>
                <w:szCs w:val="21"/>
                <w:u w:val="none"/>
                <w:lang w:val="en-US" w:eastAsia="zh-CN" w:bidi="ar"/>
              </w:rPr>
              <w:t>（胶合板）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ABS</w:t>
            </w:r>
            <w:r>
              <w:rPr>
                <w:rFonts w:hint="eastAsia" w:ascii="宋体" w:hAnsi="宋体" w:eastAsia="宋体" w:cs="宋体"/>
                <w:i w:val="0"/>
                <w:iCs w:val="0"/>
                <w:color w:val="000000"/>
                <w:kern w:val="0"/>
                <w:sz w:val="21"/>
                <w:szCs w:val="21"/>
                <w:u w:val="none"/>
                <w:lang w:val="en-US" w:eastAsia="zh-CN" w:bidi="ar"/>
              </w:rPr>
              <w:t>封边</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封边条</w:t>
            </w:r>
            <w:r>
              <w:rPr>
                <w:rFonts w:hint="eastAsia" w:ascii="宋体" w:hAnsi="宋体" w:cs="宋体"/>
                <w:i w:val="0"/>
                <w:iCs w:val="0"/>
                <w:color w:val="000000"/>
                <w:kern w:val="0"/>
                <w:sz w:val="21"/>
                <w:szCs w:val="21"/>
                <w:u w:val="none"/>
                <w:lang w:val="en-US" w:eastAsia="zh-CN" w:bidi="ar"/>
              </w:rPr>
              <w:t>依据</w:t>
            </w:r>
            <w:r>
              <w:rPr>
                <w:rFonts w:hint="eastAsia" w:ascii="宋体" w:hAnsi="宋体" w:eastAsia="宋体" w:cs="宋体"/>
                <w:i w:val="0"/>
                <w:iCs w:val="0"/>
                <w:color w:val="000000"/>
                <w:kern w:val="0"/>
                <w:sz w:val="21"/>
                <w:szCs w:val="21"/>
                <w:u w:val="none"/>
                <w:lang w:val="en-US" w:eastAsia="zh-CN" w:bidi="ar"/>
              </w:rPr>
              <w:t xml:space="preserve"> QB/T 4463-2025《家具用封边条》</w:t>
            </w:r>
            <w:r>
              <w:rPr>
                <w:rFonts w:hint="eastAsia" w:ascii="宋体" w:hAnsi="宋体" w:cs="宋体"/>
                <w:i w:val="0"/>
                <w:iCs w:val="0"/>
                <w:color w:val="000000"/>
                <w:kern w:val="0"/>
                <w:sz w:val="21"/>
                <w:szCs w:val="21"/>
                <w:u w:val="none"/>
                <w:lang w:val="en-US" w:eastAsia="zh-CN" w:bidi="ar"/>
              </w:rPr>
              <w:t>标准，</w:t>
            </w:r>
            <w:r>
              <w:rPr>
                <w:rFonts w:hint="eastAsia" w:ascii="宋体" w:hAnsi="宋体" w:eastAsia="宋体" w:cs="宋体"/>
                <w:i w:val="0"/>
                <w:iCs w:val="0"/>
                <w:color w:val="000000"/>
                <w:kern w:val="0"/>
                <w:sz w:val="21"/>
                <w:szCs w:val="21"/>
                <w:u w:val="none"/>
                <w:lang w:val="en-US" w:eastAsia="zh-CN" w:bidi="ar"/>
              </w:rPr>
              <w:t>耐干热性、耐磨性、耐龟裂性、耐冷热循性环均符合标准要求，甲醛释放量≤0.1mg/L，可迁移元素</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邻苯二甲酸酯（DBP、BBP、DEHP、DNOP、DINP和DIDP）的总量、多溴联苯（PBB）、多溴联苯醚(PBDE)均未检出的要求,氯乙烯单体未检出。均匀对开门设计</w:t>
            </w:r>
            <w:r>
              <w:rPr>
                <w:rFonts w:hint="eastAsia" w:ascii="宋体" w:hAnsi="宋体" w:cs="宋体"/>
                <w:i w:val="0"/>
                <w:iCs w:val="0"/>
                <w:color w:val="000000"/>
                <w:kern w:val="0"/>
                <w:sz w:val="21"/>
                <w:szCs w:val="21"/>
                <w:u w:val="none"/>
                <w:lang w:val="en-US" w:eastAsia="zh-CN" w:bidi="ar"/>
              </w:rPr>
              <w:t>。采用阻尼缓冲</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铰链，钢材厚度≥1.2mm，质量符合QB/T 2189-2013《家具五金 杯状暗铰链》商用型要求，耐久性8万次无损坏。配置4位数机械密码锁，采用锌合金锁芯，配置管理钥匙。</w:t>
            </w:r>
          </w:p>
        </w:tc>
      </w:tr>
      <w:tr w14:paraId="113E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4AEDDEB6">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11B1A1F1">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88D21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4.衣柜内部配置层板</w:t>
            </w:r>
            <w:r>
              <w:rPr>
                <w:rFonts w:hint="eastAsia" w:ascii="宋体" w:hAnsi="宋体" w:cs="宋体"/>
                <w:i w:val="0"/>
                <w:iCs w:val="0"/>
                <w:color w:val="000000"/>
                <w:kern w:val="0"/>
                <w:sz w:val="21"/>
                <w:szCs w:val="21"/>
                <w:u w:val="none"/>
                <w:lang w:val="en-US" w:eastAsia="zh-CN" w:bidi="ar"/>
              </w:rPr>
              <w:t>及</w:t>
            </w:r>
            <w:r>
              <w:rPr>
                <w:rFonts w:hint="eastAsia" w:ascii="宋体" w:hAnsi="宋体" w:eastAsia="宋体" w:cs="宋体"/>
                <w:i w:val="0"/>
                <w:iCs w:val="0"/>
                <w:color w:val="000000"/>
                <w:kern w:val="0"/>
                <w:sz w:val="21"/>
                <w:szCs w:val="21"/>
                <w:u w:val="none"/>
                <w:lang w:val="en-US" w:eastAsia="zh-CN" w:bidi="ar"/>
              </w:rPr>
              <w:t>铝合金挂衣杆</w:t>
            </w:r>
            <w:r>
              <w:rPr>
                <w:rFonts w:hint="eastAsia" w:ascii="宋体" w:hAnsi="宋体" w:cs="宋体"/>
                <w:i w:val="0"/>
                <w:iCs w:val="0"/>
                <w:color w:val="000000"/>
                <w:kern w:val="0"/>
                <w:sz w:val="21"/>
                <w:szCs w:val="21"/>
                <w:u w:val="none"/>
                <w:lang w:val="en-US" w:eastAsia="zh-CN" w:bidi="ar"/>
              </w:rPr>
              <w:t>，内部功能及结构根据采购方需求深化设计</w:t>
            </w:r>
            <w:r>
              <w:rPr>
                <w:rFonts w:hint="eastAsia" w:ascii="宋体" w:hAnsi="宋体" w:eastAsia="宋体" w:cs="宋体"/>
                <w:i w:val="0"/>
                <w:iCs w:val="0"/>
                <w:color w:val="000000"/>
                <w:kern w:val="0"/>
                <w:sz w:val="21"/>
                <w:szCs w:val="21"/>
                <w:u w:val="none"/>
                <w:lang w:val="en-US" w:eastAsia="zh-CN" w:bidi="ar"/>
              </w:rPr>
              <w:t>。一体式拉手。</w:t>
            </w:r>
          </w:p>
        </w:tc>
      </w:tr>
      <w:tr w14:paraId="6FC1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6F14E6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003" w:type="dxa"/>
            <w:vMerge w:val="restart"/>
            <w:shd w:val="clear" w:color="auto" w:fill="auto"/>
            <w:vAlign w:val="center"/>
          </w:tcPr>
          <w:p w14:paraId="0073C7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衣柜3</w:t>
            </w:r>
          </w:p>
        </w:tc>
        <w:tc>
          <w:tcPr>
            <w:tcW w:w="8030" w:type="dxa"/>
            <w:shd w:val="clear" w:color="auto" w:fill="auto"/>
            <w:vAlign w:val="center"/>
          </w:tcPr>
          <w:p w14:paraId="208522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1.规格：长2000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宽600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高2000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5A1F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49A408A3">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D691CFD">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42583F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2.柜体为全板式结构设计，采用E0级</w:t>
            </w:r>
            <w:r>
              <w:rPr>
                <w:rFonts w:hint="eastAsia"/>
              </w:rPr>
              <w:t>浸渍胶膜纸</w:t>
            </w:r>
            <w:r>
              <w:rPr>
                <w:rFonts w:hint="eastAsia" w:ascii="宋体" w:hAnsi="宋体" w:eastAsia="宋体" w:cs="宋体"/>
                <w:i w:val="0"/>
                <w:iCs w:val="0"/>
                <w:color w:val="000000"/>
                <w:kern w:val="0"/>
                <w:sz w:val="21"/>
                <w:szCs w:val="21"/>
                <w:u w:val="none"/>
                <w:lang w:val="en-US" w:eastAsia="zh-CN" w:bidi="ar"/>
              </w:rPr>
              <w:t>饰面</w:t>
            </w:r>
            <w:r>
              <w:rPr>
                <w:rFonts w:hint="eastAsia"/>
              </w:rPr>
              <w:t>实木多层板</w:t>
            </w:r>
            <w:r>
              <w:rPr>
                <w:rFonts w:hint="eastAsia" w:ascii="宋体" w:hAnsi="宋体" w:cs="宋体"/>
                <w:i w:val="0"/>
                <w:iCs w:val="0"/>
                <w:color w:val="000000"/>
                <w:kern w:val="0"/>
                <w:sz w:val="21"/>
                <w:szCs w:val="21"/>
                <w:u w:val="none"/>
                <w:lang w:val="en-US" w:eastAsia="zh-CN" w:bidi="ar"/>
              </w:rPr>
              <w:t>（胶合板）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ABS</w:t>
            </w:r>
            <w:r>
              <w:rPr>
                <w:rFonts w:hint="eastAsia" w:ascii="宋体" w:hAnsi="宋体" w:eastAsia="宋体" w:cs="宋体"/>
                <w:i w:val="0"/>
                <w:iCs w:val="0"/>
                <w:color w:val="000000"/>
                <w:kern w:val="0"/>
                <w:sz w:val="21"/>
                <w:szCs w:val="21"/>
                <w:u w:val="none"/>
                <w:lang w:val="en-US" w:eastAsia="zh-CN" w:bidi="ar"/>
              </w:rPr>
              <w:t>封边</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封边条</w:t>
            </w:r>
            <w:r>
              <w:rPr>
                <w:rFonts w:hint="eastAsia" w:ascii="宋体" w:hAnsi="宋体" w:cs="宋体"/>
                <w:i w:val="0"/>
                <w:iCs w:val="0"/>
                <w:color w:val="000000"/>
                <w:kern w:val="0"/>
                <w:sz w:val="21"/>
                <w:szCs w:val="21"/>
                <w:u w:val="none"/>
                <w:lang w:val="en-US" w:eastAsia="zh-CN" w:bidi="ar"/>
              </w:rPr>
              <w:t>依据</w:t>
            </w:r>
            <w:r>
              <w:rPr>
                <w:rFonts w:hint="eastAsia" w:ascii="宋体" w:hAnsi="宋体" w:eastAsia="宋体" w:cs="宋体"/>
                <w:i w:val="0"/>
                <w:iCs w:val="0"/>
                <w:color w:val="000000"/>
                <w:kern w:val="0"/>
                <w:sz w:val="21"/>
                <w:szCs w:val="21"/>
                <w:u w:val="none"/>
                <w:lang w:val="en-US" w:eastAsia="zh-CN" w:bidi="ar"/>
              </w:rPr>
              <w:t xml:space="preserve"> QB/T 4463-2025《家具用封边条》</w:t>
            </w:r>
            <w:r>
              <w:rPr>
                <w:rFonts w:hint="eastAsia" w:ascii="宋体" w:hAnsi="宋体" w:cs="宋体"/>
                <w:i w:val="0"/>
                <w:iCs w:val="0"/>
                <w:color w:val="000000"/>
                <w:kern w:val="0"/>
                <w:sz w:val="21"/>
                <w:szCs w:val="21"/>
                <w:u w:val="none"/>
                <w:lang w:val="en-US" w:eastAsia="zh-CN" w:bidi="ar"/>
              </w:rPr>
              <w:t>标准，</w:t>
            </w:r>
            <w:r>
              <w:rPr>
                <w:rFonts w:hint="eastAsia" w:ascii="宋体" w:hAnsi="宋体" w:eastAsia="宋体" w:cs="宋体"/>
                <w:i w:val="0"/>
                <w:iCs w:val="0"/>
                <w:color w:val="000000"/>
                <w:kern w:val="0"/>
                <w:sz w:val="21"/>
                <w:szCs w:val="21"/>
                <w:u w:val="none"/>
                <w:lang w:val="en-US" w:eastAsia="zh-CN" w:bidi="ar"/>
              </w:rPr>
              <w:t>耐干热性、耐磨性、耐龟裂性、耐冷热循性环均符合标准要求，甲醛释放量≤0.1mg/L，可迁移元素</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邻苯二甲酸酯（DBP、BBP、DEHP、DNOP、DINP和DIDP）的总量、多溴联苯（PBB）、多溴联苯醚(PBDE)均未检出的要求,氯乙烯单体未检出；柜体板材厚度不小于18mm，门板厚度不小于1</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mm厚。</w:t>
            </w:r>
          </w:p>
        </w:tc>
      </w:tr>
      <w:tr w14:paraId="7A94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3CA4FA1A">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2978C5C1">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19440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3.柜门四扇对边开，配备缓冲门铰，铝合金拉手，整体美观大方，使用方便。</w:t>
            </w:r>
            <w:r>
              <w:rPr>
                <w:rFonts w:hint="eastAsia" w:ascii="宋体" w:hAnsi="宋体" w:cs="宋体"/>
                <w:i w:val="0"/>
                <w:iCs w:val="0"/>
                <w:color w:val="000000"/>
                <w:kern w:val="0"/>
                <w:sz w:val="21"/>
                <w:szCs w:val="21"/>
                <w:u w:val="none"/>
                <w:lang w:val="en-US" w:eastAsia="zh-CN" w:bidi="ar"/>
              </w:rPr>
              <w:t>采用阻尼缓冲</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铰链，钢材厚度≥1.2mm，质量符合QB/T 2189-2013《家具五金 杯状暗铰链》商用型要求，耐久性8万次无损坏。</w:t>
            </w:r>
          </w:p>
        </w:tc>
      </w:tr>
      <w:tr w14:paraId="1384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0A9BE7C1">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CAC73E4">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1A2E7A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4.柜内中上部设有固定隔板一块将柜内分成上下两个空间，下空间配有一根铝合金材质挂衣杆。</w:t>
            </w:r>
          </w:p>
        </w:tc>
      </w:tr>
      <w:tr w14:paraId="310F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370D8D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003" w:type="dxa"/>
            <w:vMerge w:val="restart"/>
            <w:shd w:val="clear" w:color="auto" w:fill="auto"/>
            <w:vAlign w:val="center"/>
          </w:tcPr>
          <w:p w14:paraId="6E4A3E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行李架</w:t>
            </w:r>
          </w:p>
        </w:tc>
        <w:tc>
          <w:tcPr>
            <w:tcW w:w="8030" w:type="dxa"/>
            <w:shd w:val="clear" w:color="auto" w:fill="auto"/>
            <w:vAlign w:val="center"/>
          </w:tcPr>
          <w:p w14:paraId="53C8AD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1.规格：长800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宽500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高1800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108A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228E02B8">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72E43B4B">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95BF8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2.材质：采用冷轧钢板，</w:t>
            </w:r>
            <w:r>
              <w:rPr>
                <w:rFonts w:hint="eastAsia" w:ascii="宋体" w:hAnsi="宋体" w:cs="宋体"/>
                <w:i w:val="0"/>
                <w:iCs w:val="0"/>
                <w:color w:val="000000"/>
                <w:kern w:val="0"/>
                <w:sz w:val="21"/>
                <w:szCs w:val="21"/>
                <w:u w:val="none"/>
                <w:lang w:val="en-US" w:eastAsia="zh-CN" w:bidi="ar"/>
              </w:rPr>
              <w:t>立柱、层架</w:t>
            </w:r>
            <w:r>
              <w:rPr>
                <w:rFonts w:hint="eastAsia" w:ascii="宋体" w:hAnsi="宋体" w:eastAsia="宋体" w:cs="宋体"/>
                <w:i w:val="0"/>
                <w:iCs w:val="0"/>
                <w:color w:val="000000"/>
                <w:kern w:val="0"/>
                <w:sz w:val="21"/>
                <w:szCs w:val="21"/>
                <w:u w:val="none"/>
                <w:lang w:val="en-US" w:eastAsia="zh-CN" w:bidi="ar"/>
              </w:rPr>
              <w:t>材料厚度不小于</w:t>
            </w: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mm。</w:t>
            </w:r>
          </w:p>
        </w:tc>
      </w:tr>
      <w:tr w14:paraId="1302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55568EC4">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3D77606">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B997C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3.多层立式设计，可容纳 30寸以下常规行李箱，结构稳固不易晃动，承重能力强。</w:t>
            </w:r>
          </w:p>
        </w:tc>
      </w:tr>
      <w:tr w14:paraId="69BE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003A9B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03" w:type="dxa"/>
            <w:vMerge w:val="restart"/>
            <w:shd w:val="clear" w:color="auto" w:fill="auto"/>
            <w:vAlign w:val="center"/>
          </w:tcPr>
          <w:p w14:paraId="50E3A7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单人床1</w:t>
            </w:r>
          </w:p>
        </w:tc>
        <w:tc>
          <w:tcPr>
            <w:tcW w:w="8030" w:type="dxa"/>
            <w:shd w:val="clear" w:color="auto" w:fill="auto"/>
            <w:vAlign w:val="center"/>
          </w:tcPr>
          <w:p w14:paraId="46A434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1.规格：长2050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宽1</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高900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31D5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4BC00D5F">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8780091">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2034E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w:t>
            </w:r>
            <w:r>
              <w:rPr>
                <w:rFonts w:hint="eastAsia" w:ascii="宋体" w:hAnsi="宋体" w:cs="宋体"/>
                <w:color w:val="000000"/>
                <w:kern w:val="0"/>
                <w:szCs w:val="21"/>
                <w:u w:val="none"/>
                <w:lang w:bidi="ar"/>
              </w:rPr>
              <w:t>床立柱：采用隐藏挂件焊道式型材管，外形尺寸80mm×50mm</w:t>
            </w:r>
            <w:r>
              <w:rPr>
                <w:rFonts w:hint="eastAsia" w:ascii="宋体" w:hAnsi="宋体" w:cs="宋体"/>
                <w:i w:val="0"/>
                <w:iCs w:val="0"/>
                <w:color w:val="000000"/>
                <w:kern w:val="0"/>
                <w:sz w:val="21"/>
                <w:szCs w:val="21"/>
                <w:u w:val="none"/>
                <w:lang w:val="en-US" w:eastAsia="zh-CN" w:bidi="ar"/>
              </w:rPr>
              <w:t>（±2mm）</w:t>
            </w:r>
            <w:r>
              <w:rPr>
                <w:rFonts w:hint="eastAsia" w:ascii="宋体" w:hAnsi="宋体" w:cs="宋体"/>
                <w:color w:val="000000"/>
                <w:kern w:val="0"/>
                <w:szCs w:val="21"/>
                <w:u w:val="none"/>
                <w:lang w:bidi="ar"/>
              </w:rPr>
              <w:t>，厚度不小于1.</w:t>
            </w:r>
            <w:r>
              <w:rPr>
                <w:rFonts w:hint="eastAsia" w:ascii="宋体" w:hAnsi="宋体" w:cs="宋体"/>
                <w:color w:val="000000"/>
                <w:kern w:val="0"/>
                <w:szCs w:val="21"/>
                <w:u w:val="none"/>
                <w:lang w:val="en-US" w:eastAsia="zh-CN" w:bidi="ar"/>
              </w:rPr>
              <w:t>5</w:t>
            </w:r>
            <w:r>
              <w:rPr>
                <w:rFonts w:hint="eastAsia" w:ascii="宋体" w:hAnsi="宋体" w:cs="宋体"/>
                <w:color w:val="000000"/>
                <w:kern w:val="0"/>
                <w:szCs w:val="21"/>
                <w:u w:val="none"/>
                <w:lang w:bidi="ar"/>
              </w:rPr>
              <w:t>mm，经轧压线辊压成闭口，外侧为5条倒角弧形内凹加强筋，连接件内藏于管内侧，便于封板，增强床立柱的抗扭力。底部配有塑制防水脚套。板木结合正面侧面整体风格明显，具有现代宿舍家具简洁立体风格。</w:t>
            </w:r>
          </w:p>
        </w:tc>
      </w:tr>
      <w:tr w14:paraId="0F3F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0F6D0EDC">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60DFCA3">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82AD530">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r>
              <w:rPr>
                <w:rFonts w:hint="eastAsia" w:ascii="宋体" w:hAnsi="宋体" w:cs="宋体"/>
                <w:color w:val="000000"/>
                <w:kern w:val="0"/>
                <w:szCs w:val="21"/>
                <w:u w:val="none"/>
                <w:lang w:bidi="ar"/>
              </w:rPr>
              <w:t>床横梁：采用规格为90mm×30mm</w:t>
            </w:r>
            <w:r>
              <w:rPr>
                <w:rFonts w:hint="eastAsia" w:ascii="宋体" w:hAnsi="宋体" w:cs="宋体"/>
                <w:i w:val="0"/>
                <w:iCs w:val="0"/>
                <w:color w:val="000000"/>
                <w:kern w:val="0"/>
                <w:sz w:val="21"/>
                <w:szCs w:val="21"/>
                <w:u w:val="none"/>
                <w:lang w:val="en-US" w:eastAsia="zh-CN" w:bidi="ar"/>
              </w:rPr>
              <w:t>（±2mm）</w:t>
            </w:r>
            <w:r>
              <w:rPr>
                <w:rFonts w:hint="eastAsia" w:ascii="宋体" w:hAnsi="宋体" w:cs="宋体"/>
                <w:color w:val="000000"/>
                <w:kern w:val="0"/>
                <w:szCs w:val="21"/>
                <w:u w:val="none"/>
                <w:lang w:bidi="ar"/>
              </w:rPr>
              <w:t>，壁厚不小于1.</w:t>
            </w:r>
            <w:r>
              <w:rPr>
                <w:rFonts w:hint="eastAsia" w:ascii="宋体" w:hAnsi="宋体" w:cs="宋体"/>
                <w:color w:val="000000"/>
                <w:kern w:val="0"/>
                <w:szCs w:val="21"/>
                <w:u w:val="none"/>
                <w:lang w:val="en-US" w:eastAsia="zh-CN" w:bidi="ar"/>
              </w:rPr>
              <w:t>5</w:t>
            </w:r>
            <w:r>
              <w:rPr>
                <w:rFonts w:hint="eastAsia" w:ascii="宋体" w:hAnsi="宋体" w:cs="宋体"/>
                <w:color w:val="000000"/>
                <w:kern w:val="0"/>
                <w:szCs w:val="21"/>
                <w:u w:val="none"/>
                <w:lang w:bidi="ar"/>
              </w:rPr>
              <w:t>mm闭口异型管材，外侧面有5条倒角弧形内凹加强筋，底部圆弧形设计，加强其抗弯强度同时起到防撞作用；表面经粉末涂料塑粉处理，整体稳固美观。</w:t>
            </w:r>
          </w:p>
        </w:tc>
      </w:tr>
      <w:tr w14:paraId="1194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5A146AE0">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686016D4">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1283AE15">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r>
              <w:rPr>
                <w:rFonts w:hint="eastAsia" w:ascii="宋体" w:hAnsi="宋体" w:cs="宋体"/>
                <w:color w:val="000000"/>
                <w:kern w:val="0"/>
                <w:szCs w:val="21"/>
                <w:u w:val="none"/>
                <w:lang w:bidi="ar"/>
              </w:rPr>
              <w:t>床板支撑梁：采用规格为30mm×20mm</w:t>
            </w:r>
            <w:r>
              <w:rPr>
                <w:rFonts w:hint="eastAsia" w:ascii="宋体" w:hAnsi="宋体" w:cs="宋体"/>
                <w:i w:val="0"/>
                <w:iCs w:val="0"/>
                <w:color w:val="000000"/>
                <w:kern w:val="0"/>
                <w:sz w:val="21"/>
                <w:szCs w:val="21"/>
                <w:u w:val="none"/>
                <w:lang w:val="en-US" w:eastAsia="zh-CN" w:bidi="ar"/>
              </w:rPr>
              <w:t>（±2mm）</w:t>
            </w:r>
            <w:r>
              <w:rPr>
                <w:rFonts w:hint="eastAsia" w:ascii="宋体" w:hAnsi="宋体" w:cs="宋体"/>
                <w:color w:val="000000"/>
                <w:kern w:val="0"/>
                <w:szCs w:val="21"/>
                <w:u w:val="none"/>
                <w:lang w:bidi="ar"/>
              </w:rPr>
              <w:t>，厚度不小于1.2mm方管，床板支撑梁数量≥5根。</w:t>
            </w:r>
          </w:p>
        </w:tc>
      </w:tr>
      <w:tr w14:paraId="6519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54" w:type="dxa"/>
            <w:vMerge w:val="continue"/>
            <w:shd w:val="clear" w:color="auto" w:fill="auto"/>
            <w:vAlign w:val="center"/>
          </w:tcPr>
          <w:p w14:paraId="2B9B434E">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44C7C72D">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E809139">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.床体板式采用不小于15mm厚E0级</w:t>
            </w:r>
            <w:r>
              <w:rPr>
                <w:rFonts w:hint="eastAsia"/>
              </w:rPr>
              <w:t>饰面实木多层板</w:t>
            </w:r>
            <w:r>
              <w:rPr>
                <w:rFonts w:hint="eastAsia" w:ascii="宋体" w:hAnsi="宋体" w:cs="宋体"/>
                <w:i w:val="0"/>
                <w:iCs w:val="0"/>
                <w:color w:val="000000"/>
                <w:kern w:val="0"/>
                <w:sz w:val="21"/>
                <w:szCs w:val="21"/>
                <w:u w:val="none"/>
                <w:lang w:val="en-US" w:eastAsia="zh-CN" w:bidi="ar"/>
              </w:rPr>
              <w:t>（胶合板）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rPr>
              <w:t>床屏</w:t>
            </w:r>
            <w:r>
              <w:rPr>
                <w:rFonts w:hint="eastAsia" w:ascii="宋体" w:hAnsi="宋体" w:eastAsia="宋体" w:cs="宋体"/>
                <w:lang w:val="en-US" w:eastAsia="zh-CN"/>
              </w:rPr>
              <w:t>板</w:t>
            </w:r>
            <w:r>
              <w:rPr>
                <w:rFonts w:hint="eastAsia" w:ascii="宋体" w:hAnsi="宋体" w:eastAsia="宋体" w:cs="宋体"/>
                <w:lang w:eastAsia="zh-CN"/>
              </w:rPr>
              <w:t>、</w:t>
            </w:r>
            <w:r>
              <w:rPr>
                <w:rFonts w:hint="eastAsia" w:ascii="宋体" w:hAnsi="宋体" w:eastAsia="宋体" w:cs="宋体"/>
                <w:lang w:val="en-US" w:eastAsia="zh-CN"/>
              </w:rPr>
              <w:t>床尾板</w:t>
            </w:r>
            <w:r>
              <w:rPr>
                <w:rFonts w:hint="eastAsia" w:ascii="宋体" w:hAnsi="宋体" w:eastAsia="宋体" w:cs="宋体"/>
              </w:rPr>
              <w:t>：采用≥</w:t>
            </w:r>
            <w:r>
              <w:rPr>
                <w:rFonts w:hint="eastAsia" w:ascii="宋体" w:hAnsi="宋体" w:eastAsia="宋体" w:cs="宋体"/>
                <w:lang w:val="en-US" w:eastAsia="zh-CN"/>
              </w:rPr>
              <w:t>18</w:t>
            </w:r>
            <w:r>
              <w:rPr>
                <w:rFonts w:hint="eastAsia" w:ascii="宋体" w:hAnsi="宋体" w:eastAsia="宋体" w:cs="宋体"/>
              </w:rPr>
              <w:t>mm</w:t>
            </w:r>
            <w:r>
              <w:rPr>
                <w:rFonts w:hint="eastAsia"/>
              </w:rPr>
              <w:t>浸渍胶膜纸饰面实木多层板</w:t>
            </w:r>
            <w:r>
              <w:rPr>
                <w:rFonts w:hint="eastAsia" w:ascii="宋体" w:hAnsi="宋体" w:cs="宋体"/>
                <w:i w:val="0"/>
                <w:iCs w:val="0"/>
                <w:color w:val="000000"/>
                <w:kern w:val="0"/>
                <w:sz w:val="21"/>
                <w:szCs w:val="21"/>
                <w:u w:val="none"/>
                <w:lang w:val="en-US" w:eastAsia="zh-CN" w:bidi="ar"/>
              </w:rPr>
              <w:t>（胶合板）</w:t>
            </w:r>
            <w:r>
              <w:rPr>
                <w:rFonts w:hint="eastAsia" w:ascii="宋体" w:hAnsi="宋体" w:eastAsia="宋体" w:cs="宋体"/>
              </w:rPr>
              <w:t>，</w:t>
            </w:r>
            <w:r>
              <w:rPr>
                <w:rFonts w:hint="eastAsia" w:ascii="宋体" w:hAnsi="宋体" w:cs="宋体"/>
                <w:lang w:val="en-US" w:eastAsia="zh-CN"/>
              </w:rPr>
              <w:t>采用环保热熔胶</w:t>
            </w:r>
            <w:r>
              <w:rPr>
                <w:rFonts w:hint="eastAsia" w:ascii="宋体" w:hAnsi="宋体" w:eastAsia="宋体" w:cs="宋体"/>
              </w:rPr>
              <w:t>四边</w:t>
            </w:r>
            <w:r>
              <w:rPr>
                <w:rFonts w:hint="eastAsia" w:ascii="宋体" w:hAnsi="宋体" w:eastAsia="宋体" w:cs="宋体"/>
                <w:lang w:val="en-US" w:eastAsia="zh-CN"/>
              </w:rPr>
              <w:t>≥</w:t>
            </w:r>
            <w:r>
              <w:rPr>
                <w:rFonts w:hint="eastAsia" w:ascii="宋体" w:hAnsi="宋体" w:cs="宋体"/>
                <w:lang w:val="en-US" w:eastAsia="zh-CN"/>
              </w:rPr>
              <w:t>1.0</w:t>
            </w:r>
            <w:r>
              <w:rPr>
                <w:rFonts w:hint="eastAsia" w:ascii="宋体" w:hAnsi="宋体" w:eastAsia="宋体" w:cs="宋体"/>
                <w:lang w:val="en-US" w:eastAsia="zh-CN"/>
              </w:rPr>
              <w:t>mm厚</w:t>
            </w:r>
            <w:r>
              <w:rPr>
                <w:rFonts w:hint="eastAsia" w:ascii="宋体" w:hAnsi="宋体" w:cs="宋体"/>
                <w:lang w:val="en-US" w:eastAsia="zh-CN"/>
              </w:rPr>
              <w:t>ABS</w:t>
            </w:r>
            <w:r>
              <w:rPr>
                <w:rFonts w:hint="eastAsia" w:ascii="宋体" w:hAnsi="宋体" w:eastAsia="宋体" w:cs="宋体"/>
              </w:rPr>
              <w:t>封边</w:t>
            </w:r>
            <w:r>
              <w:rPr>
                <w:rFonts w:hint="eastAsia" w:ascii="宋体" w:hAnsi="宋体" w:cs="宋体"/>
                <w:lang w:val="en-US" w:eastAsia="zh-CN"/>
              </w:rPr>
              <w:t>,</w:t>
            </w:r>
            <w:r>
              <w:rPr>
                <w:rFonts w:hint="eastAsia" w:ascii="宋体" w:hAnsi="宋体" w:eastAsia="宋体" w:cs="宋体"/>
                <w:i w:val="0"/>
                <w:iCs w:val="0"/>
                <w:color w:val="000000"/>
                <w:kern w:val="0"/>
                <w:sz w:val="21"/>
                <w:szCs w:val="21"/>
                <w:u w:val="none"/>
                <w:lang w:val="en-US" w:eastAsia="zh-CN" w:bidi="ar"/>
              </w:rPr>
              <w:t>封边条</w:t>
            </w:r>
            <w:r>
              <w:rPr>
                <w:rFonts w:hint="eastAsia" w:ascii="宋体" w:hAnsi="宋体" w:cs="宋体"/>
                <w:i w:val="0"/>
                <w:iCs w:val="0"/>
                <w:color w:val="000000"/>
                <w:kern w:val="0"/>
                <w:sz w:val="21"/>
                <w:szCs w:val="21"/>
                <w:u w:val="none"/>
                <w:lang w:val="en-US" w:eastAsia="zh-CN" w:bidi="ar"/>
              </w:rPr>
              <w:t>依据</w:t>
            </w:r>
            <w:r>
              <w:rPr>
                <w:rFonts w:hint="eastAsia" w:ascii="宋体" w:hAnsi="宋体" w:eastAsia="宋体" w:cs="宋体"/>
                <w:i w:val="0"/>
                <w:iCs w:val="0"/>
                <w:color w:val="000000"/>
                <w:kern w:val="0"/>
                <w:sz w:val="21"/>
                <w:szCs w:val="21"/>
                <w:u w:val="none"/>
                <w:lang w:val="en-US" w:eastAsia="zh-CN" w:bidi="ar"/>
              </w:rPr>
              <w:t xml:space="preserve"> QB/T 4463-2025《家具用封边条》</w:t>
            </w:r>
            <w:r>
              <w:rPr>
                <w:rFonts w:hint="eastAsia" w:ascii="宋体" w:hAnsi="宋体" w:cs="宋体"/>
                <w:i w:val="0"/>
                <w:iCs w:val="0"/>
                <w:color w:val="000000"/>
                <w:kern w:val="0"/>
                <w:sz w:val="21"/>
                <w:szCs w:val="21"/>
                <w:u w:val="none"/>
                <w:lang w:val="en-US" w:eastAsia="zh-CN" w:bidi="ar"/>
              </w:rPr>
              <w:t>标准，</w:t>
            </w:r>
            <w:r>
              <w:rPr>
                <w:rFonts w:hint="eastAsia" w:ascii="宋体" w:hAnsi="宋体" w:eastAsia="宋体" w:cs="宋体"/>
                <w:i w:val="0"/>
                <w:iCs w:val="0"/>
                <w:color w:val="000000"/>
                <w:kern w:val="0"/>
                <w:sz w:val="21"/>
                <w:szCs w:val="21"/>
                <w:u w:val="none"/>
                <w:lang w:val="en-US" w:eastAsia="zh-CN" w:bidi="ar"/>
              </w:rPr>
              <w:t>耐干热性、耐磨性、耐龟裂性、耐冷热循性环均符合标准要求，甲醛释放量≤0.1mg/L，可迁移元素</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邻苯二甲酸酯（DBP、BBP、DEHP、DNOP、DINP和DIDP）的总量、多溴联苯（PBB）、多溴联苯醚(PBDE)均未检出的要求,氯乙烯单体未检出。</w:t>
            </w:r>
            <w:r>
              <w:rPr>
                <w:rFonts w:hint="eastAsia" w:ascii="宋体" w:hAnsi="宋体" w:cs="宋体"/>
                <w:i w:val="0"/>
                <w:iCs w:val="0"/>
                <w:color w:val="000000"/>
                <w:kern w:val="0"/>
                <w:sz w:val="21"/>
                <w:szCs w:val="21"/>
                <w:u w:val="none"/>
                <w:lang w:val="en-US" w:eastAsia="zh-CN" w:bidi="ar"/>
              </w:rPr>
              <w:t>床底部配储物抽屉。</w:t>
            </w:r>
          </w:p>
        </w:tc>
      </w:tr>
      <w:tr w14:paraId="6C52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7132F7C6">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FB76B2D">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5C21516">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实木床板：</w:t>
            </w:r>
            <w:r>
              <w:rPr>
                <w:rFonts w:hint="eastAsia" w:ascii="宋体" w:hAnsi="宋体" w:cs="宋体"/>
                <w:bCs/>
                <w:szCs w:val="21"/>
                <w:highlight w:val="none"/>
              </w:rPr>
              <w:t>床板基材采用厚度≥1</w:t>
            </w:r>
            <w:r>
              <w:rPr>
                <w:rFonts w:hint="eastAsia" w:ascii="宋体" w:hAnsi="宋体" w:cs="宋体"/>
                <w:bCs/>
                <w:szCs w:val="21"/>
                <w:highlight w:val="none"/>
                <w:lang w:val="en-US" w:eastAsia="zh-CN"/>
              </w:rPr>
              <w:t>6</w:t>
            </w:r>
            <w:r>
              <w:rPr>
                <w:rFonts w:hint="eastAsia" w:ascii="宋体" w:hAnsi="宋体" w:cs="宋体"/>
                <w:bCs/>
                <w:szCs w:val="21"/>
                <w:highlight w:val="none"/>
              </w:rPr>
              <w:t>mm的榉木实木材，多条实木板需固定成整块不分散，每条榉木实木截面尺寸≥1</w:t>
            </w:r>
            <w:r>
              <w:rPr>
                <w:rFonts w:hint="eastAsia" w:ascii="宋体" w:hAnsi="宋体" w:cs="宋体"/>
                <w:bCs/>
                <w:szCs w:val="21"/>
                <w:highlight w:val="none"/>
                <w:lang w:val="en-US" w:eastAsia="zh-CN"/>
              </w:rPr>
              <w:t>6</w:t>
            </w:r>
            <w:r>
              <w:rPr>
                <w:rFonts w:hint="eastAsia" w:ascii="宋体" w:hAnsi="宋体" w:cs="宋体"/>
                <w:bCs/>
                <w:szCs w:val="21"/>
                <w:highlight w:val="none"/>
              </w:rPr>
              <w:t>mm</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55</w:t>
            </w:r>
            <w:r>
              <w:rPr>
                <w:rFonts w:hint="eastAsia" w:ascii="宋体" w:hAnsi="宋体" w:cs="宋体"/>
                <w:bCs/>
                <w:szCs w:val="21"/>
                <w:highlight w:val="none"/>
              </w:rPr>
              <w:t>mm，每条榉木间隙≤30mm；木板面平整，四面刨光，表面光滑，无毛刺，无虫眼，无豁边木皮，无朽木，每条木材上不超过5个直径大于12mm的节子，床板底部采用榉木加强筋固定条，固定条尺寸≥1</w:t>
            </w:r>
            <w:r>
              <w:rPr>
                <w:rFonts w:hint="eastAsia" w:ascii="宋体" w:hAnsi="宋体" w:cs="宋体"/>
                <w:bCs/>
                <w:szCs w:val="21"/>
                <w:highlight w:val="none"/>
                <w:lang w:val="en-US" w:eastAsia="zh-CN"/>
              </w:rPr>
              <w:t>4</w:t>
            </w:r>
            <w:r>
              <w:rPr>
                <w:rFonts w:hint="eastAsia" w:ascii="宋体" w:hAnsi="宋体" w:cs="宋体"/>
                <w:bCs/>
                <w:szCs w:val="21"/>
                <w:highlight w:val="none"/>
              </w:rPr>
              <w:t>mm</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55</w:t>
            </w:r>
            <w:r>
              <w:rPr>
                <w:rFonts w:hint="eastAsia" w:ascii="宋体" w:hAnsi="宋体" w:cs="宋体"/>
                <w:bCs/>
                <w:szCs w:val="21"/>
                <w:highlight w:val="none"/>
              </w:rPr>
              <w:t>mm，数量≥4根，均匀分布，床板无明显异味，木材</w:t>
            </w:r>
            <w:r>
              <w:rPr>
                <w:rFonts w:hint="eastAsia"/>
                <w:highlight w:val="none"/>
              </w:rPr>
              <w:t>需做防腐防虫处理，床板不长霉，不长虫</w:t>
            </w:r>
            <w:r>
              <w:rPr>
                <w:rFonts w:hint="eastAsia" w:ascii="宋体" w:hAnsi="宋体" w:cs="宋体"/>
                <w:bCs/>
                <w:szCs w:val="21"/>
                <w:highlight w:val="none"/>
              </w:rPr>
              <w:t>。床板嵌入床框内与床架四周吻合，与床架间缝隙≤10mm，床板与床框平齐，尺寸与床架匹配。</w:t>
            </w:r>
          </w:p>
        </w:tc>
      </w:tr>
      <w:tr w14:paraId="2A88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4E0D778D">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439540C">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1C6E711D">
            <w:pPr>
              <w:keepNext w:val="0"/>
              <w:keepLines w:val="0"/>
              <w:widowControl/>
              <w:suppressLineNumbers w:val="0"/>
              <w:jc w:val="left"/>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6.功能结构：可根据采购方需求配置床下储物抽屉、储物层架。</w:t>
            </w:r>
          </w:p>
        </w:tc>
      </w:tr>
      <w:tr w14:paraId="3A15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5EDE1B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003" w:type="dxa"/>
            <w:vMerge w:val="restart"/>
            <w:shd w:val="clear" w:color="auto" w:fill="auto"/>
            <w:vAlign w:val="center"/>
          </w:tcPr>
          <w:p w14:paraId="0CF3BD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单人床2</w:t>
            </w:r>
          </w:p>
        </w:tc>
        <w:tc>
          <w:tcPr>
            <w:tcW w:w="8030" w:type="dxa"/>
            <w:shd w:val="clear" w:color="auto" w:fill="auto"/>
            <w:vAlign w:val="center"/>
          </w:tcPr>
          <w:p w14:paraId="0C479A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1.规格：长2050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宽1500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高900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354B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3E61EDFB">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406C55FD">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1976D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2.主材：</w:t>
            </w:r>
            <w:r>
              <w:rPr>
                <w:rFonts w:hint="eastAsia" w:ascii="宋体" w:hAnsi="宋体" w:eastAsia="宋体" w:cs="宋体"/>
                <w:color w:val="000000" w:themeColor="text1"/>
                <w:szCs w:val="21"/>
                <w14:textFill>
                  <w14:solidFill>
                    <w14:schemeClr w14:val="tx1"/>
                  </w14:solidFill>
                </w14:textFill>
              </w:rPr>
              <w:t>床尾支撑立柱采用</w:t>
            </w:r>
            <w:r>
              <w:rPr>
                <w:rFonts w:hint="eastAsia" w:ascii="宋体" w:hAnsi="宋体" w:eastAsia="宋体" w:cs="宋体"/>
                <w:color w:val="000000" w:themeColor="text1"/>
                <w:szCs w:val="21"/>
                <w:lang w:val="en-US" w:eastAsia="zh-CN"/>
                <w14:textFill>
                  <w14:solidFill>
                    <w14:schemeClr w14:val="tx1"/>
                  </w14:solidFill>
                </w14:textFill>
              </w:rPr>
              <w:t>特</w:t>
            </w:r>
            <w:r>
              <w:rPr>
                <w:rFonts w:hint="eastAsia" w:ascii="宋体" w:hAnsi="宋体" w:eastAsia="宋体" w:cs="宋体"/>
                <w:color w:val="000000" w:themeColor="text1"/>
                <w:szCs w:val="21"/>
                <w14:textFill>
                  <w14:solidFill>
                    <w14:schemeClr w14:val="tx1"/>
                  </w14:solidFill>
                </w14:textFill>
              </w:rPr>
              <w:t>级</w:t>
            </w:r>
            <w:r>
              <w:rPr>
                <w:rFonts w:hint="eastAsia" w:ascii="宋体" w:hAnsi="宋体" w:eastAsia="宋体" w:cs="宋体"/>
                <w:color w:val="000000" w:themeColor="text1"/>
                <w:szCs w:val="21"/>
                <w:lang w:val="en-US" w:eastAsia="zh-CN"/>
                <w14:textFill>
                  <w14:solidFill>
                    <w14:schemeClr w14:val="tx1"/>
                  </w14:solidFill>
                </w14:textFill>
              </w:rPr>
              <w:t>白蜡</w:t>
            </w:r>
            <w:r>
              <w:rPr>
                <w:rFonts w:hint="eastAsia" w:ascii="宋体" w:hAnsi="宋体" w:eastAsia="宋体" w:cs="宋体"/>
                <w:color w:val="000000" w:themeColor="text1"/>
                <w:szCs w:val="21"/>
                <w14:textFill>
                  <w14:solidFill>
                    <w14:schemeClr w14:val="tx1"/>
                  </w14:solidFill>
                </w14:textFill>
              </w:rPr>
              <w:t>木制作而成，截面尺寸≥</w:t>
            </w:r>
            <w:r>
              <w:rPr>
                <w:rFonts w:hint="eastAsia" w:ascii="宋体" w:hAnsi="宋体" w:eastAsia="宋体" w:cs="宋体"/>
                <w:color w:val="000000" w:themeColor="text1"/>
                <w:szCs w:val="21"/>
                <w:lang w:eastAsia="zh-CN"/>
                <w14:textFill>
                  <w14:solidFill>
                    <w14:schemeClr w14:val="tx1"/>
                  </w14:solidFill>
                </w14:textFill>
              </w:rPr>
              <w:t>70</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eastAsia="zh-CN"/>
                <w14:textFill>
                  <w14:solidFill>
                    <w14:schemeClr w14:val="tx1"/>
                  </w14:solidFill>
                </w14:textFill>
              </w:rPr>
              <w:t>70</w:t>
            </w:r>
            <w:r>
              <w:rPr>
                <w:rFonts w:hint="eastAsia" w:ascii="宋体" w:hAnsi="宋体" w:eastAsia="宋体" w:cs="宋体"/>
                <w:color w:val="000000" w:themeColor="text1"/>
                <w:szCs w:val="21"/>
                <w14:textFill>
                  <w14:solidFill>
                    <w14:schemeClr w14:val="tx1"/>
                  </w14:solidFill>
                </w14:textFill>
              </w:rPr>
              <w:t>mm，转角处需要倒圆角工艺；床头支撑脚采用</w:t>
            </w:r>
            <w:r>
              <w:rPr>
                <w:rFonts w:hint="eastAsia" w:ascii="宋体" w:hAnsi="宋体" w:eastAsia="宋体" w:cs="宋体"/>
                <w:color w:val="000000" w:themeColor="text1"/>
                <w:szCs w:val="21"/>
                <w:lang w:val="en-US" w:eastAsia="zh-CN"/>
                <w14:textFill>
                  <w14:solidFill>
                    <w14:schemeClr w14:val="tx1"/>
                  </w14:solidFill>
                </w14:textFill>
              </w:rPr>
              <w:t>特</w:t>
            </w:r>
            <w:r>
              <w:rPr>
                <w:rFonts w:hint="eastAsia" w:ascii="宋体" w:hAnsi="宋体" w:eastAsia="宋体" w:cs="宋体"/>
                <w:color w:val="000000" w:themeColor="text1"/>
                <w:szCs w:val="21"/>
                <w14:textFill>
                  <w14:solidFill>
                    <w14:schemeClr w14:val="tx1"/>
                  </w14:solidFill>
                </w14:textFill>
              </w:rPr>
              <w:t>级</w:t>
            </w:r>
            <w:r>
              <w:rPr>
                <w:rFonts w:hint="eastAsia" w:ascii="宋体" w:hAnsi="宋体" w:eastAsia="宋体" w:cs="宋体"/>
                <w:color w:val="000000" w:themeColor="text1"/>
                <w:szCs w:val="21"/>
                <w:lang w:val="en-US" w:eastAsia="zh-CN"/>
                <w14:textFill>
                  <w14:solidFill>
                    <w14:schemeClr w14:val="tx1"/>
                  </w14:solidFill>
                </w14:textFill>
              </w:rPr>
              <w:t>白蜡</w:t>
            </w:r>
            <w:r>
              <w:rPr>
                <w:rFonts w:hint="eastAsia" w:ascii="宋体" w:hAnsi="宋体" w:eastAsia="宋体" w:cs="宋体"/>
                <w:color w:val="000000" w:themeColor="text1"/>
                <w:szCs w:val="21"/>
                <w14:textFill>
                  <w14:solidFill>
                    <w14:schemeClr w14:val="tx1"/>
                  </w14:solidFill>
                </w14:textFill>
              </w:rPr>
              <w:t>木原木制作而成，截面尺寸≥7</w:t>
            </w:r>
            <w:r>
              <w:rPr>
                <w:rFonts w:hint="eastAsia" w:ascii="宋体" w:hAnsi="宋体" w:eastAsia="宋体" w:cs="宋体"/>
                <w:color w:val="000000" w:themeColor="text1"/>
                <w:szCs w:val="21"/>
                <w:lang w:val="en-US" w:eastAsia="zh-CN"/>
                <w14:textFill>
                  <w14:solidFill>
                    <w14:schemeClr w14:val="tx1"/>
                  </w14:solidFill>
                </w14:textFill>
              </w:rPr>
              <w:t>0</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35mm</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直径≥50mm</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床屏、床侧板（床帮）、床头下拉板、床尾拉板采用</w:t>
            </w:r>
            <w:r>
              <w:rPr>
                <w:rFonts w:hint="eastAsia" w:ascii="宋体" w:hAnsi="宋体" w:cs="宋体"/>
                <w:color w:val="000000" w:themeColor="text1"/>
                <w:szCs w:val="21"/>
                <w:lang w:val="en-US" w:eastAsia="zh-CN"/>
                <w14:textFill>
                  <w14:solidFill>
                    <w14:schemeClr w14:val="tx1"/>
                  </w14:solidFill>
                </w14:textFill>
              </w:rPr>
              <w:t>特</w:t>
            </w:r>
            <w:r>
              <w:rPr>
                <w:rFonts w:hint="eastAsia" w:ascii="宋体" w:hAnsi="宋体" w:cs="宋体"/>
                <w:color w:val="000000" w:themeColor="text1"/>
                <w:szCs w:val="21"/>
                <w14:textFill>
                  <w14:solidFill>
                    <w14:schemeClr w14:val="tx1"/>
                  </w14:solidFill>
                </w14:textFill>
              </w:rPr>
              <w:t>级白蜡木原木制作而成</w:t>
            </w:r>
            <w:r>
              <w:rPr>
                <w:rFonts w:hint="eastAsia" w:ascii="宋体" w:hAnsi="宋体" w:cs="宋体"/>
                <w:color w:val="000000"/>
                <w:kern w:val="0"/>
                <w:szCs w:val="21"/>
              </w:rPr>
              <w:t>（非贴皮）</w:t>
            </w:r>
            <w:r>
              <w:rPr>
                <w:rFonts w:hint="eastAsia" w:ascii="宋体" w:hAnsi="宋体" w:cs="宋体"/>
                <w:color w:val="000000" w:themeColor="text1"/>
                <w:szCs w:val="21"/>
                <w14:textFill>
                  <w14:solidFill>
                    <w14:schemeClr w14:val="tx1"/>
                  </w14:solidFill>
                </w14:textFill>
              </w:rPr>
              <w:t>，床侧板（床帮）、床尾板的宽度≥120mm、厚度≥20mm</w:t>
            </w:r>
            <w:r>
              <w:rPr>
                <w:rFonts w:hint="eastAsia" w:ascii="宋体" w:hAnsi="宋体" w:cs="宋体"/>
                <w:color w:val="000000"/>
                <w:kern w:val="0"/>
                <w:szCs w:val="21"/>
              </w:rPr>
              <w:t>（原木厚度，不加厚拼接、长度不拼接）</w:t>
            </w:r>
            <w:r>
              <w:rPr>
                <w:rFonts w:hint="eastAsia" w:ascii="宋体" w:hAnsi="宋体" w:cs="宋体"/>
                <w:color w:val="000000" w:themeColor="text1"/>
                <w:szCs w:val="21"/>
                <w14:textFill>
                  <w14:solidFill>
                    <w14:schemeClr w14:val="tx1"/>
                  </w14:solidFill>
                </w14:textFill>
              </w:rPr>
              <w:t>；床屏面板高度≥400mm，</w:t>
            </w:r>
            <w:r>
              <w:rPr>
                <w:rFonts w:hint="eastAsia" w:ascii="宋体" w:hAnsi="宋体" w:cs="宋体"/>
                <w:color w:val="000000"/>
                <w:kern w:val="0"/>
                <w:szCs w:val="21"/>
              </w:rPr>
              <w:t>采用白蜡木直拼工艺（不采用指接工艺），</w:t>
            </w:r>
            <w:r>
              <w:rPr>
                <w:rFonts w:hint="eastAsia" w:ascii="宋体" w:hAnsi="宋体" w:cs="宋体"/>
                <w:color w:val="000000" w:themeColor="text1"/>
                <w:szCs w:val="21"/>
                <w14:textFill>
                  <w14:solidFill>
                    <w14:schemeClr w14:val="tx1"/>
                  </w14:solidFill>
                </w14:textFill>
              </w:rPr>
              <w:t>白蜡木原木板厚度≥18mm</w:t>
            </w:r>
            <w:r>
              <w:rPr>
                <w:rFonts w:hint="eastAsia" w:ascii="宋体" w:hAnsi="宋体" w:cs="宋体"/>
                <w:color w:val="000000"/>
                <w:kern w:val="0"/>
                <w:szCs w:val="21"/>
              </w:rPr>
              <w:t>（原木厚度，不加厚拼接）</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kern w:val="0"/>
                <w:szCs w:val="21"/>
              </w:rPr>
              <w:t>直拼板宽度≥</w:t>
            </w:r>
            <w:r>
              <w:rPr>
                <w:rFonts w:hint="eastAsia" w:ascii="宋体" w:hAnsi="宋体" w:cs="宋体"/>
                <w:color w:val="000000"/>
                <w:kern w:val="0"/>
                <w:szCs w:val="21"/>
                <w:lang w:val="en-US" w:eastAsia="zh-CN"/>
              </w:rPr>
              <w:t>6</w:t>
            </w:r>
            <w:r>
              <w:rPr>
                <w:rFonts w:hint="eastAsia" w:ascii="宋体" w:hAnsi="宋体" w:cs="宋体"/>
                <w:color w:val="000000"/>
                <w:kern w:val="0"/>
                <w:szCs w:val="21"/>
              </w:rPr>
              <w:t>0mm，长度不拼接，</w:t>
            </w:r>
            <w:r>
              <w:rPr>
                <w:rFonts w:hint="eastAsia" w:ascii="宋体" w:hAnsi="宋体" w:cs="宋体"/>
                <w:color w:val="000000" w:themeColor="text1"/>
                <w:szCs w:val="21"/>
                <w14:textFill>
                  <w14:solidFill>
                    <w14:schemeClr w14:val="tx1"/>
                  </w14:solidFill>
                </w14:textFill>
              </w:rPr>
              <w:t>床屏经过圆角工艺。</w:t>
            </w:r>
            <w:r>
              <w:rPr>
                <w:rFonts w:hint="eastAsia" w:ascii="宋体" w:hAnsi="宋体" w:cs="宋体"/>
                <w:color w:val="000000"/>
                <w:kern w:val="0"/>
                <w:szCs w:val="21"/>
              </w:rPr>
              <w:t>无任何人造板材；</w:t>
            </w:r>
            <w:r>
              <w:rPr>
                <w:rFonts w:hint="eastAsia" w:ascii="宋体" w:hAnsi="宋体" w:cs="宋体"/>
                <w:color w:val="000000" w:themeColor="text1"/>
                <w:szCs w:val="21"/>
                <w14:textFill>
                  <w14:solidFill>
                    <w14:schemeClr w14:val="tx1"/>
                  </w14:solidFill>
                </w14:textFill>
              </w:rPr>
              <w:t>木材鉴定名称为白蜡木，木犀科。</w:t>
            </w:r>
            <w:r>
              <w:rPr>
                <w:rFonts w:hint="eastAsia" w:ascii="宋体" w:hAnsi="宋体" w:cs="宋体"/>
                <w:color w:val="000000"/>
                <w:kern w:val="0"/>
                <w:szCs w:val="21"/>
                <w:lang w:val="en-US" w:eastAsia="zh-CN"/>
              </w:rPr>
              <w:t>白蜡木</w:t>
            </w:r>
            <w:r>
              <w:rPr>
                <w:rFonts w:hint="eastAsia" w:ascii="宋体" w:hAnsi="宋体" w:cs="宋体"/>
                <w:color w:val="000000"/>
                <w:kern w:val="0"/>
                <w:szCs w:val="21"/>
              </w:rPr>
              <w:t>符合GB/T 4817-2019《阔叶树锯材》的“特等”要求</w:t>
            </w:r>
            <w:r>
              <w:rPr>
                <w:rFonts w:hint="eastAsia" w:ascii="宋体" w:hAnsi="宋体" w:cs="宋体"/>
                <w:color w:val="000000"/>
                <w:kern w:val="0"/>
                <w:szCs w:val="21"/>
                <w:lang w:eastAsia="zh-CN"/>
              </w:rPr>
              <w:t>；</w:t>
            </w:r>
            <w:r>
              <w:rPr>
                <w:rFonts w:hint="eastAsia" w:ascii="宋体" w:hAnsi="宋体" w:eastAsia="宋体" w:cs="宋体"/>
                <w:color w:val="000000" w:themeColor="text1"/>
                <w:szCs w:val="21"/>
                <w14:textFill>
                  <w14:solidFill>
                    <w14:schemeClr w14:val="tx1"/>
                  </w14:solidFill>
                </w14:textFill>
              </w:rPr>
              <w:t>木材经防腐防虫防潮等技术处理，木材四面刨光处理，表面无明显节子、无腐朽材，含水率及外观符合GB/T 3324-2024标准要求。</w:t>
            </w:r>
            <w:r>
              <w:rPr>
                <w:rFonts w:hint="eastAsia" w:ascii="宋体" w:hAnsi="宋体" w:eastAsia="宋体" w:cs="宋体"/>
                <w:i w:val="0"/>
                <w:iCs w:val="0"/>
                <w:color w:val="000000"/>
                <w:kern w:val="0"/>
                <w:sz w:val="21"/>
                <w:szCs w:val="21"/>
                <w:u w:val="none"/>
                <w:lang w:val="en-US" w:eastAsia="zh-CN" w:bidi="ar"/>
              </w:rPr>
              <w:t>框架采用白蜡木原木，可采用拼接板工艺或齿接板工艺。</w:t>
            </w:r>
          </w:p>
        </w:tc>
      </w:tr>
      <w:tr w14:paraId="31F4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556550D">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4117E355">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52780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3.油漆：</w:t>
            </w:r>
            <w:r>
              <w:rPr>
                <w:rFonts w:hint="eastAsia" w:ascii="宋体" w:hAnsi="宋体" w:cs="宋体"/>
                <w:color w:val="000000"/>
                <w:kern w:val="0"/>
                <w:szCs w:val="21"/>
                <w:u w:val="none"/>
                <w:lang w:bidi="ar"/>
              </w:rPr>
              <w:t>水性面漆</w:t>
            </w:r>
            <w:r>
              <w:rPr>
                <w:rFonts w:hint="eastAsia" w:ascii="宋体" w:hAnsi="宋体" w:cs="宋体"/>
                <w:color w:val="000000"/>
                <w:kern w:val="0"/>
                <w:szCs w:val="21"/>
                <w:u w:val="none"/>
                <w:lang w:val="en-US" w:eastAsia="zh-CN" w:bidi="ar"/>
              </w:rPr>
              <w:t>,</w:t>
            </w:r>
            <w:r>
              <w:rPr>
                <w:rFonts w:hint="eastAsia" w:ascii="宋体" w:hAnsi="宋体" w:cs="宋体"/>
                <w:color w:val="000000"/>
                <w:kern w:val="0"/>
                <w:szCs w:val="21"/>
                <w:u w:val="none"/>
                <w:lang w:bidi="ar"/>
              </w:rPr>
              <w:t>封闭漆/半开放工艺，采用3次底漆，2次面漆喷涂制作而成，</w:t>
            </w:r>
            <w:r>
              <w:rPr>
                <w:rFonts w:hint="eastAsia" w:ascii="宋体" w:hAnsi="宋体" w:eastAsia="宋体" w:cs="宋体"/>
                <w:i w:val="0"/>
                <w:iCs w:val="0"/>
                <w:color w:val="000000"/>
                <w:kern w:val="0"/>
                <w:sz w:val="21"/>
                <w:szCs w:val="21"/>
                <w:u w:val="none"/>
                <w:lang w:val="en-US" w:eastAsia="zh-CN" w:bidi="ar"/>
              </w:rPr>
              <w:t>环保性能应符合 GB/T 35602-2017《绿色产品评价 涂料》中品质属性要求。</w:t>
            </w:r>
          </w:p>
        </w:tc>
      </w:tr>
      <w:tr w14:paraId="294A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2149FD84">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1B847B71">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7367F7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4.配置：</w:t>
            </w:r>
            <w:r>
              <w:rPr>
                <w:rFonts w:hint="eastAsia" w:ascii="宋体" w:hAnsi="宋体" w:cs="宋体"/>
                <w:i w:val="0"/>
                <w:iCs w:val="0"/>
                <w:color w:val="000000"/>
                <w:kern w:val="0"/>
                <w:sz w:val="21"/>
                <w:szCs w:val="21"/>
                <w:u w:val="none"/>
                <w:lang w:val="en-US" w:eastAsia="zh-CN" w:bidi="ar"/>
              </w:rPr>
              <w:t>实木</w:t>
            </w:r>
            <w:r>
              <w:rPr>
                <w:rFonts w:hint="eastAsia" w:ascii="宋体" w:hAnsi="宋体" w:cs="宋体"/>
                <w:color w:val="000000" w:themeColor="text1"/>
                <w:szCs w:val="21"/>
                <w14:textFill>
                  <w14:solidFill>
                    <w14:schemeClr w14:val="tx1"/>
                  </w14:solidFill>
                </w14:textFill>
              </w:rPr>
              <w:t>床板</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采用榉木实木材，多条实木板需固定成整块不分散，每条榉木实木截面尺寸≥1</w:t>
            </w:r>
            <w:r>
              <w:rPr>
                <w:rFonts w:hint="eastAsia" w:ascii="宋体" w:hAnsi="宋体" w:cs="宋体"/>
                <w:color w:val="000000" w:themeColor="text1"/>
                <w:szCs w:val="21"/>
                <w:lang w:val="en-US" w:eastAsia="zh-CN"/>
                <w14:textFill>
                  <w14:solidFill>
                    <w14:schemeClr w14:val="tx1"/>
                  </w14:solidFill>
                </w14:textFill>
              </w:rPr>
              <w:t>6</w:t>
            </w:r>
            <w:r>
              <w:rPr>
                <w:rFonts w:hint="eastAsia" w:ascii="宋体" w:hAnsi="宋体" w:cs="宋体"/>
                <w:color w:val="000000" w:themeColor="text1"/>
                <w:szCs w:val="21"/>
                <w14:textFill>
                  <w14:solidFill>
                    <w14:schemeClr w14:val="tx1"/>
                  </w14:solidFill>
                </w14:textFill>
              </w:rPr>
              <w:t>mm</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55</w:t>
            </w:r>
            <w:r>
              <w:rPr>
                <w:rFonts w:hint="eastAsia" w:ascii="宋体" w:hAnsi="宋体" w:cs="宋体"/>
                <w:color w:val="000000" w:themeColor="text1"/>
                <w:szCs w:val="21"/>
                <w14:textFill>
                  <w14:solidFill>
                    <w14:schemeClr w14:val="tx1"/>
                  </w14:solidFill>
                </w14:textFill>
              </w:rPr>
              <w:t>mm，木板面平整，四面刨光，表面光滑，无毛刺，无虫眼，无豁边木皮，无朽木，含水率及外观符合GB/T 3324-2024标准要求，</w:t>
            </w:r>
            <w:r>
              <w:rPr>
                <w:rFonts w:hint="eastAsia" w:ascii="宋体" w:hAnsi="宋体" w:cs="宋体"/>
                <w:color w:val="000000"/>
                <w:kern w:val="0"/>
                <w:szCs w:val="21"/>
              </w:rPr>
              <w:t>每条木材上不超过5个直径大于12mm的节子</w:t>
            </w:r>
            <w:r>
              <w:rPr>
                <w:rFonts w:hint="eastAsia" w:ascii="宋体" w:hAnsi="宋体" w:cs="宋体"/>
                <w:color w:val="000000" w:themeColor="text1"/>
                <w:szCs w:val="21"/>
                <w14:textFill>
                  <w14:solidFill>
                    <w14:schemeClr w14:val="tx1"/>
                  </w14:solidFill>
                </w14:textFill>
              </w:rPr>
              <w:t>，床板无明显异味。床中枨、两侧枨、床中枨支撑腿均采用白蜡木实木制作。床架与床板整体安装完成后稳固无异响</w:t>
            </w:r>
            <w:r>
              <w:rPr>
                <w:rFonts w:hint="eastAsia" w:ascii="宋体" w:hAnsi="宋体" w:eastAsia="宋体" w:cs="宋体"/>
                <w:i w:val="0"/>
                <w:iCs w:val="0"/>
                <w:color w:val="000000"/>
                <w:kern w:val="0"/>
                <w:sz w:val="21"/>
                <w:szCs w:val="21"/>
                <w:u w:val="none"/>
                <w:lang w:val="en-US" w:eastAsia="zh-CN" w:bidi="ar"/>
              </w:rPr>
              <w:t>；</w:t>
            </w:r>
          </w:p>
        </w:tc>
      </w:tr>
      <w:tr w14:paraId="725C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107975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003" w:type="dxa"/>
            <w:vMerge w:val="restart"/>
            <w:shd w:val="clear" w:color="auto" w:fill="auto"/>
            <w:vAlign w:val="center"/>
          </w:tcPr>
          <w:p w14:paraId="59795C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床头柜</w:t>
            </w:r>
          </w:p>
        </w:tc>
        <w:tc>
          <w:tcPr>
            <w:tcW w:w="8030" w:type="dxa"/>
            <w:shd w:val="clear" w:color="auto" w:fill="auto"/>
            <w:vAlign w:val="center"/>
          </w:tcPr>
          <w:p w14:paraId="3A2D2F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宽400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高450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01A6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6329D173">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AA28B62">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4D4B7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2.主材：</w:t>
            </w:r>
            <w:r>
              <w:rPr>
                <w:rFonts w:hint="eastAsia"/>
              </w:rPr>
              <w:t>柜面、柜腿、抽屉面板全部采用</w:t>
            </w:r>
            <w:r>
              <w:rPr>
                <w:rFonts w:hint="eastAsia"/>
                <w:lang w:val="en-US" w:eastAsia="zh-CN"/>
              </w:rPr>
              <w:t>特级</w:t>
            </w:r>
            <w:r>
              <w:rPr>
                <w:rFonts w:hint="eastAsia"/>
              </w:rPr>
              <w:t>白蜡木实木制作（非贴皮），柜顶板、柜侧板、抽屉面板、抽屉内侧板、抽屉底板采用白蜡木直拼木板工艺（不采用指接工艺），直拼板宽度≥</w:t>
            </w:r>
            <w:r>
              <w:rPr>
                <w:rFonts w:hint="eastAsia"/>
                <w:lang w:val="en-US" w:eastAsia="zh-CN"/>
              </w:rPr>
              <w:t>6</w:t>
            </w:r>
            <w:r>
              <w:rPr>
                <w:rFonts w:hint="eastAsia"/>
              </w:rPr>
              <w:t>0mm，无任何人造板材，柜顶板、</w:t>
            </w:r>
            <w:r>
              <w:rPr>
                <w:rFonts w:hint="eastAsia"/>
                <w:lang w:val="en-US" w:eastAsia="zh-CN"/>
              </w:rPr>
              <w:t>柜侧板、抽屉</w:t>
            </w:r>
            <w:r>
              <w:rPr>
                <w:rFonts w:hint="eastAsia"/>
              </w:rPr>
              <w:t>面板的厚度≥18mm（原木厚度，不加厚拼接），柜腿采用白蜡木原木，柜腿截面长宽（或直径）≥35mm，边角需圆弧倒角处理，木材经防腐防虫防潮技术处理，四面刨光处理。</w:t>
            </w:r>
            <w:r>
              <w:rPr>
                <w:rFonts w:hint="eastAsia" w:ascii="宋体" w:hAnsi="宋体" w:cs="宋体"/>
                <w:color w:val="000000"/>
                <w:kern w:val="0"/>
                <w:szCs w:val="21"/>
                <w:u w:val="none"/>
                <w:lang w:bidi="ar"/>
              </w:rPr>
              <w:t>水性面漆：封闭漆/半开放工艺，采用3次底漆，2次面漆喷涂制作而成，</w:t>
            </w:r>
            <w:r>
              <w:rPr>
                <w:rFonts w:hint="eastAsia" w:ascii="宋体" w:hAnsi="宋体" w:eastAsia="宋体" w:cs="宋体"/>
                <w:i w:val="0"/>
                <w:iCs w:val="0"/>
                <w:color w:val="000000"/>
                <w:kern w:val="0"/>
                <w:sz w:val="21"/>
                <w:szCs w:val="21"/>
                <w:u w:val="none"/>
                <w:lang w:val="en-US" w:eastAsia="zh-CN" w:bidi="ar"/>
              </w:rPr>
              <w:t>环保性能应符合 GB/T 35602-2017《绿色产品评价 涂料》中品质属性要求。</w:t>
            </w:r>
            <w:r>
              <w:rPr>
                <w:rFonts w:hint="eastAsia"/>
                <w:lang w:val="en-US" w:eastAsia="zh-CN"/>
              </w:rPr>
              <w:t>抽屉</w:t>
            </w:r>
            <w:r>
              <w:rPr>
                <w:rFonts w:hint="eastAsia" w:ascii="宋体" w:hAnsi="宋体" w:cs="宋体"/>
                <w:color w:val="000000" w:themeColor="text1"/>
                <w:szCs w:val="21"/>
                <w14:textFill>
                  <w14:solidFill>
                    <w14:schemeClr w14:val="tx1"/>
                  </w14:solidFill>
                </w14:textFill>
              </w:rPr>
              <w:t>采用三节导轨</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导轨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钢材厚度≥1.2mm，质量</w:t>
            </w:r>
            <w:r>
              <w:rPr>
                <w:rFonts w:hint="eastAsia" w:ascii="宋体" w:hAnsi="宋体" w:cs="宋体"/>
                <w:i w:val="0"/>
                <w:iCs w:val="0"/>
                <w:color w:val="000000"/>
                <w:kern w:val="0"/>
                <w:sz w:val="21"/>
                <w:szCs w:val="21"/>
                <w:u w:val="none"/>
                <w:lang w:val="en-US" w:eastAsia="zh-CN" w:bidi="ar"/>
              </w:rPr>
              <w:t>符合</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QB/T 2454-2013《家具五金 抽屉导轨》商用型要求，耐久性8万次无损坏。</w:t>
            </w:r>
          </w:p>
        </w:tc>
      </w:tr>
      <w:tr w14:paraId="6C74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011C601">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41FF5243">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63E086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3.油漆：环保水性漆，五底三面喷涂</w:t>
            </w:r>
          </w:p>
        </w:tc>
      </w:tr>
      <w:tr w14:paraId="5F2E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5C1631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003" w:type="dxa"/>
            <w:vMerge w:val="restart"/>
            <w:shd w:val="clear" w:color="auto" w:fill="auto"/>
            <w:vAlign w:val="center"/>
          </w:tcPr>
          <w:p w14:paraId="192B8D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书桌</w:t>
            </w:r>
          </w:p>
        </w:tc>
        <w:tc>
          <w:tcPr>
            <w:tcW w:w="8030" w:type="dxa"/>
            <w:shd w:val="clear" w:color="auto" w:fill="auto"/>
            <w:vAlign w:val="center"/>
          </w:tcPr>
          <w:p w14:paraId="10D343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1.规格：长1400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宽1200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高760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4B5B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45BF15FD">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109065C5">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CF709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2.材料：脚架采用</w:t>
            </w:r>
            <w:r>
              <w:rPr>
                <w:rFonts w:hint="eastAsia"/>
                <w:lang w:val="en-US" w:eastAsia="zh-CN"/>
              </w:rPr>
              <w:t>特级</w:t>
            </w:r>
            <w:r>
              <w:rPr>
                <w:rFonts w:hint="eastAsia"/>
              </w:rPr>
              <w:t>白蜡木</w:t>
            </w:r>
            <w:r>
              <w:rPr>
                <w:rFonts w:hint="eastAsia"/>
                <w:lang w:val="en-US" w:eastAsia="zh-CN"/>
              </w:rPr>
              <w:t>实心木方</w:t>
            </w:r>
            <w:r>
              <w:rPr>
                <w:rFonts w:hint="eastAsia"/>
              </w:rPr>
              <w:t>制作</w:t>
            </w:r>
            <w:r>
              <w:rPr>
                <w:rFonts w:hint="eastAsia"/>
                <w:lang w:eastAsia="zh-CN"/>
              </w:rPr>
              <w:t>，</w:t>
            </w:r>
            <w:r>
              <w:rPr>
                <w:rFonts w:hint="eastAsia"/>
                <w:lang w:val="en-US" w:eastAsia="zh-CN"/>
              </w:rPr>
              <w:t>截面尺寸不低于80×40mm（或60×60mm）</w:t>
            </w:r>
            <w:r>
              <w:rPr>
                <w:rFonts w:hint="eastAsia" w:ascii="宋体" w:hAnsi="宋体" w:eastAsia="宋体" w:cs="宋体"/>
                <w:i w:val="0"/>
                <w:iCs w:val="0"/>
                <w:color w:val="000000"/>
                <w:kern w:val="0"/>
                <w:sz w:val="21"/>
                <w:szCs w:val="21"/>
                <w:u w:val="none"/>
                <w:lang w:val="en-US" w:eastAsia="zh-CN" w:bidi="ar"/>
              </w:rPr>
              <w:t>；台面采用</w:t>
            </w:r>
            <w:r>
              <w:rPr>
                <w:rFonts w:hint="eastAsia"/>
              </w:rPr>
              <w:t>≥</w:t>
            </w:r>
            <w:r>
              <w:rPr>
                <w:rFonts w:hint="eastAsia" w:ascii="宋体" w:hAnsi="宋体" w:cs="宋体"/>
                <w:i w:val="0"/>
                <w:iCs w:val="0"/>
                <w:color w:val="000000"/>
                <w:kern w:val="0"/>
                <w:sz w:val="21"/>
                <w:szCs w:val="21"/>
                <w:u w:val="none"/>
                <w:lang w:val="en-US" w:eastAsia="zh-CN" w:bidi="ar"/>
              </w:rPr>
              <w:t>25mm厚白蜡木实木制作</w:t>
            </w:r>
            <w:r>
              <w:rPr>
                <w:rFonts w:hint="eastAsia" w:ascii="宋体" w:hAnsi="宋体" w:cs="宋体"/>
                <w:color w:val="000000"/>
                <w:kern w:val="0"/>
                <w:szCs w:val="21"/>
              </w:rPr>
              <w:t>（非贴皮），采用白蜡木直拼木板工艺（不采用指接工艺），直拼板宽度≥</w:t>
            </w:r>
            <w:r>
              <w:rPr>
                <w:rFonts w:hint="eastAsia" w:ascii="宋体" w:hAnsi="宋体" w:cs="宋体"/>
                <w:color w:val="000000"/>
                <w:kern w:val="0"/>
                <w:szCs w:val="21"/>
                <w:lang w:val="en-US" w:eastAsia="zh-CN"/>
              </w:rPr>
              <w:t>6</w:t>
            </w:r>
            <w:r>
              <w:rPr>
                <w:rFonts w:hint="eastAsia" w:ascii="宋体" w:hAnsi="宋体" w:cs="宋体"/>
                <w:color w:val="000000"/>
                <w:kern w:val="0"/>
                <w:szCs w:val="21"/>
              </w:rPr>
              <w:t>0mm，长度不拼接，无任何人造板材；</w:t>
            </w:r>
            <w:r>
              <w:rPr>
                <w:rFonts w:hint="eastAsia" w:ascii="宋体" w:hAnsi="宋体" w:cs="宋体"/>
                <w:color w:val="000000"/>
                <w:kern w:val="0"/>
                <w:szCs w:val="21"/>
                <w:lang w:val="en-US" w:eastAsia="zh-CN"/>
              </w:rPr>
              <w:t>白蜡木</w:t>
            </w:r>
            <w:r>
              <w:rPr>
                <w:rFonts w:hint="eastAsia" w:ascii="宋体" w:hAnsi="宋体" w:cs="宋体"/>
                <w:color w:val="000000"/>
                <w:kern w:val="0"/>
                <w:szCs w:val="21"/>
              </w:rPr>
              <w:t>符合GB/T 4817-2019《阔叶树锯材》的“特等”要求</w:t>
            </w:r>
            <w:r>
              <w:rPr>
                <w:rFonts w:hint="eastAsia" w:ascii="宋体" w:hAnsi="宋体" w:cs="宋体"/>
                <w:color w:val="000000"/>
                <w:kern w:val="0"/>
                <w:szCs w:val="21"/>
                <w:lang w:eastAsia="zh-CN"/>
              </w:rPr>
              <w:t>；</w:t>
            </w:r>
            <w:r>
              <w:rPr>
                <w:rFonts w:hint="eastAsia" w:ascii="宋体" w:hAnsi="宋体" w:cs="宋体"/>
                <w:color w:val="000000"/>
                <w:kern w:val="0"/>
                <w:szCs w:val="21"/>
              </w:rPr>
              <w:t>边缘及边角需圆弧倒角处理，木材经防腐防虫防潮技术处理，木材四面刨光处理。木材外观、含水率GB/T 3324-2024标准要求。木材鉴定名称为白蜡木，木犀科</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color w:val="000000"/>
                <w:kern w:val="0"/>
                <w:szCs w:val="21"/>
                <w:u w:val="none"/>
                <w:lang w:bidi="ar"/>
              </w:rPr>
              <w:t>水性面漆：封闭漆/半开放工艺，采用3次底漆，2次面漆喷涂制作而成，</w:t>
            </w:r>
            <w:r>
              <w:rPr>
                <w:rFonts w:hint="eastAsia" w:ascii="宋体" w:hAnsi="宋体" w:eastAsia="宋体" w:cs="宋体"/>
                <w:i w:val="0"/>
                <w:iCs w:val="0"/>
                <w:color w:val="000000"/>
                <w:kern w:val="0"/>
                <w:sz w:val="21"/>
                <w:szCs w:val="21"/>
                <w:u w:val="none"/>
                <w:lang w:val="en-US" w:eastAsia="zh-CN" w:bidi="ar"/>
              </w:rPr>
              <w:t>环保性能应符合 GB/T 35602-2017《绿色产品评价 涂料》中品质属性要求。</w:t>
            </w:r>
          </w:p>
        </w:tc>
      </w:tr>
      <w:tr w14:paraId="4BA9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4B7F3EA6">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6D53BCAA">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616320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3.油漆:采用环保水性漆，半开放/封闭漆工艺。经2次粗磨3次细磨，用5次底漆，3次面漆喷涂制作而成，涂膜外观平整光滑，遮盖力好，硬度高，耐水性强不起皱。</w:t>
            </w:r>
          </w:p>
        </w:tc>
      </w:tr>
      <w:tr w14:paraId="3183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37613D26">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AA94134">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790FB99">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4.五金配件：三节缓冲导轨、阻尼铰链。</w:t>
            </w:r>
            <w:r>
              <w:rPr>
                <w:rFonts w:hint="eastAsia" w:ascii="宋体" w:hAnsi="宋体" w:cs="宋体"/>
                <w:i w:val="0"/>
                <w:iCs w:val="0"/>
                <w:color w:val="000000"/>
                <w:kern w:val="0"/>
                <w:sz w:val="21"/>
                <w:szCs w:val="21"/>
                <w:u w:val="none"/>
                <w:lang w:val="en-US" w:eastAsia="zh-CN" w:bidi="ar"/>
              </w:rPr>
              <w:t>导轨</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钢材厚度≥1.2mm，质量</w:t>
            </w:r>
            <w:r>
              <w:rPr>
                <w:rFonts w:hint="eastAsia" w:ascii="宋体" w:hAnsi="宋体" w:cs="宋体"/>
                <w:i w:val="0"/>
                <w:iCs w:val="0"/>
                <w:color w:val="000000"/>
                <w:kern w:val="0"/>
                <w:sz w:val="21"/>
                <w:szCs w:val="21"/>
                <w:u w:val="none"/>
                <w:lang w:val="en-US" w:eastAsia="zh-CN" w:bidi="ar"/>
              </w:rPr>
              <w:t>符合</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QB/T 2454-2013《家具五金 抽屉导轨》商用型要求，耐久性8万次无损坏；门铰钢材厚度≥1.2mm，质量符合QB/T 2189-2013《家具五金 杯状暗铰链》商用型要求，耐久性8万次无损坏。</w:t>
            </w:r>
          </w:p>
        </w:tc>
      </w:tr>
      <w:tr w14:paraId="5447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65446296">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7B22CAC5">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22A669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5.配置：含侧柜，采用ENF级环保</w:t>
            </w:r>
            <w:r>
              <w:rPr>
                <w:rFonts w:hint="eastAsia" w:ascii="宋体" w:hAnsi="宋体" w:cs="宋体"/>
                <w:i w:val="0"/>
                <w:iCs w:val="0"/>
                <w:color w:val="000000"/>
                <w:kern w:val="0"/>
                <w:sz w:val="21"/>
                <w:szCs w:val="21"/>
                <w:u w:val="none"/>
                <w:lang w:val="en-US" w:eastAsia="zh-CN" w:bidi="ar"/>
              </w:rPr>
              <w:t>实木多层板（胶合板）</w:t>
            </w:r>
            <w:r>
              <w:rPr>
                <w:rFonts w:hint="eastAsia" w:ascii="宋体" w:hAnsi="宋体" w:eastAsia="宋体" w:cs="宋体"/>
                <w:i w:val="0"/>
                <w:iCs w:val="0"/>
                <w:color w:val="000000"/>
                <w:kern w:val="0"/>
                <w:sz w:val="21"/>
                <w:szCs w:val="21"/>
                <w:u w:val="none"/>
                <w:lang w:val="en-US" w:eastAsia="zh-CN" w:bidi="ar"/>
              </w:rPr>
              <w:t>，木皮饰面</w:t>
            </w:r>
            <w:r>
              <w:rPr>
                <w:rFonts w:hint="eastAsia" w:ascii="宋体" w:hAnsi="宋体" w:cs="宋体"/>
                <w:i w:val="0"/>
                <w:iCs w:val="0"/>
                <w:color w:val="000000"/>
                <w:kern w:val="0"/>
                <w:sz w:val="21"/>
                <w:szCs w:val="21"/>
                <w:u w:val="none"/>
                <w:lang w:val="en-US" w:eastAsia="zh-CN" w:bidi="ar"/>
              </w:rPr>
              <w:t>，环保性能符合 HJ 2541-2016 《环境标志产品技术要求 胶粘剂》中水基型建筑胶粘剂要求</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配置抽屉或掩门储物柜或隔层，根据采购方需求深化设计</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szCs w:val="21"/>
                <w:lang w:val="en-US" w:eastAsia="zh-CN"/>
              </w:rPr>
              <w:t>配置集成插座（含不少于3个五孔插座），内嵌式或台面安装式，结合现场及采购方需求选定。</w:t>
            </w:r>
          </w:p>
        </w:tc>
      </w:tr>
      <w:tr w14:paraId="6F3D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69CB20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003" w:type="dxa"/>
            <w:vMerge w:val="restart"/>
            <w:shd w:val="clear" w:color="auto" w:fill="auto"/>
            <w:vAlign w:val="center"/>
          </w:tcPr>
          <w:p w14:paraId="1A260E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自习桌</w:t>
            </w:r>
          </w:p>
        </w:tc>
        <w:tc>
          <w:tcPr>
            <w:tcW w:w="8030" w:type="dxa"/>
            <w:shd w:val="clear" w:color="auto" w:fill="auto"/>
            <w:vAlign w:val="center"/>
          </w:tcPr>
          <w:p w14:paraId="4F62E3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1.规格：长650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宽450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高750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45BE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4894E5F">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7DED261">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1227E6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2.桌面及挡板：</w:t>
            </w:r>
            <w:r>
              <w:rPr>
                <w:rFonts w:hint="eastAsia" w:ascii="宋体" w:hAnsi="宋体" w:cs="宋体"/>
                <w:i w:val="0"/>
                <w:iCs w:val="0"/>
                <w:color w:val="000000"/>
                <w:kern w:val="0"/>
                <w:sz w:val="21"/>
                <w:szCs w:val="21"/>
                <w:u w:val="none"/>
                <w:lang w:val="en-US" w:eastAsia="zh-CN" w:bidi="ar"/>
              </w:rPr>
              <w:t>桌面厚度≥25mmm，挡板厚度≥15mmm</w:t>
            </w:r>
            <w:r>
              <w:rPr>
                <w:rFonts w:hint="eastAsia" w:ascii="宋体" w:hAnsi="宋体" w:eastAsia="宋体" w:cs="宋体"/>
                <w:i w:val="0"/>
                <w:iCs w:val="0"/>
                <w:color w:val="000000"/>
                <w:kern w:val="0"/>
                <w:sz w:val="21"/>
                <w:szCs w:val="21"/>
                <w:u w:val="none"/>
                <w:lang w:val="en-US" w:eastAsia="zh-CN" w:bidi="ar"/>
              </w:rPr>
              <w:t>采用E0级三聚氰胺饰面</w:t>
            </w:r>
            <w:r>
              <w:rPr>
                <w:rFonts w:hint="eastAsia" w:ascii="宋体" w:hAnsi="宋体" w:cs="宋体"/>
                <w:i w:val="0"/>
                <w:iCs w:val="0"/>
                <w:color w:val="000000"/>
                <w:kern w:val="0"/>
                <w:sz w:val="21"/>
                <w:szCs w:val="21"/>
                <w:u w:val="none"/>
                <w:lang w:val="en-US" w:eastAsia="zh-CN" w:bidi="ar"/>
              </w:rPr>
              <w:t>实木多层板（胶合板）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桌面采用≥2.0mm厚ABS</w:t>
            </w:r>
            <w:r>
              <w:rPr>
                <w:rFonts w:hint="eastAsia" w:ascii="宋体" w:hAnsi="宋体" w:eastAsia="宋体" w:cs="宋体"/>
                <w:i w:val="0"/>
                <w:iCs w:val="0"/>
                <w:color w:val="000000"/>
                <w:kern w:val="0"/>
                <w:sz w:val="21"/>
                <w:szCs w:val="21"/>
                <w:u w:val="none"/>
                <w:lang w:val="en-US" w:eastAsia="zh-CN" w:bidi="ar"/>
              </w:rPr>
              <w:t>封边条</w:t>
            </w:r>
            <w:r>
              <w:rPr>
                <w:rFonts w:hint="eastAsia" w:ascii="宋体" w:hAnsi="宋体" w:cs="宋体"/>
                <w:i w:val="0"/>
                <w:iCs w:val="0"/>
                <w:color w:val="000000"/>
                <w:kern w:val="0"/>
                <w:sz w:val="21"/>
                <w:szCs w:val="21"/>
                <w:u w:val="none"/>
                <w:lang w:val="en-US" w:eastAsia="zh-CN" w:bidi="ar"/>
              </w:rPr>
              <w:t>，挡板采用≥1.0mm厚ABS</w:t>
            </w:r>
            <w:r>
              <w:rPr>
                <w:rFonts w:hint="eastAsia" w:ascii="宋体" w:hAnsi="宋体" w:eastAsia="宋体" w:cs="宋体"/>
                <w:i w:val="0"/>
                <w:iCs w:val="0"/>
                <w:color w:val="000000"/>
                <w:kern w:val="0"/>
                <w:sz w:val="21"/>
                <w:szCs w:val="21"/>
                <w:u w:val="none"/>
                <w:lang w:val="en-US" w:eastAsia="zh-CN" w:bidi="ar"/>
              </w:rPr>
              <w:t>封边条</w:t>
            </w:r>
            <w:r>
              <w:rPr>
                <w:rFonts w:hint="eastAsia" w:ascii="宋体" w:hAnsi="宋体" w:cs="宋体"/>
                <w:lang w:val="en-US" w:eastAsia="zh-CN"/>
              </w:rPr>
              <w:t>,</w:t>
            </w:r>
            <w:r>
              <w:rPr>
                <w:rFonts w:hint="eastAsia" w:ascii="宋体" w:hAnsi="宋体" w:eastAsia="宋体" w:cs="宋体"/>
                <w:i w:val="0"/>
                <w:iCs w:val="0"/>
                <w:color w:val="000000"/>
                <w:kern w:val="0"/>
                <w:sz w:val="21"/>
                <w:szCs w:val="21"/>
                <w:u w:val="none"/>
                <w:lang w:val="en-US" w:eastAsia="zh-CN" w:bidi="ar"/>
              </w:rPr>
              <w:t>封边条</w:t>
            </w:r>
            <w:r>
              <w:rPr>
                <w:rFonts w:hint="eastAsia" w:ascii="宋体" w:hAnsi="宋体" w:cs="宋体"/>
                <w:i w:val="0"/>
                <w:iCs w:val="0"/>
                <w:color w:val="000000"/>
                <w:kern w:val="0"/>
                <w:sz w:val="21"/>
                <w:szCs w:val="21"/>
                <w:u w:val="none"/>
                <w:lang w:val="en-US" w:eastAsia="zh-CN" w:bidi="ar"/>
              </w:rPr>
              <w:t>依据</w:t>
            </w:r>
            <w:r>
              <w:rPr>
                <w:rFonts w:hint="eastAsia" w:ascii="宋体" w:hAnsi="宋体" w:eastAsia="宋体" w:cs="宋体"/>
                <w:i w:val="0"/>
                <w:iCs w:val="0"/>
                <w:color w:val="000000"/>
                <w:kern w:val="0"/>
                <w:sz w:val="21"/>
                <w:szCs w:val="21"/>
                <w:u w:val="none"/>
                <w:lang w:val="en-US" w:eastAsia="zh-CN" w:bidi="ar"/>
              </w:rPr>
              <w:t xml:space="preserve"> QB/T 4463-2025《家具用封边条》</w:t>
            </w:r>
            <w:r>
              <w:rPr>
                <w:rFonts w:hint="eastAsia" w:ascii="宋体" w:hAnsi="宋体" w:cs="宋体"/>
                <w:i w:val="0"/>
                <w:iCs w:val="0"/>
                <w:color w:val="000000"/>
                <w:kern w:val="0"/>
                <w:sz w:val="21"/>
                <w:szCs w:val="21"/>
                <w:u w:val="none"/>
                <w:lang w:val="en-US" w:eastAsia="zh-CN" w:bidi="ar"/>
              </w:rPr>
              <w:t>标准，</w:t>
            </w:r>
            <w:r>
              <w:rPr>
                <w:rFonts w:hint="eastAsia" w:ascii="宋体" w:hAnsi="宋体" w:eastAsia="宋体" w:cs="宋体"/>
                <w:i w:val="0"/>
                <w:iCs w:val="0"/>
                <w:color w:val="000000"/>
                <w:kern w:val="0"/>
                <w:sz w:val="21"/>
                <w:szCs w:val="21"/>
                <w:u w:val="none"/>
                <w:lang w:val="en-US" w:eastAsia="zh-CN" w:bidi="ar"/>
              </w:rPr>
              <w:t>耐干热性、耐磨性、耐龟裂性、耐冷热循性环均符合标准要求，甲醛释放量≤0.1mg/L，可迁移元素</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邻苯二甲酸酯（DBP、BBP、DEHP、DNOP、DINP和DIDP）的总量、多溴联苯（PBB）、多溴联苯醚(PBDE)均未检出的要求,氯乙烯单体未检出</w:t>
            </w:r>
            <w:r>
              <w:rPr>
                <w:rFonts w:hint="eastAsia" w:ascii="宋体" w:hAnsi="宋体" w:cs="宋体"/>
                <w:i w:val="0"/>
                <w:iCs w:val="0"/>
                <w:color w:val="000000"/>
                <w:kern w:val="0"/>
                <w:sz w:val="21"/>
                <w:szCs w:val="21"/>
                <w:u w:val="none"/>
                <w:lang w:val="en-US" w:eastAsia="zh-CN" w:bidi="ar"/>
              </w:rPr>
              <w:t>。</w:t>
            </w:r>
          </w:p>
        </w:tc>
      </w:tr>
      <w:tr w14:paraId="214B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182F41C3">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6809AD5A">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B68A4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3.脚架：地脚采用铝合金压铸一体成型，地脚底部有加强筋</w:t>
            </w:r>
            <w:r>
              <w:rPr>
                <w:rFonts w:hint="eastAsia" w:ascii="宋体" w:hAnsi="宋体" w:cs="宋体"/>
                <w:i w:val="0"/>
                <w:iCs w:val="0"/>
                <w:color w:val="000000"/>
                <w:kern w:val="0"/>
                <w:sz w:val="21"/>
                <w:szCs w:val="21"/>
                <w:u w:val="none"/>
                <w:lang w:val="en-US" w:eastAsia="zh-CN" w:bidi="ar"/>
              </w:rPr>
              <w:t>一体成型</w:t>
            </w:r>
            <w:r>
              <w:rPr>
                <w:rFonts w:hint="eastAsia" w:ascii="宋体" w:hAnsi="宋体" w:eastAsia="宋体" w:cs="宋体"/>
                <w:i w:val="0"/>
                <w:iCs w:val="0"/>
                <w:color w:val="000000"/>
                <w:kern w:val="0"/>
                <w:sz w:val="21"/>
                <w:szCs w:val="21"/>
                <w:u w:val="none"/>
                <w:lang w:val="en-US" w:eastAsia="zh-CN" w:bidi="ar"/>
              </w:rPr>
              <w:t>；底部安装调节脚垫，材质为塑胶，可实现防滑、调节水平、保护地板的作用。立脚管采用钢管，厚度≥1.4mm，表面采用防锈静电喷涂处理，工表面经酸洗、表调、磷化、水洗等防锈防腐前处理。台面支撑件：采用热轧板经模具冲压成形，厚度≥2.0mm。带钢制书斗；两侧带挂钩。</w:t>
            </w:r>
          </w:p>
        </w:tc>
      </w:tr>
      <w:tr w14:paraId="3777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654" w:type="dxa"/>
            <w:vMerge w:val="restart"/>
            <w:shd w:val="clear" w:color="auto" w:fill="auto"/>
            <w:vAlign w:val="center"/>
          </w:tcPr>
          <w:p w14:paraId="3DDFB7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003" w:type="dxa"/>
            <w:vMerge w:val="restart"/>
            <w:shd w:val="clear" w:color="auto" w:fill="auto"/>
            <w:vAlign w:val="center"/>
          </w:tcPr>
          <w:p w14:paraId="0522C5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自习椅</w:t>
            </w:r>
          </w:p>
        </w:tc>
        <w:tc>
          <w:tcPr>
            <w:tcW w:w="8030" w:type="dxa"/>
            <w:shd w:val="clear" w:color="auto" w:fill="auto"/>
            <w:vAlign w:val="center"/>
          </w:tcPr>
          <w:p w14:paraId="3168C8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1.规格：常规</w:t>
            </w:r>
          </w:p>
        </w:tc>
      </w:tr>
      <w:tr w14:paraId="456E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54" w:type="dxa"/>
            <w:vMerge w:val="continue"/>
            <w:shd w:val="clear" w:color="auto" w:fill="auto"/>
            <w:vAlign w:val="center"/>
          </w:tcPr>
          <w:p w14:paraId="76F37CAD">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E448278">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63BEC38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2.椅背：PP加玻璃纤维椅背+铝合金抛光连接件座垫：无醛设计（无木板、无胶水），座底壳采用PA加玻璃纤维制成，座垫可后翻，实现前后叠放</w:t>
            </w:r>
            <w:r>
              <w:rPr>
                <w:rFonts w:hint="eastAsia" w:ascii="宋体" w:hAnsi="宋体" w:cs="宋体"/>
                <w:i w:val="0"/>
                <w:iCs w:val="0"/>
                <w:color w:val="000000"/>
                <w:kern w:val="0"/>
                <w:sz w:val="21"/>
                <w:szCs w:val="21"/>
                <w:u w:val="none"/>
                <w:lang w:val="en-US" w:eastAsia="zh-CN" w:bidi="ar"/>
              </w:rPr>
              <w:t>。</w:t>
            </w:r>
          </w:p>
        </w:tc>
      </w:tr>
      <w:tr w14:paraId="2472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Merge w:val="continue"/>
            <w:shd w:val="clear" w:color="auto" w:fill="auto"/>
            <w:vAlign w:val="center"/>
          </w:tcPr>
          <w:p w14:paraId="68DB7787">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5C32236">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49D7F9F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3.扶手：无扶手，扶手根部有字母连接扣，方便多张椅子连接成排，可实现垂直堆叠；</w:t>
            </w:r>
          </w:p>
        </w:tc>
      </w:tr>
      <w:tr w14:paraId="4803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1" w:hRule="atLeast"/>
        </w:trPr>
        <w:tc>
          <w:tcPr>
            <w:tcW w:w="654" w:type="dxa"/>
            <w:vMerge w:val="continue"/>
            <w:shd w:val="clear" w:color="auto" w:fill="auto"/>
            <w:vAlign w:val="center"/>
          </w:tcPr>
          <w:p w14:paraId="521BB236">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4AF42E4A">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4D5C98D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脚</w:t>
            </w:r>
            <w:r>
              <w:rPr>
                <w:rFonts w:hint="eastAsia" w:ascii="宋体" w:hAnsi="宋体" w:eastAsia="宋体" w:cs="宋体"/>
                <w:i w:val="0"/>
                <w:iCs w:val="0"/>
                <w:color w:val="000000"/>
                <w:kern w:val="0"/>
                <w:sz w:val="21"/>
                <w:szCs w:val="21"/>
                <w:u w:val="none"/>
                <w:lang w:val="en-US" w:eastAsia="zh-CN" w:bidi="ar"/>
              </w:rPr>
              <w:t>架：黑色高温静电喷涂扁管铁架，壁厚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1.8mm铁管</w:t>
            </w:r>
            <w:r>
              <w:rPr>
                <w:rFonts w:hint="eastAsia" w:ascii="宋体" w:hAnsi="宋体" w:cs="宋体"/>
                <w:i w:val="0"/>
                <w:iCs w:val="0"/>
                <w:color w:val="000000"/>
                <w:kern w:val="0"/>
                <w:sz w:val="21"/>
                <w:szCs w:val="21"/>
                <w:u w:val="none"/>
                <w:lang w:val="en-US" w:eastAsia="zh-CN" w:bidi="ar"/>
              </w:rPr>
              <w:t>，表面静电粉末喷涂</w:t>
            </w:r>
            <w:r>
              <w:rPr>
                <w:rFonts w:hint="eastAsia" w:ascii="宋体" w:hAnsi="宋体" w:eastAsia="宋体" w:cs="宋体"/>
                <w:i w:val="0"/>
                <w:iCs w:val="0"/>
                <w:color w:val="000000"/>
                <w:kern w:val="0"/>
                <w:sz w:val="21"/>
                <w:szCs w:val="21"/>
                <w:u w:val="none"/>
                <w:lang w:val="en-US" w:eastAsia="zh-CN" w:bidi="ar"/>
              </w:rPr>
              <w:t>；配全新尼龙料脚垫。</w:t>
            </w:r>
          </w:p>
        </w:tc>
      </w:tr>
      <w:tr w14:paraId="5658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094EB9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003" w:type="dxa"/>
            <w:vMerge w:val="restart"/>
            <w:shd w:val="clear" w:color="auto" w:fill="auto"/>
            <w:vAlign w:val="center"/>
          </w:tcPr>
          <w:p w14:paraId="4FEBE0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户外圆桌</w:t>
            </w:r>
          </w:p>
        </w:tc>
        <w:tc>
          <w:tcPr>
            <w:tcW w:w="8030" w:type="dxa"/>
            <w:shd w:val="clear" w:color="auto" w:fill="auto"/>
            <w:vAlign w:val="center"/>
          </w:tcPr>
          <w:p w14:paraId="08AF1CA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t>1.规格：直径800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高750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72BB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65C4002A">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D6FC03A">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E47F6C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t>2.采用全铝合金材质，表面经高温静电喷粉。防水防锈易清洁。</w:t>
            </w:r>
          </w:p>
        </w:tc>
      </w:tr>
      <w:tr w14:paraId="1406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trPr>
        <w:tc>
          <w:tcPr>
            <w:tcW w:w="654" w:type="dxa"/>
            <w:vMerge w:val="continue"/>
            <w:shd w:val="clear" w:color="auto" w:fill="auto"/>
            <w:vAlign w:val="center"/>
          </w:tcPr>
          <w:p w14:paraId="23A39710">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25BDC881">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2CA21A6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t>3.圆角圆桌，边缘精细打磨，手感光滑无毛刺，结实耐用，可长期放置户外使用。</w:t>
            </w:r>
          </w:p>
        </w:tc>
      </w:tr>
      <w:tr w14:paraId="6AFF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03F8F2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003" w:type="dxa"/>
            <w:vMerge w:val="restart"/>
            <w:shd w:val="clear" w:color="auto" w:fill="auto"/>
            <w:vAlign w:val="center"/>
          </w:tcPr>
          <w:p w14:paraId="75E5F7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户外椅</w:t>
            </w:r>
          </w:p>
        </w:tc>
        <w:tc>
          <w:tcPr>
            <w:tcW w:w="8030" w:type="dxa"/>
            <w:shd w:val="clear" w:color="auto" w:fill="auto"/>
            <w:vAlign w:val="center"/>
          </w:tcPr>
          <w:p w14:paraId="37030A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1.规格：常规</w:t>
            </w:r>
          </w:p>
        </w:tc>
      </w:tr>
      <w:tr w14:paraId="0812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6C265DDB">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E1DE170">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BCABA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2.采用全铝合金材质，表面经高温静电喷粉。防水防锈易清洁。</w:t>
            </w:r>
          </w:p>
        </w:tc>
      </w:tr>
      <w:tr w14:paraId="7265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2F4258FC">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610FE37C">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250E58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3.铝合金框架，防水耐晒，耐腐耐锈，易于清洁，承重力强，可长期放置户外使用。</w:t>
            </w:r>
          </w:p>
        </w:tc>
      </w:tr>
      <w:tr w14:paraId="28F6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455603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003" w:type="dxa"/>
            <w:vMerge w:val="restart"/>
            <w:shd w:val="clear" w:color="auto" w:fill="auto"/>
            <w:vAlign w:val="center"/>
          </w:tcPr>
          <w:p w14:paraId="696EEF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储物柜</w:t>
            </w:r>
          </w:p>
        </w:tc>
        <w:tc>
          <w:tcPr>
            <w:tcW w:w="8030" w:type="dxa"/>
            <w:shd w:val="clear" w:color="auto" w:fill="auto"/>
            <w:vAlign w:val="center"/>
          </w:tcPr>
          <w:p w14:paraId="426239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1.规格：长900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宽500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高2000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6925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0D45743E">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249057AF">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92B3D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rPr>
              <w:t>采用SECC双面电解钢板，主体钢板（柜体、层板、背板</w:t>
            </w:r>
            <w:r>
              <w:rPr>
                <w:rFonts w:hint="eastAsia" w:ascii="宋体" w:hAnsi="宋体" w:cs="宋体"/>
                <w:i w:val="0"/>
                <w:iCs w:val="0"/>
                <w:color w:val="auto"/>
                <w:kern w:val="0"/>
                <w:sz w:val="21"/>
                <w:szCs w:val="21"/>
                <w:u w:val="none"/>
                <w:lang w:val="en-US" w:eastAsia="zh-CN"/>
              </w:rPr>
              <w:t>、门板</w:t>
            </w:r>
            <w:r>
              <w:rPr>
                <w:rFonts w:hint="eastAsia" w:ascii="宋体" w:hAnsi="宋体" w:eastAsia="宋体" w:cs="宋体"/>
                <w:i w:val="0"/>
                <w:iCs w:val="0"/>
                <w:color w:val="auto"/>
                <w:kern w:val="0"/>
                <w:sz w:val="21"/>
                <w:szCs w:val="21"/>
                <w:u w:val="none"/>
                <w:lang w:val="en-US" w:eastAsia="zh-CN"/>
              </w:rPr>
              <w:t>）厚度≥1.0mm</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rPr>
              <w:t>电解钢板整板剪裁采用数控剪板机进行裁剪，成品分解后的各部分通过激光焊接技术，激光切割及数控折边成型。表面光滑光洁，光泽保持性强，清晰亮净，抗酸耐碱，耐脏易清洁，在接触人体或收藏物品的部位无毛刺、刃口、棱角。金属表面处理：表面脱脂、水洗、酸洗、水洗中和等过程后，经环氧树脂有色粉末静电喷涂，在高温烘箱内固定成光滑表面。粉末涂料符合  HG/T2006-2022《热固性和热塑性粉末涂料》。采用双层门板：关门静音。柜门采用门轴连接（门轴连接件直径为≥4.0mm）或</w:t>
            </w:r>
            <w:r>
              <w:rPr>
                <w:rFonts w:hint="eastAsia" w:ascii="宋体" w:hAnsi="宋体" w:cs="宋体"/>
                <w:i w:val="0"/>
                <w:iCs w:val="0"/>
                <w:color w:val="auto"/>
                <w:kern w:val="0"/>
                <w:sz w:val="21"/>
                <w:szCs w:val="21"/>
                <w:u w:val="none"/>
                <w:lang w:val="en-US" w:eastAsia="zh-CN"/>
              </w:rPr>
              <w:t>缓冲</w:t>
            </w:r>
            <w:r>
              <w:rPr>
                <w:rFonts w:hint="eastAsia" w:ascii="宋体" w:hAnsi="宋体" w:eastAsia="宋体" w:cs="宋体"/>
                <w:i w:val="0"/>
                <w:iCs w:val="0"/>
                <w:color w:val="auto"/>
                <w:kern w:val="0"/>
                <w:sz w:val="21"/>
                <w:szCs w:val="21"/>
                <w:u w:val="none"/>
                <w:lang w:val="en-US" w:eastAsia="zh-CN"/>
              </w:rPr>
              <w:t>铰链（铰链</w:t>
            </w:r>
            <w:r>
              <w:rPr>
                <w:rFonts w:hint="eastAsia" w:ascii="宋体" w:hAnsi="宋体" w:cs="宋体"/>
                <w:i w:val="0"/>
                <w:iCs w:val="0"/>
                <w:color w:val="auto"/>
                <w:kern w:val="0"/>
                <w:sz w:val="21"/>
                <w:szCs w:val="21"/>
                <w:u w:val="none"/>
                <w:lang w:val="en-US" w:eastAsia="zh-CN"/>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钢材厚度≥1.2mm，质量</w:t>
            </w:r>
            <w:r>
              <w:rPr>
                <w:rFonts w:hint="eastAsia" w:ascii="宋体" w:hAnsi="宋体" w:eastAsia="宋体" w:cs="宋体"/>
                <w:i w:val="0"/>
                <w:iCs w:val="0"/>
                <w:color w:val="auto"/>
                <w:kern w:val="0"/>
                <w:sz w:val="21"/>
                <w:szCs w:val="21"/>
                <w:u w:val="none"/>
                <w:lang w:val="en-US" w:eastAsia="zh-CN"/>
              </w:rPr>
              <w:t>需符合QB/T 2189-2013《家具五金杯状暗铰链》商用型）</w:t>
            </w:r>
            <w:r>
              <w:rPr>
                <w:rFonts w:hint="eastAsia" w:ascii="宋体" w:hAnsi="宋体" w:cs="宋体"/>
                <w:i w:val="0"/>
                <w:iCs w:val="0"/>
                <w:color w:val="auto"/>
                <w:kern w:val="0"/>
                <w:sz w:val="21"/>
                <w:szCs w:val="21"/>
                <w:u w:val="none"/>
                <w:lang w:val="en-US" w:eastAsia="zh-CN"/>
              </w:rPr>
              <w:t>。</w:t>
            </w:r>
            <w:r>
              <w:rPr>
                <w:rFonts w:hint="eastAsia" w:ascii="宋体" w:hAnsi="宋体" w:eastAsia="宋体" w:cs="宋体"/>
                <w:i w:val="0"/>
                <w:iCs w:val="0"/>
                <w:color w:val="auto"/>
                <w:kern w:val="0"/>
                <w:sz w:val="21"/>
                <w:szCs w:val="21"/>
                <w:u w:val="none"/>
                <w:lang w:val="en-US" w:eastAsia="zh-CN"/>
              </w:rPr>
              <w:t>活动层板四边折弯，可自由调节高度，可自由拆卸，逐级调整高度；底部配有加强筋。</w:t>
            </w:r>
          </w:p>
        </w:tc>
      </w:tr>
      <w:tr w14:paraId="3B87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4231CF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003" w:type="dxa"/>
            <w:vMerge w:val="restart"/>
            <w:shd w:val="clear" w:color="auto" w:fill="auto"/>
            <w:vAlign w:val="center"/>
          </w:tcPr>
          <w:p w14:paraId="7C3C04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梯柜</w:t>
            </w:r>
          </w:p>
        </w:tc>
        <w:tc>
          <w:tcPr>
            <w:tcW w:w="8030" w:type="dxa"/>
            <w:shd w:val="clear" w:color="auto" w:fill="auto"/>
            <w:vAlign w:val="center"/>
          </w:tcPr>
          <w:p w14:paraId="0E7CF3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宽1000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高2150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3684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054CF28B">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2115A346">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4B66F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2.柜体：全板式采用不小于15mm厚E0级</w:t>
            </w:r>
            <w:r>
              <w:rPr>
                <w:rFonts w:hint="eastAsia"/>
              </w:rPr>
              <w:t>浸渍胶膜纸饰面实木多层板</w:t>
            </w:r>
            <w:r>
              <w:rPr>
                <w:rFonts w:hint="eastAsia"/>
                <w:lang w:eastAsia="zh-CN"/>
              </w:rPr>
              <w:t>（</w:t>
            </w:r>
            <w:r>
              <w:rPr>
                <w:rFonts w:hint="eastAsia"/>
                <w:lang w:val="en-US" w:eastAsia="zh-CN"/>
              </w:rPr>
              <w:t>胶合板</w:t>
            </w:r>
            <w:r>
              <w:rPr>
                <w:rFonts w:hint="eastAsia"/>
                <w:lang w:eastAsia="zh-CN"/>
              </w:rPr>
              <w:t>）</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ABS</w:t>
            </w:r>
            <w:r>
              <w:rPr>
                <w:rFonts w:hint="eastAsia" w:ascii="宋体" w:hAnsi="宋体" w:eastAsia="宋体" w:cs="宋体"/>
                <w:i w:val="0"/>
                <w:iCs w:val="0"/>
                <w:color w:val="000000"/>
                <w:kern w:val="0"/>
                <w:sz w:val="21"/>
                <w:szCs w:val="21"/>
                <w:u w:val="none"/>
                <w:lang w:val="en-US" w:eastAsia="zh-CN" w:bidi="ar"/>
              </w:rPr>
              <w:t>封边条</w:t>
            </w:r>
            <w:r>
              <w:rPr>
                <w:rFonts w:hint="eastAsia" w:ascii="宋体" w:hAnsi="宋体" w:cs="宋体"/>
                <w:lang w:val="en-US" w:eastAsia="zh-CN"/>
              </w:rPr>
              <w:t>,</w:t>
            </w:r>
            <w:r>
              <w:rPr>
                <w:rFonts w:hint="eastAsia" w:ascii="宋体" w:hAnsi="宋体" w:eastAsia="宋体" w:cs="宋体"/>
                <w:i w:val="0"/>
                <w:iCs w:val="0"/>
                <w:color w:val="000000"/>
                <w:kern w:val="0"/>
                <w:sz w:val="21"/>
                <w:szCs w:val="21"/>
                <w:u w:val="none"/>
                <w:lang w:val="en-US" w:eastAsia="zh-CN" w:bidi="ar"/>
              </w:rPr>
              <w:t>封边条</w:t>
            </w:r>
            <w:r>
              <w:rPr>
                <w:rFonts w:hint="eastAsia" w:ascii="宋体" w:hAnsi="宋体" w:cs="宋体"/>
                <w:i w:val="0"/>
                <w:iCs w:val="0"/>
                <w:color w:val="000000"/>
                <w:kern w:val="0"/>
                <w:sz w:val="21"/>
                <w:szCs w:val="21"/>
                <w:u w:val="none"/>
                <w:lang w:val="en-US" w:eastAsia="zh-CN" w:bidi="ar"/>
              </w:rPr>
              <w:t>依据</w:t>
            </w:r>
            <w:r>
              <w:rPr>
                <w:rFonts w:hint="eastAsia" w:ascii="宋体" w:hAnsi="宋体" w:eastAsia="宋体" w:cs="宋体"/>
                <w:i w:val="0"/>
                <w:iCs w:val="0"/>
                <w:color w:val="000000"/>
                <w:kern w:val="0"/>
                <w:sz w:val="21"/>
                <w:szCs w:val="21"/>
                <w:u w:val="none"/>
                <w:lang w:val="en-US" w:eastAsia="zh-CN" w:bidi="ar"/>
              </w:rPr>
              <w:t xml:space="preserve"> QB/T 4463-2025《家具用封边条》</w:t>
            </w:r>
            <w:r>
              <w:rPr>
                <w:rFonts w:hint="eastAsia" w:ascii="宋体" w:hAnsi="宋体" w:cs="宋体"/>
                <w:i w:val="0"/>
                <w:iCs w:val="0"/>
                <w:color w:val="000000"/>
                <w:kern w:val="0"/>
                <w:sz w:val="21"/>
                <w:szCs w:val="21"/>
                <w:u w:val="none"/>
                <w:lang w:val="en-US" w:eastAsia="zh-CN" w:bidi="ar"/>
              </w:rPr>
              <w:t>标准，</w:t>
            </w:r>
            <w:r>
              <w:rPr>
                <w:rFonts w:hint="eastAsia" w:ascii="宋体" w:hAnsi="宋体" w:eastAsia="宋体" w:cs="宋体"/>
                <w:i w:val="0"/>
                <w:iCs w:val="0"/>
                <w:color w:val="000000"/>
                <w:kern w:val="0"/>
                <w:sz w:val="21"/>
                <w:szCs w:val="21"/>
                <w:u w:val="none"/>
                <w:lang w:val="en-US" w:eastAsia="zh-CN" w:bidi="ar"/>
              </w:rPr>
              <w:t>耐干热性、耐磨性、耐龟裂性、耐冷热循性环均符合标准要求，甲醛释放量≤0.1mg/L，可迁移元素</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邻苯二甲酸酯（DBP、BBP、DEHP、DNOP、DINP和DIDP）的总量、多溴联苯（PBB）、多溴联苯醚(PBDE)均未检出的要求,氯乙烯单体未检出</w:t>
            </w:r>
            <w:r>
              <w:rPr>
                <w:rFonts w:hint="eastAsia" w:ascii="宋体" w:hAnsi="宋体" w:cs="宋体"/>
                <w:i w:val="0"/>
                <w:iCs w:val="0"/>
                <w:color w:val="000000"/>
                <w:kern w:val="0"/>
                <w:sz w:val="21"/>
                <w:szCs w:val="21"/>
                <w:u w:val="none"/>
                <w:lang w:val="en-US" w:eastAsia="zh-CN" w:bidi="ar"/>
              </w:rPr>
              <w:t>。</w:t>
            </w:r>
          </w:p>
        </w:tc>
      </w:tr>
      <w:tr w14:paraId="00F7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445E6913">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69F47A9C">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2BA339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3.踏板：采用高密度聚乙烯为原料，中空吹塑工艺一次成型的中空吹塑防滑踏板，原料为中石化全新料，环保无毒。</w:t>
            </w:r>
          </w:p>
        </w:tc>
      </w:tr>
      <w:tr w14:paraId="7B82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6C80F5C6">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3670499">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13E87D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4.四踏设计，每层踏步设计储物柜，柜门（每踏一门）为下翻免拉手设计。</w:t>
            </w:r>
          </w:p>
        </w:tc>
      </w:tr>
      <w:tr w14:paraId="4B85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5544147F">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403C1449">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BADAB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5.踏步设计有四条荧光条和四个荧光点，方便夜间的使用；梯柜与床架采用螺栓连接，牢固稳定；柜体底部加装有</w:t>
            </w:r>
            <w:r>
              <w:rPr>
                <w:rFonts w:hint="eastAsia" w:ascii="宋体" w:hAnsi="宋体" w:cs="宋体"/>
                <w:i w:val="0"/>
                <w:iCs w:val="0"/>
                <w:color w:val="000000"/>
                <w:kern w:val="0"/>
                <w:sz w:val="21"/>
                <w:szCs w:val="21"/>
                <w:u w:val="none"/>
                <w:lang w:val="en-US" w:eastAsia="zh-CN" w:bidi="ar"/>
              </w:rPr>
              <w:t>钢制加高</w:t>
            </w:r>
            <w:r>
              <w:rPr>
                <w:rFonts w:hint="eastAsia" w:ascii="宋体" w:hAnsi="宋体" w:eastAsia="宋体" w:cs="宋体"/>
                <w:i w:val="0"/>
                <w:iCs w:val="0"/>
                <w:color w:val="000000"/>
                <w:kern w:val="0"/>
                <w:sz w:val="21"/>
                <w:szCs w:val="21"/>
                <w:u w:val="none"/>
                <w:lang w:val="en-US" w:eastAsia="zh-CN" w:bidi="ar"/>
              </w:rPr>
              <w:t>调节脚，防止柜体与地面接触受潮。</w:t>
            </w:r>
          </w:p>
        </w:tc>
      </w:tr>
      <w:tr w14:paraId="0A1B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trPr>
        <w:tc>
          <w:tcPr>
            <w:tcW w:w="654" w:type="dxa"/>
            <w:vMerge w:val="continue"/>
            <w:shd w:val="clear" w:color="auto" w:fill="auto"/>
            <w:vAlign w:val="center"/>
          </w:tcPr>
          <w:p w14:paraId="5FAABA69">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3493F9A4">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52EB4B6">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6.▲中空吹塑防滑踏板</w:t>
            </w:r>
          </w:p>
          <w:p w14:paraId="5FEE4050">
            <w:pP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①</w:t>
            </w:r>
            <w:r>
              <w:rPr>
                <w:rFonts w:hint="eastAsia" w:ascii="宋体" w:hAnsi="宋体" w:cs="宋体"/>
                <w:color w:val="FF0000"/>
                <w:kern w:val="0"/>
                <w:szCs w:val="21"/>
                <w:u w:val="none"/>
                <w:lang w:val="en-US" w:eastAsia="zh-CN" w:bidi="ar"/>
              </w:rPr>
              <w:t>检测依据</w:t>
            </w:r>
            <w:r>
              <w:rPr>
                <w:rFonts w:hint="eastAsia" w:ascii="宋体" w:hAnsi="宋体" w:eastAsia="宋体" w:cs="宋体"/>
                <w:i w:val="0"/>
                <w:iCs w:val="0"/>
                <w:color w:val="FF0000"/>
                <w:kern w:val="0"/>
                <w:sz w:val="21"/>
                <w:szCs w:val="21"/>
                <w:u w:val="none"/>
                <w:lang w:val="en-US" w:eastAsia="zh-CN" w:bidi="ar"/>
              </w:rPr>
              <w:t>GB/T 12000-2017《塑料 暴露于湿热、水喷雾和盐雾中影响的测定》</w:t>
            </w:r>
            <w:r>
              <w:rPr>
                <w:rFonts w:hint="eastAsia" w:ascii="宋体" w:hAnsi="宋体" w:cs="宋体"/>
                <w:i w:val="0"/>
                <w:iCs w:val="0"/>
                <w:color w:val="FF0000"/>
                <w:kern w:val="0"/>
                <w:sz w:val="21"/>
                <w:szCs w:val="21"/>
                <w:u w:val="none"/>
                <w:lang w:val="en-US" w:eastAsia="zh-CN" w:bidi="ar"/>
              </w:rPr>
              <w:t>。</w:t>
            </w:r>
            <w:r>
              <w:rPr>
                <w:rFonts w:hint="eastAsia" w:ascii="宋体" w:hAnsi="宋体" w:cs="宋体"/>
                <w:color w:val="FF0000"/>
                <w:kern w:val="0"/>
                <w:szCs w:val="21"/>
                <w:u w:val="none"/>
                <w:lang w:val="en-US" w:eastAsia="zh-CN" w:bidi="ar"/>
              </w:rPr>
              <w:t>检测要求：</w:t>
            </w:r>
            <w:r>
              <w:rPr>
                <w:rFonts w:hint="eastAsia" w:ascii="宋体" w:hAnsi="宋体" w:eastAsia="宋体" w:cs="宋体"/>
                <w:i w:val="0"/>
                <w:iCs w:val="0"/>
                <w:color w:val="FF0000"/>
                <w:kern w:val="0"/>
                <w:sz w:val="21"/>
                <w:szCs w:val="21"/>
                <w:u w:val="none"/>
                <w:lang w:val="en-US" w:eastAsia="zh-CN" w:bidi="ar"/>
              </w:rPr>
              <w:t>盐雾试验≥</w:t>
            </w:r>
            <w:r>
              <w:rPr>
                <w:rFonts w:hint="eastAsia" w:ascii="宋体" w:hAnsi="宋体" w:cs="宋体"/>
                <w:i w:val="0"/>
                <w:iCs w:val="0"/>
                <w:color w:val="FF0000"/>
                <w:kern w:val="0"/>
                <w:sz w:val="21"/>
                <w:szCs w:val="21"/>
                <w:u w:val="none"/>
                <w:lang w:val="en-US" w:eastAsia="zh-CN" w:bidi="ar"/>
              </w:rPr>
              <w:t>156</w:t>
            </w:r>
            <w:r>
              <w:rPr>
                <w:rFonts w:hint="eastAsia" w:ascii="宋体" w:hAnsi="宋体" w:eastAsia="宋体" w:cs="宋体"/>
                <w:i w:val="0"/>
                <w:iCs w:val="0"/>
                <w:color w:val="FF0000"/>
                <w:kern w:val="0"/>
                <w:sz w:val="21"/>
                <w:szCs w:val="21"/>
                <w:u w:val="none"/>
                <w:lang w:val="en-US" w:eastAsia="zh-CN" w:bidi="ar"/>
              </w:rPr>
              <w:t>h：外观无开裂、起泡，质量变化率≤1.55%，厚度变化率≤1.25%；</w:t>
            </w:r>
          </w:p>
          <w:p w14:paraId="5EA6D758">
            <w:pP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③</w:t>
            </w:r>
            <w:r>
              <w:rPr>
                <w:rFonts w:hint="eastAsia" w:ascii="宋体" w:hAnsi="宋体" w:cs="宋体"/>
                <w:color w:val="FF0000"/>
                <w:kern w:val="0"/>
                <w:szCs w:val="21"/>
                <w:u w:val="none"/>
                <w:lang w:val="en-US" w:eastAsia="zh-CN" w:bidi="ar"/>
              </w:rPr>
              <w:t>检测依据</w:t>
            </w:r>
            <w:r>
              <w:rPr>
                <w:rFonts w:hint="eastAsia" w:ascii="宋体" w:hAnsi="宋体" w:eastAsia="宋体" w:cs="宋体"/>
                <w:i w:val="0"/>
                <w:iCs w:val="0"/>
                <w:color w:val="FF0000"/>
                <w:kern w:val="0"/>
                <w:sz w:val="21"/>
                <w:szCs w:val="21"/>
                <w:u w:val="none"/>
                <w:lang w:val="en-US" w:eastAsia="zh-CN" w:bidi="ar"/>
              </w:rPr>
              <w:t>GB/T 32487-2016《塑料家具通用技术条件》外观</w:t>
            </w:r>
            <w:r>
              <w:rPr>
                <w:rFonts w:hint="eastAsia" w:ascii="宋体" w:hAnsi="宋体" w:cs="宋体"/>
                <w:i w:val="0"/>
                <w:iCs w:val="0"/>
                <w:color w:val="FF0000"/>
                <w:kern w:val="0"/>
                <w:sz w:val="21"/>
                <w:szCs w:val="21"/>
                <w:u w:val="none"/>
                <w:lang w:val="en-US" w:eastAsia="zh-CN" w:bidi="ar"/>
              </w:rPr>
              <w:t>符合要求</w:t>
            </w:r>
            <w:r>
              <w:rPr>
                <w:rFonts w:hint="eastAsia" w:ascii="宋体" w:hAnsi="宋体" w:eastAsia="宋体" w:cs="宋体"/>
                <w:i w:val="0"/>
                <w:iCs w:val="0"/>
                <w:color w:val="FF0000"/>
                <w:kern w:val="0"/>
                <w:sz w:val="21"/>
                <w:szCs w:val="21"/>
                <w:u w:val="none"/>
                <w:lang w:val="en-US" w:eastAsia="zh-CN" w:bidi="ar"/>
              </w:rPr>
              <w:t>；</w:t>
            </w:r>
          </w:p>
          <w:p w14:paraId="297901D2">
            <w:pP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④</w:t>
            </w:r>
            <w:r>
              <w:rPr>
                <w:rFonts w:hint="eastAsia" w:ascii="宋体" w:hAnsi="宋体" w:cs="宋体"/>
                <w:color w:val="FF0000"/>
                <w:kern w:val="0"/>
                <w:szCs w:val="21"/>
                <w:u w:val="none"/>
                <w:lang w:val="en-US" w:eastAsia="zh-CN" w:bidi="ar"/>
              </w:rPr>
              <w:t>检测依据</w:t>
            </w:r>
            <w:r>
              <w:rPr>
                <w:rFonts w:hint="eastAsia" w:ascii="宋体" w:hAnsi="宋体" w:cs="宋体"/>
                <w:color w:val="FF0000"/>
                <w:kern w:val="0"/>
                <w:szCs w:val="21"/>
                <w:u w:val="none"/>
                <w:lang w:bidi="ar"/>
              </w:rPr>
              <w:t>GB/T 2423.3-2016《环境试验 第2部分：试验方法 试验Cab：恒定湿热试验》</w:t>
            </w:r>
            <w:r>
              <w:rPr>
                <w:rFonts w:hint="eastAsia" w:ascii="宋体" w:hAnsi="宋体" w:cs="宋体"/>
                <w:color w:val="FF0000"/>
                <w:kern w:val="0"/>
                <w:szCs w:val="21"/>
                <w:u w:val="none"/>
                <w:lang w:eastAsia="zh-CN" w:bidi="ar"/>
              </w:rPr>
              <w:t>。</w:t>
            </w:r>
            <w:r>
              <w:rPr>
                <w:rFonts w:hint="eastAsia" w:ascii="宋体" w:hAnsi="宋体" w:cs="宋体"/>
                <w:color w:val="FF0000"/>
                <w:kern w:val="0"/>
                <w:szCs w:val="21"/>
                <w:u w:val="none"/>
                <w:lang w:val="en-US" w:eastAsia="zh-CN" w:bidi="ar"/>
              </w:rPr>
              <w:t>检测要求：</w:t>
            </w:r>
            <w:r>
              <w:rPr>
                <w:rFonts w:hint="eastAsia" w:ascii="宋体" w:hAnsi="宋体" w:eastAsia="宋体" w:cs="宋体"/>
                <w:i w:val="0"/>
                <w:iCs w:val="0"/>
                <w:color w:val="FF0000"/>
                <w:kern w:val="0"/>
                <w:sz w:val="21"/>
                <w:szCs w:val="21"/>
                <w:u w:val="none"/>
                <w:lang w:val="en-US" w:eastAsia="zh-CN" w:bidi="ar"/>
              </w:rPr>
              <w:t>恒温恒湿试验≥</w:t>
            </w:r>
            <w:r>
              <w:rPr>
                <w:rFonts w:hint="eastAsia" w:ascii="宋体" w:hAnsi="宋体" w:cs="宋体"/>
                <w:i w:val="0"/>
                <w:iCs w:val="0"/>
                <w:color w:val="FF0000"/>
                <w:kern w:val="0"/>
                <w:sz w:val="21"/>
                <w:szCs w:val="21"/>
                <w:u w:val="none"/>
                <w:lang w:val="en-US" w:eastAsia="zh-CN" w:bidi="ar"/>
              </w:rPr>
              <w:t>156</w:t>
            </w:r>
            <w:r>
              <w:rPr>
                <w:rFonts w:hint="eastAsia" w:ascii="宋体" w:hAnsi="宋体" w:eastAsia="宋体" w:cs="宋体"/>
                <w:i w:val="0"/>
                <w:iCs w:val="0"/>
                <w:color w:val="FF0000"/>
                <w:kern w:val="0"/>
                <w:sz w:val="21"/>
                <w:szCs w:val="21"/>
                <w:u w:val="none"/>
                <w:lang w:val="en-US" w:eastAsia="zh-CN" w:bidi="ar"/>
              </w:rPr>
              <w:t>h(温度：40±2℃；相对湿度RH：85</w:t>
            </w:r>
            <w:r>
              <w:rPr>
                <w:rFonts w:hint="eastAsia" w:ascii="宋体" w:hAnsi="宋体" w:cs="宋体"/>
                <w:i w:val="0"/>
                <w:iCs w:val="0"/>
                <w:color w:val="FF0000"/>
                <w:kern w:val="0"/>
                <w:sz w:val="21"/>
                <w:szCs w:val="21"/>
                <w:u w:val="none"/>
                <w:lang w:val="en-US" w:eastAsia="zh-CN" w:bidi="ar"/>
              </w:rPr>
              <w:t>±</w:t>
            </w:r>
            <w:r>
              <w:rPr>
                <w:rFonts w:hint="eastAsia" w:ascii="宋体" w:hAnsi="宋体" w:eastAsia="宋体" w:cs="宋体"/>
                <w:i w:val="0"/>
                <w:iCs w:val="0"/>
                <w:color w:val="FF0000"/>
                <w:kern w:val="0"/>
                <w:sz w:val="21"/>
                <w:szCs w:val="21"/>
                <w:u w:val="none"/>
                <w:lang w:val="en-US" w:eastAsia="zh-CN" w:bidi="ar"/>
              </w:rPr>
              <w:t>3%)：试验后，试样表面无开裂；</w:t>
            </w:r>
          </w:p>
          <w:p w14:paraId="5F0681C1">
            <w:pP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⑤</w:t>
            </w:r>
            <w:r>
              <w:rPr>
                <w:rFonts w:hint="eastAsia" w:ascii="宋体" w:hAnsi="宋体" w:cs="宋体"/>
                <w:color w:val="FF0000"/>
                <w:kern w:val="0"/>
                <w:szCs w:val="21"/>
                <w:u w:val="none"/>
                <w:lang w:val="en-US" w:eastAsia="zh-CN" w:bidi="ar"/>
              </w:rPr>
              <w:t>检测依据</w:t>
            </w:r>
            <w:r>
              <w:rPr>
                <w:rFonts w:hint="eastAsia" w:ascii="宋体" w:hAnsi="宋体" w:eastAsia="宋体" w:cs="宋体"/>
                <w:i w:val="0"/>
                <w:iCs w:val="0"/>
                <w:color w:val="FF0000"/>
                <w:kern w:val="0"/>
                <w:sz w:val="21"/>
                <w:szCs w:val="21"/>
                <w:u w:val="none"/>
                <w:lang w:val="en-US" w:eastAsia="zh-CN" w:bidi="ar"/>
              </w:rPr>
              <w:t>GB/T 6040-2019《红外光谱分析方法通则》</w:t>
            </w:r>
            <w:r>
              <w:rPr>
                <w:rFonts w:hint="eastAsia" w:ascii="宋体" w:hAnsi="宋体" w:cs="宋体"/>
                <w:i w:val="0"/>
                <w:iCs w:val="0"/>
                <w:color w:val="FF0000"/>
                <w:kern w:val="0"/>
                <w:sz w:val="21"/>
                <w:szCs w:val="21"/>
                <w:u w:val="none"/>
                <w:lang w:val="en-US" w:eastAsia="zh-CN" w:bidi="ar"/>
              </w:rPr>
              <w:t>。</w:t>
            </w:r>
            <w:r>
              <w:rPr>
                <w:rFonts w:hint="eastAsia" w:ascii="宋体" w:hAnsi="宋体" w:cs="宋体"/>
                <w:color w:val="FF0000"/>
                <w:kern w:val="0"/>
                <w:szCs w:val="21"/>
                <w:u w:val="none"/>
                <w:lang w:val="en-US" w:eastAsia="zh-CN" w:bidi="ar"/>
              </w:rPr>
              <w:t>检测要求：</w:t>
            </w:r>
            <w:r>
              <w:rPr>
                <w:rFonts w:hint="eastAsia" w:ascii="宋体" w:hAnsi="宋体" w:eastAsia="宋体" w:cs="宋体"/>
                <w:i w:val="0"/>
                <w:iCs w:val="0"/>
                <w:color w:val="FF0000"/>
                <w:kern w:val="0"/>
                <w:sz w:val="21"/>
                <w:szCs w:val="21"/>
                <w:u w:val="none"/>
                <w:lang w:val="en-US" w:eastAsia="zh-CN" w:bidi="ar"/>
              </w:rPr>
              <w:t>主成分：聚乙烯含量≥99%；</w:t>
            </w:r>
          </w:p>
          <w:p w14:paraId="08E4BBB1">
            <w:pPr>
              <w:keepNext w:val="0"/>
              <w:keepLines w:val="0"/>
              <w:widowControl/>
              <w:suppressLineNumbers w:val="0"/>
              <w:jc w:val="left"/>
              <w:textAlignment w:val="center"/>
              <w:rPr>
                <w:rFonts w:hint="eastAsia" w:ascii="宋体" w:hAnsi="宋体" w:eastAsia="宋体" w:cs="宋体"/>
                <w:i w:val="0"/>
                <w:iCs w:val="0"/>
                <w:color w:val="FF0000"/>
                <w:kern w:val="0"/>
                <w:sz w:val="21"/>
                <w:szCs w:val="21"/>
                <w:u w:val="none"/>
                <w:lang w:val="en-US" w:eastAsia="zh-CN" w:bidi="ar"/>
              </w:rPr>
            </w:pPr>
            <w:r>
              <w:rPr>
                <w:rFonts w:hint="default" w:ascii="宋体" w:hAnsi="宋体" w:eastAsia="宋体" w:cs="宋体"/>
                <w:i w:val="0"/>
                <w:iCs w:val="0"/>
                <w:color w:val="FF0000"/>
                <w:kern w:val="0"/>
                <w:sz w:val="21"/>
                <w:szCs w:val="21"/>
                <w:u w:val="none"/>
                <w:lang w:val="en-US" w:eastAsia="zh-CN" w:bidi="ar"/>
              </w:rPr>
              <w:t>⑥</w:t>
            </w:r>
            <w:r>
              <w:rPr>
                <w:rFonts w:hint="eastAsia" w:ascii="宋体" w:hAnsi="宋体" w:cs="宋体"/>
                <w:color w:val="FF0000"/>
                <w:kern w:val="0"/>
                <w:szCs w:val="21"/>
                <w:u w:val="none"/>
                <w:lang w:val="en-US" w:eastAsia="zh-CN" w:bidi="ar"/>
              </w:rPr>
              <w:t>检测依据</w:t>
            </w:r>
            <w:r>
              <w:rPr>
                <w:rFonts w:hint="eastAsia" w:ascii="宋体" w:hAnsi="宋体" w:eastAsia="宋体" w:cs="宋体"/>
                <w:i w:val="0"/>
                <w:iCs w:val="0"/>
                <w:color w:val="FF0000"/>
                <w:kern w:val="0"/>
                <w:sz w:val="21"/>
                <w:szCs w:val="21"/>
                <w:u w:val="none"/>
                <w:lang w:val="en-US" w:eastAsia="zh-CN" w:bidi="ar"/>
              </w:rPr>
              <w:t>GB 18584-2024《家具中有害物质限量》</w:t>
            </w:r>
            <w:r>
              <w:rPr>
                <w:rFonts w:hint="eastAsia" w:ascii="宋体" w:hAnsi="宋体" w:cs="宋体"/>
                <w:i w:val="0"/>
                <w:iCs w:val="0"/>
                <w:color w:val="FF0000"/>
                <w:kern w:val="0"/>
                <w:sz w:val="21"/>
                <w:szCs w:val="21"/>
                <w:u w:val="none"/>
                <w:lang w:val="en-US" w:eastAsia="zh-CN" w:bidi="ar"/>
              </w:rPr>
              <w:t>。</w:t>
            </w:r>
            <w:r>
              <w:rPr>
                <w:rFonts w:hint="eastAsia" w:ascii="宋体" w:hAnsi="宋体" w:cs="宋体"/>
                <w:color w:val="FF0000"/>
                <w:kern w:val="0"/>
                <w:szCs w:val="21"/>
                <w:u w:val="none"/>
                <w:lang w:val="en-US" w:eastAsia="zh-CN" w:bidi="ar"/>
              </w:rPr>
              <w:t>检测要求：</w:t>
            </w:r>
            <w:r>
              <w:rPr>
                <w:rFonts w:hint="eastAsia" w:ascii="宋体" w:hAnsi="宋体" w:eastAsia="宋体" w:cs="宋体"/>
                <w:i w:val="0"/>
                <w:iCs w:val="0"/>
                <w:color w:val="FF0000"/>
                <w:kern w:val="0"/>
                <w:sz w:val="21"/>
                <w:szCs w:val="21"/>
                <w:u w:val="none"/>
                <w:lang w:val="en-US" w:eastAsia="zh-CN" w:bidi="ar"/>
              </w:rPr>
              <w:t>多环芳烃-苯并[α]芘应未检出，多环芳烃-18种多环芳烃（PAH）总量应未检出。</w:t>
            </w:r>
          </w:p>
          <w:p w14:paraId="5BB468DE">
            <w:pPr>
              <w:keepNext w:val="0"/>
              <w:keepLines w:val="0"/>
              <w:widowControl/>
              <w:suppressLineNumbers w:val="0"/>
              <w:jc w:val="left"/>
              <w:textAlignment w:val="center"/>
              <w:rPr>
                <w:rFonts w:hint="eastAsia" w:ascii="宋体" w:hAnsi="宋体" w:cs="宋体"/>
                <w:color w:val="FF0000"/>
                <w:kern w:val="0"/>
                <w:szCs w:val="21"/>
                <w:u w:val="none"/>
                <w:lang w:bidi="ar"/>
              </w:rPr>
            </w:pPr>
            <w:r>
              <w:rPr>
                <w:rFonts w:hint="eastAsia" w:ascii="宋体" w:hAnsi="宋体" w:cs="宋体"/>
                <w:color w:val="FF0000"/>
                <w:kern w:val="0"/>
                <w:szCs w:val="21"/>
                <w:u w:val="none"/>
                <w:lang w:bidi="ar"/>
              </w:rPr>
              <w:t>【提供2024年6月1日起至本项目投标截止日止由第三方检测机构出具带有CMA标志的符合上述检测依据和检测内容及结论要求的</w:t>
            </w:r>
            <w:r>
              <w:rPr>
                <w:rFonts w:hint="eastAsia"/>
                <w:lang w:val="en-US" w:eastAsia="zh-CN"/>
              </w:rPr>
              <w:t>原材料</w:t>
            </w:r>
            <w:r>
              <w:rPr>
                <w:rFonts w:hint="eastAsia" w:ascii="宋体" w:hAnsi="宋体" w:cs="宋体"/>
                <w:color w:val="FF0000"/>
                <w:kern w:val="0"/>
                <w:szCs w:val="21"/>
                <w:u w:val="none"/>
                <w:lang w:bidi="ar"/>
              </w:rPr>
              <w:t>检测报告扫描件。并按要求提供“国家认证认可监督管理委员会”官方网站（http://www.cnca.gov.cn/）检测报告查询记录的截图，因该平台升级等原因导致无法查询的，则需提供通过检测机构官网、邮箱等可靠途径查询所提交检测报告具体内容的真实性的证明材料或者检测机构盖章的证明材料，证明该报告真实有效。】，注：对应参数（检验检测项）在检验检测报告中进行标注，未标注不做扣分处理。</w:t>
            </w:r>
          </w:p>
          <w:p w14:paraId="711B7B7F">
            <w:pPr>
              <w:pStyle w:val="39"/>
              <w:rPr>
                <w:rFonts w:hint="eastAsia" w:ascii="宋体" w:hAnsi="宋体" w:cs="宋体"/>
                <w:b/>
                <w:bCs/>
                <w:color w:val="FF0000"/>
                <w:szCs w:val="21"/>
              </w:rPr>
            </w:pPr>
            <w:r>
              <w:rPr>
                <w:rFonts w:hint="eastAsia" w:ascii="宋体" w:hAnsi="宋体" w:eastAsia="宋体" w:cs="宋体"/>
                <w:b/>
                <w:bCs/>
                <w:color w:val="FF0000"/>
                <w:sz w:val="21"/>
                <w:szCs w:val="21"/>
              </w:rPr>
              <w:t>如检测报告需要分包的，则实施检测的分包机构需具有相应的CMA资质且分包检测项目应在该分包机构CMA资质许可范围内，投标人提供相关承诺函（格式自拟），否则不予得分。若分包检验项目不在该分包机构CMA资质许可范围内的，则该份检验（检测）报告不得分。</w:t>
            </w:r>
          </w:p>
          <w:p w14:paraId="481E8EB9">
            <w:pPr>
              <w:pStyle w:val="9"/>
              <w:rPr>
                <w:rFonts w:hint="eastAsia"/>
              </w:rPr>
            </w:pPr>
          </w:p>
        </w:tc>
      </w:tr>
      <w:tr w14:paraId="165B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35AA35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003" w:type="dxa"/>
            <w:vMerge w:val="restart"/>
            <w:shd w:val="clear" w:color="auto" w:fill="auto"/>
            <w:vAlign w:val="center"/>
          </w:tcPr>
          <w:p w14:paraId="3C3A29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矮柜</w:t>
            </w:r>
          </w:p>
        </w:tc>
        <w:tc>
          <w:tcPr>
            <w:tcW w:w="8030" w:type="dxa"/>
            <w:shd w:val="clear" w:color="auto" w:fill="auto"/>
            <w:vAlign w:val="center"/>
          </w:tcPr>
          <w:p w14:paraId="584A11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w:t>
            </w:r>
            <w:r>
              <w:rPr>
                <w:rFonts w:hint="eastAsia"/>
              </w:rPr>
              <w:t>（定制长度）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宽450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高850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2B88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63BD1961">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90ED3B0">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551E4428">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rPr>
              <w:t>采用SECC双面电解钢板，主体钢板（柜体、层板、背板</w:t>
            </w:r>
            <w:r>
              <w:rPr>
                <w:rFonts w:hint="eastAsia" w:ascii="宋体" w:hAnsi="宋体" w:cs="宋体"/>
                <w:i w:val="0"/>
                <w:iCs w:val="0"/>
                <w:color w:val="auto"/>
                <w:kern w:val="0"/>
                <w:sz w:val="21"/>
                <w:szCs w:val="21"/>
                <w:u w:val="none"/>
                <w:lang w:val="en-US" w:eastAsia="zh-CN"/>
              </w:rPr>
              <w:t>、门板</w:t>
            </w:r>
            <w:r>
              <w:rPr>
                <w:rFonts w:hint="eastAsia" w:ascii="宋体" w:hAnsi="宋体" w:eastAsia="宋体" w:cs="宋体"/>
                <w:i w:val="0"/>
                <w:iCs w:val="0"/>
                <w:color w:val="auto"/>
                <w:kern w:val="0"/>
                <w:sz w:val="21"/>
                <w:szCs w:val="21"/>
                <w:u w:val="none"/>
                <w:lang w:val="en-US" w:eastAsia="zh-CN"/>
              </w:rPr>
              <w:t>）厚度≥1.0mm</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rPr>
              <w:t>电解钢板整板剪裁采用数控剪板机进行裁剪，成品分解后的各部分通过激光焊接技术，激光切割及数控折边成型。表面光滑光洁，光泽保持性强，清晰亮净，抗酸耐碱，耐脏易清洁，在接触人体或收藏物品的部位无毛刺、刃口、棱角。金属表面处理：表面脱脂、水洗、酸洗、水洗中和等过程后，经环氧树脂有色粉末静电喷涂，在高温烘箱内固定成光滑表面。粉末涂料符合  HG/T2006-2022《热固性和热塑性粉末涂料》。采用双层门板：关门静音。柜门采用门轴连接（门轴连接件直径为≥4.0mm）或</w:t>
            </w:r>
            <w:r>
              <w:rPr>
                <w:rFonts w:hint="eastAsia" w:ascii="宋体" w:hAnsi="宋体" w:cs="宋体"/>
                <w:i w:val="0"/>
                <w:iCs w:val="0"/>
                <w:color w:val="auto"/>
                <w:kern w:val="0"/>
                <w:sz w:val="21"/>
                <w:szCs w:val="21"/>
                <w:u w:val="none"/>
                <w:lang w:val="en-US" w:eastAsia="zh-CN"/>
              </w:rPr>
              <w:t>缓冲</w:t>
            </w:r>
            <w:r>
              <w:rPr>
                <w:rFonts w:hint="eastAsia" w:ascii="宋体" w:hAnsi="宋体" w:eastAsia="宋体" w:cs="宋体"/>
                <w:i w:val="0"/>
                <w:iCs w:val="0"/>
                <w:color w:val="auto"/>
                <w:kern w:val="0"/>
                <w:sz w:val="21"/>
                <w:szCs w:val="21"/>
                <w:u w:val="none"/>
                <w:lang w:val="en-US" w:eastAsia="zh-CN"/>
              </w:rPr>
              <w:t>铰链（铰链</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，钢材厚度≥1.2mm，质量</w:t>
            </w:r>
            <w:r>
              <w:rPr>
                <w:rFonts w:hint="eastAsia" w:ascii="宋体" w:hAnsi="宋体" w:eastAsia="宋体" w:cs="宋体"/>
                <w:i w:val="0"/>
                <w:iCs w:val="0"/>
                <w:color w:val="auto"/>
                <w:kern w:val="0"/>
                <w:sz w:val="21"/>
                <w:szCs w:val="21"/>
                <w:u w:val="none"/>
                <w:lang w:val="en-US" w:eastAsia="zh-CN"/>
              </w:rPr>
              <w:t>需符合QB/T 2189-2013《家具五金杯状暗铰链》商用型）</w:t>
            </w:r>
            <w:r>
              <w:rPr>
                <w:rFonts w:hint="eastAsia" w:ascii="宋体" w:hAnsi="宋体" w:cs="宋体"/>
                <w:i w:val="0"/>
                <w:iCs w:val="0"/>
                <w:color w:val="auto"/>
                <w:kern w:val="0"/>
                <w:sz w:val="21"/>
                <w:szCs w:val="21"/>
                <w:u w:val="none"/>
                <w:lang w:val="en-US" w:eastAsia="zh-CN"/>
              </w:rPr>
              <w:t>。</w:t>
            </w:r>
            <w:r>
              <w:rPr>
                <w:rFonts w:hint="eastAsia" w:ascii="宋体" w:hAnsi="宋体" w:eastAsia="宋体" w:cs="宋体"/>
                <w:i w:val="0"/>
                <w:iCs w:val="0"/>
                <w:color w:val="auto"/>
                <w:kern w:val="0"/>
                <w:sz w:val="21"/>
                <w:szCs w:val="21"/>
                <w:u w:val="none"/>
                <w:lang w:val="en-US" w:eastAsia="zh-CN"/>
              </w:rPr>
              <w:t>活动层板四边折弯，可自由调节高度，可自由拆卸，逐级调整高度；底部配有加强筋。</w:t>
            </w:r>
            <w:r>
              <w:rPr>
                <w:rFonts w:hint="eastAsia" w:ascii="宋体" w:hAnsi="宋体" w:cs="宋体"/>
                <w:i w:val="0"/>
                <w:iCs w:val="0"/>
                <w:color w:val="000000"/>
                <w:kern w:val="0"/>
                <w:sz w:val="21"/>
                <w:szCs w:val="21"/>
                <w:u w:val="none"/>
                <w:lang w:val="en-US" w:eastAsia="zh-CN" w:bidi="ar"/>
              </w:rPr>
              <w:t>配置</w:t>
            </w:r>
            <w:r>
              <w:rPr>
                <w:rFonts w:hint="eastAsia" w:ascii="宋体" w:hAnsi="宋体" w:eastAsia="宋体" w:cs="宋体"/>
                <w:i w:val="0"/>
                <w:iCs w:val="0"/>
                <w:color w:val="000000"/>
                <w:kern w:val="0"/>
                <w:sz w:val="21"/>
                <w:szCs w:val="21"/>
                <w:u w:val="none"/>
                <w:lang w:val="en-US" w:eastAsia="zh-CN" w:bidi="ar"/>
              </w:rPr>
              <w:t>复合亚克力人造石</w:t>
            </w:r>
            <w:r>
              <w:rPr>
                <w:rFonts w:hint="eastAsia" w:ascii="宋体" w:hAnsi="宋体" w:cs="宋体"/>
                <w:i w:val="0"/>
                <w:iCs w:val="0"/>
                <w:color w:val="000000"/>
                <w:kern w:val="0"/>
                <w:sz w:val="21"/>
                <w:szCs w:val="21"/>
                <w:u w:val="none"/>
                <w:lang w:val="en-US" w:eastAsia="zh-CN" w:bidi="ar"/>
              </w:rPr>
              <w:t>台面，厚度≥12mm。</w:t>
            </w:r>
          </w:p>
        </w:tc>
      </w:tr>
      <w:tr w14:paraId="5475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068737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003" w:type="dxa"/>
            <w:vMerge w:val="restart"/>
            <w:shd w:val="clear" w:color="auto" w:fill="auto"/>
            <w:vAlign w:val="center"/>
          </w:tcPr>
          <w:p w14:paraId="60EA6C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定制矮柜</w:t>
            </w:r>
          </w:p>
        </w:tc>
        <w:tc>
          <w:tcPr>
            <w:tcW w:w="8030" w:type="dxa"/>
            <w:shd w:val="clear" w:color="auto" w:fill="auto"/>
            <w:vAlign w:val="center"/>
          </w:tcPr>
          <w:p w14:paraId="5F965D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w:t>
            </w:r>
            <w:r>
              <w:rPr>
                <w:rFonts w:hint="eastAsia"/>
              </w:rPr>
              <w:t>（定制长度）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宽600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高850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7BF8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7350F618">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0D181548">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C5F1D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2.柜面：采用复合亚克力人造石，厚度不小于12mm，质感细腻，色泽明亮，不易开裂。</w:t>
            </w:r>
          </w:p>
        </w:tc>
      </w:tr>
      <w:tr w14:paraId="51CB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7D1DE21D">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700D0D15">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129324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3.柜体：全板式采用不小于18mm厚E0级浸渍胶膜纸饰面实木多层板</w:t>
            </w:r>
            <w:r>
              <w:rPr>
                <w:rFonts w:hint="eastAsia"/>
                <w:lang w:eastAsia="zh-CN"/>
              </w:rPr>
              <w:t>（</w:t>
            </w:r>
            <w:r>
              <w:rPr>
                <w:rFonts w:hint="eastAsia"/>
                <w:lang w:val="en-US" w:eastAsia="zh-CN"/>
              </w:rPr>
              <w:t>胶合板</w:t>
            </w:r>
            <w:r>
              <w:rPr>
                <w:rFonts w:hint="eastAsia"/>
                <w:lang w:eastAsia="zh-CN"/>
              </w:rPr>
              <w:t>）</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所有板材</w:t>
            </w:r>
            <w:r>
              <w:rPr>
                <w:rFonts w:hint="eastAsia" w:ascii="宋体" w:hAnsi="宋体" w:eastAsia="宋体" w:cs="宋体"/>
                <w:i w:val="0"/>
                <w:iCs w:val="0"/>
                <w:color w:val="000000"/>
                <w:kern w:val="0"/>
                <w:sz w:val="21"/>
                <w:szCs w:val="21"/>
                <w:u w:val="none"/>
                <w:lang w:val="en-US" w:eastAsia="zh-CN" w:bidi="ar"/>
              </w:rPr>
              <w:t>为</w:t>
            </w:r>
            <w:r>
              <w:rPr>
                <w:rFonts w:hint="eastAsia" w:ascii="宋体" w:hAnsi="宋体" w:cs="宋体"/>
                <w:i w:val="0"/>
                <w:iCs w:val="0"/>
                <w:color w:val="000000"/>
                <w:kern w:val="0"/>
                <w:sz w:val="21"/>
                <w:szCs w:val="21"/>
                <w:u w:val="none"/>
                <w:lang w:val="en-US" w:eastAsia="zh-CN" w:bidi="ar"/>
              </w:rPr>
              <w:t>ABS</w:t>
            </w:r>
            <w:r>
              <w:rPr>
                <w:rFonts w:hint="eastAsia" w:ascii="宋体" w:hAnsi="宋体" w:eastAsia="宋体" w:cs="宋体"/>
                <w:i w:val="0"/>
                <w:iCs w:val="0"/>
                <w:color w:val="000000"/>
                <w:kern w:val="0"/>
                <w:sz w:val="21"/>
                <w:szCs w:val="21"/>
                <w:u w:val="none"/>
                <w:lang w:val="en-US" w:eastAsia="zh-CN" w:bidi="ar"/>
              </w:rPr>
              <w:t>封边条</w:t>
            </w:r>
            <w:r>
              <w:rPr>
                <w:rFonts w:hint="eastAsia" w:ascii="宋体" w:hAnsi="宋体" w:cs="宋体"/>
                <w:lang w:val="en-US" w:eastAsia="zh-CN"/>
              </w:rPr>
              <w:t>,</w:t>
            </w:r>
            <w:r>
              <w:rPr>
                <w:rFonts w:hint="eastAsia" w:ascii="宋体" w:hAnsi="宋体" w:eastAsia="宋体" w:cs="宋体"/>
                <w:i w:val="0"/>
                <w:iCs w:val="0"/>
                <w:color w:val="000000"/>
                <w:kern w:val="0"/>
                <w:sz w:val="21"/>
                <w:szCs w:val="21"/>
                <w:u w:val="none"/>
                <w:lang w:val="en-US" w:eastAsia="zh-CN" w:bidi="ar"/>
              </w:rPr>
              <w:t>封边条</w:t>
            </w:r>
            <w:r>
              <w:rPr>
                <w:rFonts w:hint="eastAsia" w:ascii="宋体" w:hAnsi="宋体" w:cs="宋体"/>
                <w:i w:val="0"/>
                <w:iCs w:val="0"/>
                <w:color w:val="000000"/>
                <w:kern w:val="0"/>
                <w:sz w:val="21"/>
                <w:szCs w:val="21"/>
                <w:u w:val="none"/>
                <w:lang w:val="en-US" w:eastAsia="zh-CN" w:bidi="ar"/>
              </w:rPr>
              <w:t>依据</w:t>
            </w:r>
            <w:r>
              <w:rPr>
                <w:rFonts w:hint="eastAsia" w:ascii="宋体" w:hAnsi="宋体" w:eastAsia="宋体" w:cs="宋体"/>
                <w:i w:val="0"/>
                <w:iCs w:val="0"/>
                <w:color w:val="000000"/>
                <w:kern w:val="0"/>
                <w:sz w:val="21"/>
                <w:szCs w:val="21"/>
                <w:u w:val="none"/>
                <w:lang w:val="en-US" w:eastAsia="zh-CN" w:bidi="ar"/>
              </w:rPr>
              <w:t xml:space="preserve"> QB/T 4463-2025《家具用封边条》</w:t>
            </w:r>
            <w:r>
              <w:rPr>
                <w:rFonts w:hint="eastAsia" w:ascii="宋体" w:hAnsi="宋体" w:cs="宋体"/>
                <w:i w:val="0"/>
                <w:iCs w:val="0"/>
                <w:color w:val="000000"/>
                <w:kern w:val="0"/>
                <w:sz w:val="21"/>
                <w:szCs w:val="21"/>
                <w:u w:val="none"/>
                <w:lang w:val="en-US" w:eastAsia="zh-CN" w:bidi="ar"/>
              </w:rPr>
              <w:t>标准，</w:t>
            </w:r>
            <w:r>
              <w:rPr>
                <w:rFonts w:hint="eastAsia" w:ascii="宋体" w:hAnsi="宋体" w:eastAsia="宋体" w:cs="宋体"/>
                <w:i w:val="0"/>
                <w:iCs w:val="0"/>
                <w:color w:val="000000"/>
                <w:kern w:val="0"/>
                <w:sz w:val="21"/>
                <w:szCs w:val="21"/>
                <w:u w:val="none"/>
                <w:lang w:val="en-US" w:eastAsia="zh-CN" w:bidi="ar"/>
              </w:rPr>
              <w:t>耐干热性、耐磨性、耐龟裂性、耐冷热循性环均符合标准要求，甲醛释放量≤0.1mg/L，可迁移元素</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邻苯二甲酸酯（DBP、BBP、DEHP、DNOP、DINP和DIDP）的总量、多溴联苯（PBB）、多溴联苯醚(PBDE)均未检出的要求,氯乙烯单体未检出</w:t>
            </w:r>
            <w:r>
              <w:rPr>
                <w:rFonts w:hint="eastAsia" w:ascii="宋体" w:hAnsi="宋体" w:cs="宋体"/>
                <w:i w:val="0"/>
                <w:iCs w:val="0"/>
                <w:color w:val="000000"/>
                <w:kern w:val="0"/>
                <w:sz w:val="21"/>
                <w:szCs w:val="21"/>
                <w:u w:val="none"/>
                <w:lang w:val="en-US" w:eastAsia="zh-CN" w:bidi="ar"/>
              </w:rPr>
              <w:t>。</w:t>
            </w:r>
          </w:p>
        </w:tc>
      </w:tr>
      <w:tr w14:paraId="7F32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4" w:type="dxa"/>
            <w:vMerge w:val="continue"/>
            <w:shd w:val="clear" w:color="auto" w:fill="auto"/>
            <w:vAlign w:val="center"/>
          </w:tcPr>
          <w:p w14:paraId="683832EC">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5B35DFD1">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72CC329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lang w:val="en-US" w:eastAsia="zh-CN"/>
              </w:rPr>
              <w:t>4.</w:t>
            </w:r>
            <w:r>
              <w:rPr>
                <w:rFonts w:hint="eastAsia" w:ascii="宋体" w:hAnsi="宋体" w:eastAsia="宋体" w:cs="宋体"/>
                <w:i w:val="0"/>
                <w:iCs w:val="0"/>
                <w:color w:val="auto"/>
                <w:kern w:val="0"/>
                <w:sz w:val="21"/>
                <w:szCs w:val="21"/>
                <w:u w:val="none"/>
                <w:lang w:val="en-US" w:eastAsia="zh-CN"/>
              </w:rPr>
              <w:t>五金配件：缓冲门铰，</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钢材厚度≥1.2mm，质量</w:t>
            </w:r>
            <w:r>
              <w:rPr>
                <w:rFonts w:hint="eastAsia" w:ascii="宋体" w:hAnsi="宋体" w:eastAsia="宋体" w:cs="宋体"/>
                <w:i w:val="0"/>
                <w:iCs w:val="0"/>
                <w:color w:val="auto"/>
                <w:kern w:val="0"/>
                <w:sz w:val="21"/>
                <w:szCs w:val="21"/>
                <w:u w:val="none"/>
                <w:lang w:val="en-US" w:eastAsia="zh-CN"/>
              </w:rPr>
              <w:t>需符合QB/T 2189-2013《家具五金杯状暗铰链》商用型）</w:t>
            </w:r>
            <w:r>
              <w:rPr>
                <w:rFonts w:hint="eastAsia" w:ascii="宋体" w:hAnsi="宋体" w:cs="宋体"/>
                <w:i w:val="0"/>
                <w:iCs w:val="0"/>
                <w:color w:val="auto"/>
                <w:kern w:val="0"/>
                <w:sz w:val="21"/>
                <w:szCs w:val="21"/>
                <w:u w:val="none"/>
                <w:lang w:val="en-US" w:eastAsia="zh-CN"/>
              </w:rPr>
              <w:t>，</w:t>
            </w:r>
            <w:r>
              <w:rPr>
                <w:rFonts w:hint="eastAsia" w:ascii="宋体" w:hAnsi="宋体" w:eastAsia="宋体" w:cs="宋体"/>
                <w:i w:val="0"/>
                <w:iCs w:val="0"/>
                <w:color w:val="auto"/>
                <w:kern w:val="0"/>
                <w:sz w:val="21"/>
                <w:szCs w:val="21"/>
                <w:u w:val="none"/>
                <w:lang w:val="en-US" w:eastAsia="zh-CN"/>
              </w:rPr>
              <w:t>三节缓冲导轨</w:t>
            </w:r>
            <w:r>
              <w:rPr>
                <w:rFonts w:hint="eastAsia" w:ascii="宋体" w:hAnsi="宋体" w:cs="宋体"/>
                <w:i w:val="0"/>
                <w:iCs w:val="0"/>
                <w:color w:val="auto"/>
                <w:kern w:val="0"/>
                <w:sz w:val="21"/>
                <w:szCs w:val="21"/>
                <w:u w:val="none"/>
                <w:lang w:val="en-US" w:eastAsia="zh-CN"/>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钢材厚度≥1.2mm，质量</w:t>
            </w:r>
            <w:r>
              <w:rPr>
                <w:rFonts w:hint="eastAsia" w:ascii="宋体" w:hAnsi="宋体" w:eastAsia="宋体" w:cs="宋体"/>
                <w:i w:val="0"/>
                <w:iCs w:val="0"/>
                <w:color w:val="auto"/>
                <w:kern w:val="0"/>
                <w:sz w:val="21"/>
                <w:szCs w:val="21"/>
                <w:u w:val="none"/>
                <w:lang w:val="en-US" w:eastAsia="zh-CN"/>
              </w:rPr>
              <w:t>符合QB/T 2454-2013《家具五金 抽屉导轨》商用型要求；</w:t>
            </w:r>
          </w:p>
        </w:tc>
      </w:tr>
      <w:tr w14:paraId="2548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restart"/>
            <w:shd w:val="clear" w:color="auto" w:fill="auto"/>
            <w:vAlign w:val="center"/>
          </w:tcPr>
          <w:p w14:paraId="476FA1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003" w:type="dxa"/>
            <w:vMerge w:val="restart"/>
            <w:shd w:val="clear" w:color="auto" w:fill="auto"/>
            <w:vAlign w:val="center"/>
          </w:tcPr>
          <w:p w14:paraId="68E649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货架</w:t>
            </w:r>
          </w:p>
        </w:tc>
        <w:tc>
          <w:tcPr>
            <w:tcW w:w="8030" w:type="dxa"/>
            <w:shd w:val="clear" w:color="auto" w:fill="auto"/>
            <w:vAlign w:val="center"/>
          </w:tcPr>
          <w:p w14:paraId="2DBB7A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1.长</w:t>
            </w:r>
            <w:r>
              <w:rPr>
                <w:rFonts w:hint="eastAsia"/>
              </w:rPr>
              <w:t>（定制长度）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宽500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高2000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w:t>
            </w:r>
          </w:p>
        </w:tc>
      </w:tr>
      <w:tr w14:paraId="6880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45546FBA">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63BC6A63">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F338A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2.全钢制结构，采用冷轧钢板，光洁度高，抗蚀能力强。</w:t>
            </w:r>
          </w:p>
        </w:tc>
      </w:tr>
      <w:tr w14:paraId="2CE1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5E034A09">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1F0586ED">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36526E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3.立柱及横梁钢材厚度不少于1.</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mm，层板钢材厚度不少于</w:t>
            </w: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mm</w:t>
            </w:r>
            <w:r>
              <w:rPr>
                <w:rFonts w:hint="eastAsia" w:ascii="宋体" w:hAnsi="宋体" w:cs="宋体"/>
                <w:i w:val="0"/>
                <w:iCs w:val="0"/>
                <w:color w:val="000000"/>
                <w:kern w:val="0"/>
                <w:sz w:val="21"/>
                <w:szCs w:val="21"/>
                <w:u w:val="none"/>
                <w:lang w:val="en-US" w:eastAsia="zh-CN" w:bidi="ar"/>
              </w:rPr>
              <w:t>，层板底部带加强筋</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rPr>
              <w:t>钢板整板剪裁采用数控剪板机进行裁剪，成品分解后的各部分通过激光焊接技术，激光切割及数控折边成型。表面光滑光洁，光泽保持性强，清晰亮净，抗酸耐碱，耐脏易清洁，在接触人体或收藏物品的部位无毛刺、刃口、棱角。金属表面处理：表面脱脂、水洗、酸洗、水洗中和等过程后，经环氧树脂有色粉末静电喷涂，在高温烘箱内固定成光滑表面。粉末涂料符合HG/T2006-2022《热固性和热塑性粉末涂料》</w:t>
            </w:r>
          </w:p>
        </w:tc>
      </w:tr>
      <w:tr w14:paraId="6215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4" w:type="dxa"/>
            <w:vMerge w:val="continue"/>
            <w:shd w:val="clear" w:color="auto" w:fill="auto"/>
            <w:vAlign w:val="center"/>
          </w:tcPr>
          <w:p w14:paraId="0A44E727">
            <w:pPr>
              <w:jc w:val="center"/>
              <w:rPr>
                <w:rFonts w:hint="eastAsia" w:ascii="宋体" w:hAnsi="宋体" w:eastAsia="宋体" w:cs="宋体"/>
                <w:i w:val="0"/>
                <w:iCs w:val="0"/>
                <w:color w:val="000000"/>
                <w:sz w:val="21"/>
                <w:szCs w:val="21"/>
                <w:u w:val="none"/>
              </w:rPr>
            </w:pPr>
          </w:p>
        </w:tc>
        <w:tc>
          <w:tcPr>
            <w:tcW w:w="1003" w:type="dxa"/>
            <w:vMerge w:val="continue"/>
            <w:shd w:val="clear" w:color="auto" w:fill="auto"/>
            <w:vAlign w:val="center"/>
          </w:tcPr>
          <w:p w14:paraId="75844F85">
            <w:pPr>
              <w:jc w:val="center"/>
              <w:rPr>
                <w:rFonts w:hint="eastAsia" w:ascii="宋体" w:hAnsi="宋体" w:eastAsia="宋体" w:cs="宋体"/>
                <w:i w:val="0"/>
                <w:iCs w:val="0"/>
                <w:color w:val="000000"/>
                <w:sz w:val="21"/>
                <w:szCs w:val="21"/>
                <w:u w:val="none"/>
              </w:rPr>
            </w:pPr>
          </w:p>
        </w:tc>
        <w:tc>
          <w:tcPr>
            <w:tcW w:w="8030" w:type="dxa"/>
            <w:shd w:val="clear" w:color="auto" w:fill="auto"/>
            <w:vAlign w:val="center"/>
          </w:tcPr>
          <w:p w14:paraId="0CFE3F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4.每组4层板，单层承重达</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250KG，横梁离地不少于130mm。</w:t>
            </w:r>
          </w:p>
        </w:tc>
      </w:tr>
      <w:bookmarkEnd w:id="40"/>
    </w:tbl>
    <w:p w14:paraId="73B55590">
      <w:pPr>
        <w:spacing w:line="500" w:lineRule="exact"/>
        <w:rPr>
          <w:rFonts w:hint="eastAsia" w:ascii="宋体" w:hAnsi="宋体" w:cs="宋体"/>
          <w:sz w:val="24"/>
        </w:rPr>
      </w:pPr>
    </w:p>
    <w:p w14:paraId="487460A6">
      <w:pPr>
        <w:pStyle w:val="8"/>
        <w:spacing w:before="120" w:beforeLines="50" w:after="120" w:afterLines="50"/>
        <w:rPr>
          <w:rFonts w:hint="eastAsia"/>
          <w:sz w:val="28"/>
          <w:szCs w:val="28"/>
        </w:rPr>
      </w:pPr>
      <w:r>
        <w:rPr>
          <w:rFonts w:hint="eastAsia"/>
          <w:sz w:val="28"/>
          <w:szCs w:val="28"/>
        </w:rPr>
        <w:t>五、商务要求</w:t>
      </w:r>
    </w:p>
    <w:p w14:paraId="3DEBEC36">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2A116E99">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877"/>
        <w:gridCol w:w="5832"/>
      </w:tblGrid>
      <w:tr w14:paraId="4BE8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Align w:val="center"/>
          </w:tcPr>
          <w:p w14:paraId="3E786D5C">
            <w:pPr>
              <w:keepNext w:val="0"/>
              <w:keepLines w:val="0"/>
              <w:suppressLineNumbers w:val="0"/>
              <w:spacing w:before="0" w:beforeAutospacing="0" w:after="0" w:afterAutospacing="0"/>
              <w:ind w:left="0" w:right="0"/>
              <w:jc w:val="center"/>
              <w:rPr>
                <w:rFonts w:hint="default"/>
                <w:b w:val="0"/>
              </w:rPr>
            </w:pPr>
            <w:r>
              <w:rPr>
                <w:rFonts w:hint="default"/>
                <w:b w:val="0"/>
              </w:rPr>
              <w:t>序号</w:t>
            </w:r>
          </w:p>
        </w:tc>
        <w:tc>
          <w:tcPr>
            <w:tcW w:w="1877" w:type="dxa"/>
            <w:vAlign w:val="center"/>
          </w:tcPr>
          <w:p w14:paraId="3CFF2801">
            <w:pPr>
              <w:keepNext w:val="0"/>
              <w:keepLines w:val="0"/>
              <w:suppressLineNumbers w:val="0"/>
              <w:spacing w:before="0" w:beforeAutospacing="0" w:after="0" w:afterAutospacing="0"/>
              <w:ind w:left="0" w:right="0"/>
              <w:jc w:val="center"/>
              <w:rPr>
                <w:rFonts w:hint="default"/>
                <w:b w:val="0"/>
              </w:rPr>
            </w:pPr>
            <w:r>
              <w:rPr>
                <w:rFonts w:hint="default"/>
                <w:b w:val="0"/>
              </w:rPr>
              <w:t>商务需求项</w:t>
            </w:r>
          </w:p>
        </w:tc>
        <w:tc>
          <w:tcPr>
            <w:tcW w:w="5832" w:type="dxa"/>
            <w:vAlign w:val="center"/>
          </w:tcPr>
          <w:p w14:paraId="6DAA52A8">
            <w:pPr>
              <w:keepNext w:val="0"/>
              <w:keepLines w:val="0"/>
              <w:suppressLineNumbers w:val="0"/>
              <w:spacing w:before="0" w:beforeAutospacing="0" w:after="0" w:afterAutospacing="0"/>
              <w:ind w:left="0" w:right="0"/>
              <w:jc w:val="center"/>
              <w:rPr>
                <w:rFonts w:hint="default"/>
                <w:b w:val="0"/>
              </w:rPr>
            </w:pPr>
            <w:r>
              <w:rPr>
                <w:rFonts w:hint="default"/>
                <w:b w:val="0"/>
              </w:rPr>
              <w:t>招标商务要求</w:t>
            </w:r>
          </w:p>
        </w:tc>
      </w:tr>
      <w:tr w14:paraId="3A7A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20" w:type="dxa"/>
            <w:gridSpan w:val="3"/>
          </w:tcPr>
          <w:p w14:paraId="1A90BBB2">
            <w:pPr>
              <w:keepNext w:val="0"/>
              <w:keepLines w:val="0"/>
              <w:suppressLineNumbers w:val="0"/>
              <w:spacing w:before="0" w:beforeAutospacing="0" w:after="0" w:afterAutospacing="0"/>
              <w:ind w:left="0" w:right="0"/>
              <w:rPr>
                <w:rFonts w:hint="default"/>
                <w:b w:val="0"/>
              </w:rPr>
            </w:pPr>
            <w:r>
              <w:rPr>
                <w:rFonts w:hint="default"/>
                <w:b w:val="0"/>
              </w:rPr>
              <w:t>（一）免费保修期内售后服务要求</w:t>
            </w:r>
          </w:p>
        </w:tc>
      </w:tr>
      <w:tr w14:paraId="16DA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shd w:val="clear" w:color="auto" w:fill="auto"/>
            <w:vAlign w:val="center"/>
          </w:tcPr>
          <w:p w14:paraId="294A3A2F">
            <w:pPr>
              <w:keepNext w:val="0"/>
              <w:keepLines w:val="0"/>
              <w:suppressLineNumbers w:val="0"/>
              <w:spacing w:before="0" w:beforeAutospacing="0" w:after="0" w:afterAutospacing="0"/>
              <w:ind w:left="0" w:right="0"/>
              <w:jc w:val="center"/>
              <w:rPr>
                <w:rFonts w:hint="default" w:ascii="Times New Roman" w:hAnsi="Times New Roman" w:eastAsia="宋体" w:cs="Times New Roman"/>
                <w:bCs w:val="0"/>
                <w:kern w:val="2"/>
                <w:sz w:val="21"/>
                <w:szCs w:val="24"/>
                <w:lang w:val="en-US" w:eastAsia="zh-CN" w:bidi="ar-SA"/>
              </w:rPr>
            </w:pPr>
            <w:r>
              <w:rPr>
                <w:rFonts w:hint="default"/>
                <w:bCs w:val="0"/>
              </w:rPr>
              <w:t>1</w:t>
            </w:r>
          </w:p>
        </w:tc>
        <w:tc>
          <w:tcPr>
            <w:tcW w:w="1877" w:type="dxa"/>
            <w:shd w:val="clear" w:color="auto" w:fill="auto"/>
            <w:vAlign w:val="center"/>
          </w:tcPr>
          <w:p w14:paraId="145AD85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default"/>
              </w:rPr>
              <w:t>维修响应及故障解决时间</w:t>
            </w:r>
          </w:p>
        </w:tc>
        <w:tc>
          <w:tcPr>
            <w:tcW w:w="5832" w:type="dxa"/>
            <w:shd w:val="clear" w:color="auto" w:fill="auto"/>
            <w:vAlign w:val="top"/>
          </w:tcPr>
          <w:p w14:paraId="09CA2993">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bCs w:val="0"/>
                <w:szCs w:val="24"/>
              </w:rPr>
            </w:pPr>
            <w:r>
              <w:rPr>
                <w:rFonts w:hint="default"/>
                <w:bCs w:val="0"/>
                <w:szCs w:val="24"/>
              </w:rPr>
              <w:t>免费保修期内，中标人将向采购人提供售后技术支持服务</w:t>
            </w:r>
            <w:r>
              <w:rPr>
                <w:rFonts w:hint="default" w:ascii="Times New Roman" w:hAnsi="Times New Roman" w:eastAsia="宋体" w:cs="Times New Roman"/>
                <w:bCs w:val="0"/>
                <w:szCs w:val="24"/>
              </w:rPr>
              <w:t>，开通</w:t>
            </w:r>
            <w:r>
              <w:rPr>
                <w:rFonts w:hint="default" w:ascii="Times New Roman" w:hAnsi="Times New Roman" w:eastAsia="宋体" w:cs="Times New Roman"/>
                <w:bCs w:val="0"/>
                <w:szCs w:val="24"/>
                <w:u w:val="none"/>
              </w:rPr>
              <w:t xml:space="preserve"> 24</w:t>
            </w:r>
            <w:r>
              <w:rPr>
                <w:rFonts w:hint="default" w:ascii="Times New Roman" w:hAnsi="Times New Roman" w:eastAsia="宋体" w:cs="Times New Roman"/>
                <w:bCs w:val="0"/>
                <w:szCs w:val="24"/>
              </w:rPr>
              <w:t>小时热线电话接受采购人的电话技术咨询；</w:t>
            </w:r>
          </w:p>
          <w:p w14:paraId="20C751F1">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bCs w:val="0"/>
                <w:sz w:val="21"/>
                <w:szCs w:val="24"/>
              </w:rPr>
              <w:t>一旦发生质量问题，</w:t>
            </w:r>
            <w:r>
              <w:rPr>
                <w:rFonts w:hint="default" w:ascii="Times New Roman" w:hAnsi="Times New Roman" w:eastAsia="宋体" w:cs="Times New Roman"/>
                <w:bCs w:val="0"/>
                <w:sz w:val="21"/>
                <w:szCs w:val="24"/>
                <w:lang w:eastAsia="zh-CN"/>
              </w:rPr>
              <w:t>中标人</w:t>
            </w:r>
            <w:r>
              <w:rPr>
                <w:rFonts w:hint="default" w:ascii="Times New Roman" w:hAnsi="Times New Roman" w:eastAsia="宋体" w:cs="Times New Roman"/>
                <w:bCs w:val="0"/>
                <w:sz w:val="21"/>
                <w:szCs w:val="24"/>
              </w:rPr>
              <w:t>在收到</w:t>
            </w:r>
            <w:r>
              <w:rPr>
                <w:rFonts w:hint="default" w:ascii="Times New Roman" w:hAnsi="Times New Roman" w:eastAsia="宋体" w:cs="Times New Roman"/>
                <w:bCs w:val="0"/>
                <w:sz w:val="21"/>
                <w:szCs w:val="24"/>
                <w:lang w:eastAsia="zh-CN"/>
              </w:rPr>
              <w:t>采购人</w:t>
            </w:r>
            <w:r>
              <w:rPr>
                <w:rFonts w:hint="default" w:ascii="Times New Roman" w:hAnsi="Times New Roman" w:eastAsia="宋体" w:cs="Times New Roman"/>
                <w:bCs w:val="0"/>
                <w:sz w:val="21"/>
                <w:szCs w:val="24"/>
              </w:rPr>
              <w:t>的函或电话后，</w:t>
            </w:r>
            <w:r>
              <w:rPr>
                <w:rFonts w:hint="default" w:ascii="Times New Roman" w:hAnsi="Times New Roman" w:eastAsia="宋体" w:cs="Times New Roman"/>
                <w:bCs w:val="0"/>
                <w:sz w:val="21"/>
                <w:szCs w:val="24"/>
                <w:lang w:val="en-US" w:eastAsia="zh-CN"/>
              </w:rPr>
              <w:t>20分钟</w:t>
            </w:r>
            <w:r>
              <w:rPr>
                <w:rFonts w:hint="eastAsia"/>
                <w:lang w:val="en-US" w:eastAsia="zh-CN"/>
              </w:rPr>
              <w:t>内</w:t>
            </w:r>
            <w:r>
              <w:rPr>
                <w:rFonts w:hint="default" w:ascii="Times New Roman" w:hAnsi="Times New Roman" w:eastAsia="宋体" w:cs="Times New Roman"/>
                <w:bCs w:val="0"/>
                <w:sz w:val="21"/>
                <w:szCs w:val="24"/>
              </w:rPr>
              <w:t>电话响应，工作时间内2小时内赶到现场进行修理或更换，非工作时间投标人在接到通知12小时内赶到现场进行修理或更换。</w:t>
            </w:r>
            <w:r>
              <w:rPr>
                <w:rFonts w:hint="default" w:ascii="Times New Roman" w:hAnsi="Times New Roman" w:eastAsia="宋体" w:cs="Times New Roman"/>
                <w:bCs w:val="0"/>
                <w:sz w:val="21"/>
                <w:szCs w:val="24"/>
                <w:lang w:eastAsia="zh-CN"/>
              </w:rPr>
              <w:t>货物</w:t>
            </w:r>
            <w:r>
              <w:rPr>
                <w:rFonts w:hint="default" w:ascii="Times New Roman" w:hAnsi="Times New Roman" w:eastAsia="宋体" w:cs="Times New Roman"/>
                <w:bCs w:val="0"/>
                <w:sz w:val="21"/>
                <w:szCs w:val="24"/>
              </w:rPr>
              <w:t>出现故障后，修复时间不得长于48小时。如不能及时修复的产品，须与使用方协商予以更换或者约定修复时间，如需拉回工厂返修，同时提供替代产品暂用。</w:t>
            </w:r>
          </w:p>
        </w:tc>
      </w:tr>
      <w:tr w14:paraId="071A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restart"/>
            <w:vAlign w:val="center"/>
          </w:tcPr>
          <w:p w14:paraId="1990EA6A">
            <w:pPr>
              <w:keepNext w:val="0"/>
              <w:keepLines w:val="0"/>
              <w:suppressLineNumbers w:val="0"/>
              <w:spacing w:before="0" w:beforeAutospacing="0" w:after="0" w:afterAutospacing="0"/>
              <w:ind w:left="0" w:right="0"/>
              <w:jc w:val="center"/>
              <w:rPr>
                <w:rFonts w:hint="default"/>
                <w:szCs w:val="24"/>
              </w:rPr>
            </w:pPr>
            <w:r>
              <w:rPr>
                <w:rFonts w:hint="default"/>
                <w:szCs w:val="24"/>
              </w:rPr>
              <w:t>2</w:t>
            </w:r>
          </w:p>
        </w:tc>
        <w:tc>
          <w:tcPr>
            <w:tcW w:w="1877" w:type="dxa"/>
            <w:vMerge w:val="restart"/>
            <w:vAlign w:val="center"/>
          </w:tcPr>
          <w:p w14:paraId="5998FE06">
            <w:pPr>
              <w:keepNext w:val="0"/>
              <w:keepLines w:val="0"/>
              <w:suppressLineNumbers w:val="0"/>
              <w:spacing w:before="0" w:beforeAutospacing="0" w:after="0" w:afterAutospacing="0"/>
              <w:ind w:left="0" w:right="0"/>
              <w:jc w:val="center"/>
              <w:rPr>
                <w:rFonts w:hint="default" w:eastAsia="宋体"/>
                <w:szCs w:val="24"/>
                <w:lang w:eastAsia="zh-CN"/>
              </w:rPr>
            </w:pPr>
            <w:r>
              <w:rPr>
                <w:rFonts w:hint="default"/>
                <w:szCs w:val="24"/>
                <w:lang w:eastAsia="zh-CN"/>
              </w:rPr>
              <w:t>产品质量及维护服务</w:t>
            </w:r>
          </w:p>
        </w:tc>
        <w:tc>
          <w:tcPr>
            <w:tcW w:w="5832" w:type="dxa"/>
            <w:vAlign w:val="center"/>
          </w:tcPr>
          <w:p w14:paraId="495BFC4E">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szCs w:val="24"/>
              </w:rPr>
            </w:pPr>
            <w:r>
              <w:rPr>
                <w:rFonts w:hint="default" w:ascii="Times New Roman" w:hAnsi="Times New Roman" w:eastAsia="宋体" w:cs="Times New Roman"/>
                <w:b w:val="0"/>
                <w:bCs w:val="0"/>
                <w:szCs w:val="24"/>
              </w:rPr>
              <w:t>★</w:t>
            </w:r>
            <w:r>
              <w:rPr>
                <w:rFonts w:hint="default" w:ascii="Times New Roman" w:hAnsi="Times New Roman" w:eastAsia="宋体" w:cs="Times New Roman"/>
                <w:b w:val="0"/>
                <w:bCs w:val="0"/>
                <w:szCs w:val="24"/>
                <w:lang w:val="en-US" w:eastAsia="zh-CN"/>
              </w:rPr>
              <w:t>2.1</w:t>
            </w:r>
            <w:r>
              <w:rPr>
                <w:rFonts w:hint="default" w:ascii="Times New Roman" w:hAnsi="Times New Roman" w:eastAsia="宋体" w:cs="Times New Roman"/>
                <w:bCs w:val="0"/>
                <w:szCs w:val="24"/>
              </w:rPr>
              <w:t>中标人向采购人免费提供</w:t>
            </w:r>
            <w:r>
              <w:rPr>
                <w:rFonts w:hint="default" w:ascii="Times New Roman" w:hAnsi="Times New Roman" w:eastAsia="宋体" w:cs="Times New Roman"/>
                <w:bCs w:val="0"/>
                <w:szCs w:val="24"/>
                <w:u w:val="none"/>
              </w:rPr>
              <w:t xml:space="preserve"> 5 </w:t>
            </w:r>
            <w:r>
              <w:rPr>
                <w:rFonts w:hint="default" w:ascii="Times New Roman" w:hAnsi="Times New Roman" w:eastAsia="宋体" w:cs="Times New Roman"/>
                <w:bCs w:val="0"/>
                <w:szCs w:val="24"/>
              </w:rPr>
              <w:t>年上门保修服务、免费保修期为</w:t>
            </w:r>
            <w:r>
              <w:rPr>
                <w:rFonts w:hint="default" w:ascii="Times New Roman" w:hAnsi="Times New Roman" w:eastAsia="宋体" w:cs="Times New Roman"/>
                <w:bCs w:val="0"/>
                <w:szCs w:val="24"/>
                <w:u w:val="none"/>
              </w:rPr>
              <w:t xml:space="preserve"> 5  </w:t>
            </w:r>
            <w:r>
              <w:rPr>
                <w:rFonts w:hint="default" w:ascii="Times New Roman" w:hAnsi="Times New Roman" w:eastAsia="宋体" w:cs="Times New Roman"/>
                <w:bCs w:val="0"/>
                <w:szCs w:val="24"/>
              </w:rPr>
              <w:t>年</w:t>
            </w:r>
            <w:r>
              <w:rPr>
                <w:rFonts w:hint="default" w:ascii="Times New Roman" w:hAnsi="Times New Roman" w:eastAsia="宋体" w:cs="Times New Roman"/>
                <w:bCs w:val="0"/>
                <w:szCs w:val="24"/>
                <w:lang w:eastAsia="zh-CN"/>
              </w:rPr>
              <w:t>，保修期以验收合格，双方代表签署“验收报告”之日起计算。</w:t>
            </w:r>
          </w:p>
        </w:tc>
      </w:tr>
      <w:tr w14:paraId="1518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753F2F6C">
            <w:pPr>
              <w:keepNext w:val="0"/>
              <w:keepLines w:val="0"/>
              <w:suppressLineNumbers w:val="0"/>
              <w:spacing w:before="0" w:beforeAutospacing="0" w:after="0" w:afterAutospacing="0"/>
              <w:ind w:left="0" w:right="0"/>
              <w:jc w:val="center"/>
              <w:rPr>
                <w:rFonts w:hint="default"/>
                <w:szCs w:val="24"/>
              </w:rPr>
            </w:pPr>
          </w:p>
        </w:tc>
        <w:tc>
          <w:tcPr>
            <w:tcW w:w="1877" w:type="dxa"/>
            <w:vMerge w:val="continue"/>
            <w:vAlign w:val="center"/>
          </w:tcPr>
          <w:p w14:paraId="6329D8E9">
            <w:pPr>
              <w:keepNext w:val="0"/>
              <w:keepLines w:val="0"/>
              <w:suppressLineNumbers w:val="0"/>
              <w:spacing w:before="0" w:beforeAutospacing="0" w:after="0" w:afterAutospacing="0"/>
              <w:ind w:left="0" w:right="0"/>
              <w:jc w:val="center"/>
              <w:rPr>
                <w:rFonts w:hint="default"/>
                <w:szCs w:val="24"/>
              </w:rPr>
            </w:pPr>
          </w:p>
        </w:tc>
        <w:tc>
          <w:tcPr>
            <w:tcW w:w="5832" w:type="dxa"/>
            <w:vAlign w:val="center"/>
          </w:tcPr>
          <w:p w14:paraId="67B1AA65">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Cs w:val="0"/>
                <w:szCs w:val="24"/>
              </w:rPr>
            </w:pPr>
            <w:r>
              <w:rPr>
                <w:rFonts w:hint="default" w:ascii="Times New Roman" w:hAnsi="Times New Roman" w:eastAsia="宋体" w:cs="Times New Roman"/>
                <w:bCs w:val="0"/>
                <w:szCs w:val="24"/>
                <w:lang w:val="en-US" w:eastAsia="zh-CN"/>
              </w:rPr>
              <w:t>2.2</w:t>
            </w:r>
            <w:r>
              <w:rPr>
                <w:rFonts w:hint="default" w:ascii="Times New Roman" w:hAnsi="Times New Roman" w:eastAsia="宋体" w:cs="Times New Roman"/>
                <w:bCs w:val="0"/>
                <w:szCs w:val="24"/>
              </w:rPr>
              <w:t>免费保修期内，所有货物保修服务方式均为中标人派</w:t>
            </w:r>
            <w:r>
              <w:rPr>
                <w:rFonts w:hint="eastAsia" w:cs="Times New Roman"/>
                <w:bCs w:val="0"/>
                <w:szCs w:val="24"/>
                <w:lang w:val="en-US" w:eastAsia="zh-CN"/>
              </w:rPr>
              <w:t>人</w:t>
            </w:r>
            <w:r>
              <w:rPr>
                <w:rFonts w:hint="default" w:ascii="Times New Roman" w:hAnsi="Times New Roman" w:eastAsia="宋体" w:cs="Times New Roman"/>
                <w:bCs w:val="0"/>
                <w:szCs w:val="24"/>
              </w:rPr>
              <w:t>员到用户货物使用现场进行保修，</w:t>
            </w:r>
            <w:r>
              <w:rPr>
                <w:rFonts w:hint="default" w:ascii="Times New Roman" w:hAnsi="Times New Roman" w:eastAsia="宋体" w:cs="Times New Roman"/>
                <w:bCs w:val="0"/>
                <w:szCs w:val="24"/>
                <w:lang w:eastAsia="zh-CN"/>
              </w:rPr>
              <w:t>保修期内产生的一切费用均</w:t>
            </w:r>
            <w:r>
              <w:rPr>
                <w:rFonts w:hint="default" w:ascii="Times New Roman" w:hAnsi="Times New Roman" w:eastAsia="宋体" w:cs="Times New Roman"/>
                <w:bCs w:val="0"/>
                <w:szCs w:val="24"/>
              </w:rPr>
              <w:t>由中标人承担</w:t>
            </w:r>
            <w:r>
              <w:rPr>
                <w:rFonts w:hint="default" w:ascii="Times New Roman" w:hAnsi="Times New Roman" w:eastAsia="宋体" w:cs="Times New Roman"/>
                <w:bCs w:val="0"/>
                <w:szCs w:val="24"/>
                <w:lang w:eastAsia="zh-CN"/>
              </w:rPr>
              <w:t>（含需要返原厂修理的所有费用）。</w:t>
            </w:r>
          </w:p>
        </w:tc>
      </w:tr>
      <w:tr w14:paraId="067C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596DC788">
            <w:pPr>
              <w:keepNext w:val="0"/>
              <w:keepLines w:val="0"/>
              <w:suppressLineNumbers w:val="0"/>
              <w:spacing w:before="0" w:beforeAutospacing="0" w:after="0" w:afterAutospacing="0"/>
              <w:ind w:left="0" w:right="0"/>
              <w:jc w:val="center"/>
              <w:rPr>
                <w:rFonts w:hint="default"/>
                <w:szCs w:val="24"/>
              </w:rPr>
            </w:pPr>
          </w:p>
        </w:tc>
        <w:tc>
          <w:tcPr>
            <w:tcW w:w="1877" w:type="dxa"/>
            <w:vMerge w:val="continue"/>
            <w:vAlign w:val="center"/>
          </w:tcPr>
          <w:p w14:paraId="406EE051">
            <w:pPr>
              <w:keepNext w:val="0"/>
              <w:keepLines w:val="0"/>
              <w:suppressLineNumbers w:val="0"/>
              <w:spacing w:before="0" w:beforeAutospacing="0" w:after="0" w:afterAutospacing="0"/>
              <w:ind w:left="0" w:right="0"/>
              <w:jc w:val="center"/>
              <w:rPr>
                <w:rFonts w:hint="default"/>
                <w:szCs w:val="24"/>
              </w:rPr>
            </w:pPr>
          </w:p>
        </w:tc>
        <w:tc>
          <w:tcPr>
            <w:tcW w:w="5832" w:type="dxa"/>
            <w:vAlign w:val="center"/>
          </w:tcPr>
          <w:p w14:paraId="4EDEE44D">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Cs w:val="0"/>
                <w:szCs w:val="24"/>
              </w:rPr>
            </w:pPr>
            <w:r>
              <w:rPr>
                <w:rFonts w:hint="default" w:ascii="Times New Roman" w:hAnsi="Times New Roman" w:eastAsia="宋体" w:cs="Times New Roman"/>
                <w:bCs w:val="0"/>
                <w:szCs w:val="24"/>
                <w:lang w:val="en-US" w:eastAsia="zh-CN"/>
              </w:rPr>
              <w:t>2.3</w:t>
            </w:r>
            <w:r>
              <w:rPr>
                <w:rFonts w:hint="default" w:ascii="Times New Roman" w:hAnsi="Times New Roman" w:eastAsia="宋体" w:cs="Times New Roman"/>
                <w:bCs w:val="0"/>
                <w:szCs w:val="24"/>
              </w:rPr>
              <w:t>免费保修期内，非采购人的人为原因而出现产品质量及安装问题，由投标人负责包修、包换或包退，并承担因此而产生的一切费用。</w:t>
            </w:r>
          </w:p>
        </w:tc>
      </w:tr>
      <w:tr w14:paraId="0404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restart"/>
            <w:shd w:val="clear" w:color="auto" w:fill="auto"/>
            <w:vAlign w:val="center"/>
          </w:tcPr>
          <w:p w14:paraId="1B7F58F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kern w:val="2"/>
                <w:sz w:val="21"/>
                <w:szCs w:val="24"/>
                <w:lang w:val="en-US" w:eastAsia="zh-CN" w:bidi="ar-SA"/>
              </w:rPr>
            </w:pPr>
            <w:r>
              <w:rPr>
                <w:rFonts w:hint="default"/>
                <w:b w:val="0"/>
              </w:rPr>
              <w:t>3</w:t>
            </w:r>
          </w:p>
        </w:tc>
        <w:tc>
          <w:tcPr>
            <w:tcW w:w="1877" w:type="dxa"/>
            <w:vMerge w:val="restart"/>
            <w:shd w:val="clear" w:color="auto" w:fill="auto"/>
            <w:vAlign w:val="center"/>
          </w:tcPr>
          <w:p w14:paraId="12C86E7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kern w:val="2"/>
                <w:sz w:val="21"/>
                <w:szCs w:val="24"/>
                <w:lang w:val="en-US" w:eastAsia="zh-CN" w:bidi="ar-SA"/>
              </w:rPr>
            </w:pPr>
            <w:r>
              <w:rPr>
                <w:rFonts w:hint="default"/>
              </w:rPr>
              <w:t>其他</w:t>
            </w:r>
          </w:p>
        </w:tc>
        <w:tc>
          <w:tcPr>
            <w:tcW w:w="5832" w:type="dxa"/>
            <w:vAlign w:val="center"/>
          </w:tcPr>
          <w:p w14:paraId="10CDDDFA">
            <w:pPr>
              <w:keepNext w:val="0"/>
              <w:keepLines w:val="0"/>
              <w:suppressLineNumbers w:val="0"/>
              <w:spacing w:before="0" w:beforeAutospacing="0" w:after="0" w:afterAutospacing="0" w:line="240" w:lineRule="auto"/>
              <w:ind w:left="0" w:right="0"/>
              <w:jc w:val="left"/>
              <w:rPr>
                <w:rFonts w:hint="default"/>
                <w:bCs w:val="0"/>
                <w:szCs w:val="24"/>
              </w:rPr>
            </w:pPr>
            <w:r>
              <w:rPr>
                <w:rFonts w:hint="default" w:ascii="Times New Roman" w:hAnsi="Times New Roman" w:eastAsia="宋体" w:cs="Times New Roman"/>
                <w:bCs w:val="0"/>
                <w:szCs w:val="24"/>
              </w:rPr>
              <w:t xml:space="preserve">3.1 </w:t>
            </w:r>
            <w:r>
              <w:rPr>
                <w:rFonts w:hint="default" w:ascii="Times New Roman" w:hAnsi="Times New Roman" w:eastAsia="宋体" w:cs="Times New Roman"/>
                <w:bCs w:val="0"/>
                <w:szCs w:val="24"/>
                <w:lang w:eastAsia="zh-CN"/>
              </w:rPr>
              <w:t>中标人</w:t>
            </w:r>
            <w:r>
              <w:rPr>
                <w:rFonts w:hint="default" w:ascii="Times New Roman" w:hAnsi="Times New Roman" w:eastAsia="宋体" w:cs="Times New Roman"/>
                <w:bCs w:val="0"/>
                <w:szCs w:val="24"/>
              </w:rPr>
              <w:t>应按其投标文件中的承诺的服务条款，进行售后服务工作，还应定期对产品进行预维护保养。</w:t>
            </w:r>
          </w:p>
        </w:tc>
      </w:tr>
      <w:tr w14:paraId="5E37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0D36D67C">
            <w:pPr>
              <w:keepNext w:val="0"/>
              <w:keepLines w:val="0"/>
              <w:suppressLineNumbers w:val="0"/>
              <w:spacing w:before="0" w:beforeAutospacing="0" w:after="0" w:afterAutospacing="0"/>
              <w:ind w:left="0" w:right="0"/>
              <w:jc w:val="center"/>
              <w:rPr>
                <w:rFonts w:hint="default"/>
                <w:b w:val="0"/>
              </w:rPr>
            </w:pPr>
          </w:p>
        </w:tc>
        <w:tc>
          <w:tcPr>
            <w:tcW w:w="1877" w:type="dxa"/>
            <w:vMerge w:val="continue"/>
            <w:vAlign w:val="center"/>
          </w:tcPr>
          <w:p w14:paraId="565609A3">
            <w:pPr>
              <w:keepNext w:val="0"/>
              <w:keepLines w:val="0"/>
              <w:suppressLineNumbers w:val="0"/>
              <w:spacing w:before="0" w:beforeAutospacing="0" w:after="0" w:afterAutospacing="0"/>
              <w:ind w:left="0" w:right="0"/>
              <w:jc w:val="center"/>
              <w:rPr>
                <w:rFonts w:hint="default"/>
              </w:rPr>
            </w:pPr>
          </w:p>
        </w:tc>
        <w:tc>
          <w:tcPr>
            <w:tcW w:w="5832" w:type="dxa"/>
            <w:vAlign w:val="center"/>
          </w:tcPr>
          <w:p w14:paraId="08FAFEC5">
            <w:pPr>
              <w:keepNext w:val="0"/>
              <w:keepLines w:val="0"/>
              <w:suppressLineNumbers w:val="0"/>
              <w:spacing w:before="0" w:beforeAutospacing="0" w:after="0" w:afterAutospacing="0" w:line="240" w:lineRule="auto"/>
              <w:ind w:left="0" w:right="0"/>
              <w:jc w:val="left"/>
              <w:rPr>
                <w:rFonts w:hint="default"/>
                <w:bCs w:val="0"/>
                <w:szCs w:val="24"/>
              </w:rPr>
            </w:pPr>
            <w:r>
              <w:rPr>
                <w:rFonts w:hint="default" w:ascii="Times New Roman" w:hAnsi="Times New Roman" w:eastAsia="宋体" w:cs="Times New Roman"/>
                <w:bCs w:val="0"/>
                <w:szCs w:val="24"/>
              </w:rPr>
              <w:t>3.2 在整个产品运行过程中，中标人帮助采购人解决在应用过程中遇到的各种技术问题。</w:t>
            </w:r>
          </w:p>
        </w:tc>
      </w:tr>
      <w:tr w14:paraId="1052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64DF23B6">
            <w:pPr>
              <w:keepNext w:val="0"/>
              <w:keepLines w:val="0"/>
              <w:suppressLineNumbers w:val="0"/>
              <w:spacing w:before="0" w:beforeAutospacing="0" w:after="0" w:afterAutospacing="0"/>
              <w:ind w:left="0" w:right="0"/>
              <w:jc w:val="center"/>
              <w:rPr>
                <w:rFonts w:hint="default"/>
                <w:b w:val="0"/>
              </w:rPr>
            </w:pPr>
          </w:p>
        </w:tc>
        <w:tc>
          <w:tcPr>
            <w:tcW w:w="1877" w:type="dxa"/>
            <w:vMerge w:val="continue"/>
            <w:vAlign w:val="center"/>
          </w:tcPr>
          <w:p w14:paraId="1977EBBF">
            <w:pPr>
              <w:keepNext w:val="0"/>
              <w:keepLines w:val="0"/>
              <w:suppressLineNumbers w:val="0"/>
              <w:spacing w:before="0" w:beforeAutospacing="0" w:after="0" w:afterAutospacing="0"/>
              <w:ind w:left="0" w:right="0"/>
              <w:jc w:val="center"/>
              <w:rPr>
                <w:rFonts w:hint="default"/>
              </w:rPr>
            </w:pPr>
          </w:p>
        </w:tc>
        <w:tc>
          <w:tcPr>
            <w:tcW w:w="5832" w:type="dxa"/>
            <w:vAlign w:val="center"/>
          </w:tcPr>
          <w:p w14:paraId="0EA6011B">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Cs w:val="0"/>
                <w:szCs w:val="24"/>
              </w:rPr>
            </w:pPr>
            <w:r>
              <w:rPr>
                <w:rFonts w:hint="default" w:cs="Times New Roman"/>
                <w:bCs w:val="0"/>
                <w:sz w:val="21"/>
                <w:szCs w:val="24"/>
                <w:lang w:val="en-US" w:eastAsia="zh-CN"/>
              </w:rPr>
              <w:t>3.3</w:t>
            </w:r>
            <w:r>
              <w:rPr>
                <w:rFonts w:hint="default" w:ascii="Times New Roman" w:hAnsi="Times New Roman" w:eastAsia="宋体" w:cs="Times New Roman"/>
                <w:bCs w:val="0"/>
                <w:sz w:val="21"/>
                <w:szCs w:val="24"/>
              </w:rPr>
              <w:t>维护保养：中标人应定期对产品进行预维护保养，每年 2 次，以防患于未然。</w:t>
            </w:r>
          </w:p>
        </w:tc>
      </w:tr>
      <w:tr w14:paraId="5974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1A9F1B56">
            <w:pPr>
              <w:keepNext w:val="0"/>
              <w:keepLines w:val="0"/>
              <w:suppressLineNumbers w:val="0"/>
              <w:spacing w:before="0" w:beforeAutospacing="0" w:after="0" w:afterAutospacing="0"/>
              <w:ind w:left="0" w:right="0"/>
              <w:jc w:val="center"/>
              <w:rPr>
                <w:rFonts w:hint="default"/>
                <w:b w:val="0"/>
              </w:rPr>
            </w:pPr>
          </w:p>
        </w:tc>
        <w:tc>
          <w:tcPr>
            <w:tcW w:w="1877" w:type="dxa"/>
            <w:vMerge w:val="continue"/>
            <w:vAlign w:val="center"/>
          </w:tcPr>
          <w:p w14:paraId="5610CBB6">
            <w:pPr>
              <w:keepNext w:val="0"/>
              <w:keepLines w:val="0"/>
              <w:suppressLineNumbers w:val="0"/>
              <w:spacing w:before="0" w:beforeAutospacing="0" w:after="0" w:afterAutospacing="0"/>
              <w:ind w:left="0" w:right="0"/>
              <w:jc w:val="center"/>
              <w:rPr>
                <w:rFonts w:hint="default"/>
              </w:rPr>
            </w:pPr>
          </w:p>
        </w:tc>
        <w:tc>
          <w:tcPr>
            <w:tcW w:w="5832" w:type="dxa"/>
            <w:vAlign w:val="center"/>
          </w:tcPr>
          <w:p w14:paraId="250BAEDC">
            <w:pPr>
              <w:keepNext w:val="0"/>
              <w:keepLines w:val="0"/>
              <w:suppressLineNumbers w:val="0"/>
              <w:spacing w:before="0" w:beforeAutospacing="0" w:after="0" w:afterAutospacing="0" w:line="240" w:lineRule="auto"/>
              <w:ind w:left="0" w:right="0"/>
              <w:jc w:val="left"/>
              <w:rPr>
                <w:rFonts w:hint="default" w:cs="Times New Roman"/>
                <w:bCs w:val="0"/>
                <w:sz w:val="21"/>
                <w:szCs w:val="24"/>
                <w:lang w:val="en-US" w:eastAsia="zh-CN"/>
              </w:rPr>
            </w:pPr>
            <w:r>
              <w:rPr>
                <w:rFonts w:hint="eastAsia" w:cs="Times New Roman"/>
                <w:bCs w:val="0"/>
                <w:sz w:val="21"/>
                <w:szCs w:val="24"/>
                <w:lang w:val="en-US" w:eastAsia="zh-CN"/>
              </w:rPr>
              <w:t>3.4</w:t>
            </w:r>
            <w:r>
              <w:rPr>
                <w:rFonts w:hint="default" w:ascii="Times New Roman" w:hAnsi="Times New Roman" w:eastAsia="宋体" w:cs="Times New Roman"/>
                <w:bCs w:val="0"/>
                <w:sz w:val="21"/>
                <w:szCs w:val="24"/>
              </w:rPr>
              <w:t>中标人</w:t>
            </w:r>
            <w:r>
              <w:rPr>
                <w:rFonts w:hint="eastAsia" w:cs="Times New Roman"/>
                <w:bCs w:val="0"/>
                <w:sz w:val="21"/>
                <w:szCs w:val="24"/>
                <w:lang w:val="en-US" w:eastAsia="zh-CN"/>
              </w:rPr>
              <w:t>提供的家具产品，其配套的零配件、五金件应选用市场通用品类，具备公开流通性，保障采购人能够自主完成配件采购、产品维修与部件更换工作。</w:t>
            </w:r>
          </w:p>
        </w:tc>
      </w:tr>
      <w:tr w14:paraId="5331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171ED1C9">
            <w:pPr>
              <w:keepNext w:val="0"/>
              <w:keepLines w:val="0"/>
              <w:suppressLineNumbers w:val="0"/>
              <w:spacing w:before="0" w:beforeAutospacing="0" w:after="0" w:afterAutospacing="0"/>
              <w:ind w:left="0" w:right="0"/>
              <w:jc w:val="center"/>
              <w:rPr>
                <w:rFonts w:hint="default"/>
                <w:b w:val="0"/>
              </w:rPr>
            </w:pPr>
          </w:p>
        </w:tc>
        <w:tc>
          <w:tcPr>
            <w:tcW w:w="1877" w:type="dxa"/>
            <w:vMerge w:val="continue"/>
            <w:vAlign w:val="center"/>
          </w:tcPr>
          <w:p w14:paraId="3A91DAB8">
            <w:pPr>
              <w:keepNext w:val="0"/>
              <w:keepLines w:val="0"/>
              <w:suppressLineNumbers w:val="0"/>
              <w:spacing w:before="0" w:beforeAutospacing="0" w:after="0" w:afterAutospacing="0"/>
              <w:ind w:left="0" w:right="0"/>
              <w:jc w:val="center"/>
              <w:rPr>
                <w:rFonts w:hint="default"/>
                <w:b w:val="0"/>
              </w:rPr>
            </w:pPr>
          </w:p>
        </w:tc>
        <w:tc>
          <w:tcPr>
            <w:tcW w:w="5832" w:type="dxa"/>
            <w:vAlign w:val="center"/>
          </w:tcPr>
          <w:p w14:paraId="13529C92">
            <w:pPr>
              <w:keepNext w:val="0"/>
              <w:keepLines w:val="0"/>
              <w:suppressLineNumbers w:val="0"/>
              <w:spacing w:before="0" w:beforeAutospacing="0" w:after="0" w:afterAutospacing="0" w:line="240" w:lineRule="auto"/>
              <w:ind w:left="0" w:right="0"/>
              <w:jc w:val="left"/>
              <w:rPr>
                <w:rFonts w:hint="eastAsia" w:cs="Times New Roman"/>
                <w:b/>
                <w:bCs/>
                <w:color w:val="FF0000"/>
                <w:szCs w:val="24"/>
                <w:lang w:val="en-US" w:eastAsia="zh-CN"/>
              </w:rPr>
            </w:pPr>
            <w:r>
              <w:rPr>
                <w:rFonts w:hint="default"/>
                <w:b/>
                <w:bCs/>
                <w:color w:val="FF0000"/>
              </w:rPr>
              <w:t>▲</w:t>
            </w:r>
            <w:r>
              <w:rPr>
                <w:rFonts w:hint="default" w:ascii="Times New Roman" w:hAnsi="Times New Roman" w:eastAsia="宋体" w:cs="Times New Roman"/>
                <w:b/>
                <w:bCs/>
                <w:color w:val="FF0000"/>
                <w:szCs w:val="24"/>
              </w:rPr>
              <w:t>3.</w:t>
            </w:r>
            <w:r>
              <w:rPr>
                <w:rFonts w:hint="eastAsia" w:cs="Times New Roman"/>
                <w:b/>
                <w:bCs/>
                <w:color w:val="FF0000"/>
                <w:szCs w:val="24"/>
                <w:lang w:val="en-US" w:eastAsia="zh-CN"/>
              </w:rPr>
              <w:t>5</w:t>
            </w:r>
            <w:r>
              <w:rPr>
                <w:rFonts w:hint="default" w:ascii="Times New Roman" w:hAnsi="Times New Roman" w:eastAsia="宋体" w:cs="Times New Roman"/>
                <w:b/>
                <w:bCs/>
                <w:color w:val="FF0000"/>
                <w:szCs w:val="24"/>
              </w:rPr>
              <w:t xml:space="preserve"> </w:t>
            </w:r>
            <w:r>
              <w:rPr>
                <w:rFonts w:hint="eastAsia" w:cs="Times New Roman"/>
                <w:b/>
                <w:bCs/>
                <w:color w:val="FF0000"/>
                <w:szCs w:val="24"/>
                <w:lang w:val="en-US" w:eastAsia="zh-CN"/>
              </w:rPr>
              <w:t>备品备件、耗材</w:t>
            </w:r>
          </w:p>
          <w:p w14:paraId="5BA419BF">
            <w:pPr>
              <w:keepNext w:val="0"/>
              <w:keepLines w:val="0"/>
              <w:suppressLineNumbers w:val="0"/>
              <w:spacing w:before="0" w:beforeAutospacing="0" w:after="0" w:afterAutospacing="0" w:line="240" w:lineRule="auto"/>
              <w:ind w:left="0" w:right="0"/>
              <w:jc w:val="left"/>
              <w:rPr>
                <w:rFonts w:hint="default"/>
                <w:b/>
                <w:bCs/>
                <w:color w:val="FF0000"/>
                <w:kern w:val="2"/>
                <w:vertAlign w:val="baseline"/>
                <w:lang w:val="en-US" w:eastAsia="zh-CN"/>
              </w:rPr>
            </w:pPr>
            <w:r>
              <w:rPr>
                <w:rFonts w:hint="default" w:cs="Times New Roman"/>
                <w:b/>
                <w:bCs/>
                <w:color w:val="FF0000"/>
                <w:szCs w:val="24"/>
                <w:lang w:eastAsia="zh-CN"/>
              </w:rPr>
              <w:t>中标人</w:t>
            </w:r>
            <w:r>
              <w:rPr>
                <w:rFonts w:hint="default" w:cs="Times New Roman"/>
                <w:b/>
                <w:bCs/>
                <w:color w:val="FF0000"/>
                <w:szCs w:val="24"/>
                <w:lang w:val="en-US" w:eastAsia="zh-CN"/>
              </w:rPr>
              <w:t>根据</w:t>
            </w:r>
            <w:r>
              <w:rPr>
                <w:rFonts w:hint="default"/>
                <w:b/>
                <w:bCs/>
                <w:color w:val="FF0000"/>
                <w:kern w:val="2"/>
                <w:vertAlign w:val="baseline"/>
              </w:rPr>
              <w:t>《</w:t>
            </w:r>
            <w:r>
              <w:rPr>
                <w:rFonts w:hint="default"/>
                <w:b/>
                <w:bCs/>
                <w:color w:val="FF0000"/>
              </w:rPr>
              <w:t>备品备件</w:t>
            </w:r>
            <w:r>
              <w:rPr>
                <w:rFonts w:hint="default"/>
                <w:b/>
                <w:bCs/>
                <w:color w:val="FF0000"/>
                <w:kern w:val="2"/>
                <w:vertAlign w:val="baseline"/>
              </w:rPr>
              <w:t>报价清单》</w:t>
            </w:r>
            <w:r>
              <w:rPr>
                <w:rFonts w:hint="eastAsia"/>
                <w:b/>
                <w:bCs/>
                <w:color w:val="FF0000"/>
                <w:kern w:val="2"/>
                <w:vertAlign w:val="baseline"/>
                <w:lang w:val="en-US" w:eastAsia="zh-CN"/>
              </w:rPr>
              <w:t>内容提供报价清单</w:t>
            </w:r>
            <w:r>
              <w:rPr>
                <w:rFonts w:hint="default"/>
                <w:b/>
                <w:bCs/>
                <w:color w:val="FF0000"/>
                <w:kern w:val="2"/>
                <w:vertAlign w:val="baseline"/>
                <w:lang w:val="en-US" w:eastAsia="zh-CN"/>
              </w:rPr>
              <w:t>及承诺函。</w:t>
            </w:r>
          </w:p>
          <w:p w14:paraId="68D6A32D">
            <w:pPr>
              <w:keepNext w:val="0"/>
              <w:keepLines w:val="0"/>
              <w:suppressLineNumbers w:val="0"/>
              <w:spacing w:before="0" w:beforeAutospacing="0" w:after="0" w:afterAutospacing="0" w:line="240" w:lineRule="auto"/>
              <w:ind w:left="0" w:right="0"/>
              <w:jc w:val="left"/>
              <w:rPr>
                <w:rFonts w:hint="default" w:cs="Times New Roman"/>
                <w:b/>
                <w:bCs/>
                <w:color w:val="FF0000"/>
                <w:szCs w:val="24"/>
                <w:lang w:eastAsia="zh-CN"/>
              </w:rPr>
            </w:pPr>
            <w:r>
              <w:rPr>
                <w:rFonts w:hint="default"/>
                <w:b/>
                <w:bCs/>
                <w:color w:val="FF0000"/>
                <w:kern w:val="2"/>
                <w:vertAlign w:val="baseline"/>
                <w:lang w:val="en-US" w:eastAsia="zh-CN"/>
              </w:rPr>
              <w:t>1）</w:t>
            </w:r>
            <w:r>
              <w:rPr>
                <w:rFonts w:hint="eastAsia"/>
                <w:b/>
                <w:bCs/>
                <w:color w:val="FF0000"/>
                <w:kern w:val="2"/>
                <w:vertAlign w:val="baseline"/>
                <w:lang w:val="en-US" w:eastAsia="zh-CN"/>
              </w:rPr>
              <w:t>按</w:t>
            </w:r>
            <w:r>
              <w:rPr>
                <w:rFonts w:hint="default"/>
                <w:b/>
                <w:bCs/>
                <w:color w:val="FF0000"/>
                <w:kern w:val="2"/>
                <w:vertAlign w:val="baseline"/>
              </w:rPr>
              <w:t>《</w:t>
            </w:r>
            <w:r>
              <w:rPr>
                <w:rFonts w:hint="default"/>
                <w:b/>
                <w:bCs/>
                <w:color w:val="FF0000"/>
              </w:rPr>
              <w:t>备品</w:t>
            </w:r>
            <w:r>
              <w:rPr>
                <w:rFonts w:hint="default"/>
                <w:b/>
                <w:bCs/>
                <w:color w:val="FF0000"/>
                <w:kern w:val="2"/>
                <w:vertAlign w:val="baseline"/>
              </w:rPr>
              <w:t>报价清单》</w:t>
            </w:r>
            <w:r>
              <w:rPr>
                <w:rFonts w:hint="default"/>
                <w:b/>
                <w:bCs/>
                <w:color w:val="FF0000"/>
                <w:kern w:val="2"/>
                <w:vertAlign w:val="baseline"/>
                <w:lang w:val="en-US" w:eastAsia="zh-CN"/>
              </w:rPr>
              <w:t>内容</w:t>
            </w:r>
            <w:r>
              <w:rPr>
                <w:rFonts w:hint="eastAsia"/>
                <w:b/>
                <w:bCs/>
                <w:color w:val="FF0000"/>
                <w:kern w:val="2"/>
                <w:vertAlign w:val="baseline"/>
                <w:lang w:val="en-US" w:eastAsia="zh-CN"/>
              </w:rPr>
              <w:t>提供报价清单</w:t>
            </w:r>
            <w:r>
              <w:rPr>
                <w:rFonts w:hint="default" w:cs="Times New Roman"/>
                <w:b/>
                <w:bCs/>
                <w:color w:val="FF0000"/>
                <w:szCs w:val="24"/>
                <w:lang w:eastAsia="zh-CN"/>
              </w:rPr>
              <w:t>。</w:t>
            </w:r>
          </w:p>
          <w:p w14:paraId="24A2C135">
            <w:pPr>
              <w:pStyle w:val="39"/>
              <w:rPr>
                <w:rFonts w:hint="eastAsia" w:cs="Times New Roman"/>
                <w:b/>
                <w:bCs/>
                <w:color w:val="FF0000"/>
                <w:szCs w:val="24"/>
                <w:lang w:val="en-US" w:eastAsia="zh-CN"/>
              </w:rPr>
            </w:pPr>
            <w:r>
              <w:rPr>
                <w:rFonts w:hint="default" w:cs="Times New Roman"/>
                <w:b/>
                <w:bCs/>
                <w:color w:val="FF0000"/>
                <w:szCs w:val="24"/>
                <w:lang w:val="en-US" w:eastAsia="zh-CN"/>
              </w:rPr>
              <w:t>2）</w:t>
            </w:r>
            <w:r>
              <w:rPr>
                <w:rFonts w:hint="default" w:cs="Times New Roman"/>
                <w:b/>
                <w:bCs/>
                <w:color w:val="FF0000"/>
                <w:szCs w:val="24"/>
                <w:lang w:eastAsia="zh-CN"/>
              </w:rPr>
              <w:t>承诺</w:t>
            </w:r>
            <w:r>
              <w:rPr>
                <w:rFonts w:hint="default" w:cs="Times New Roman"/>
                <w:b/>
                <w:bCs/>
                <w:color w:val="FF0000"/>
                <w:szCs w:val="24"/>
                <w:lang w:val="en-US" w:eastAsia="zh-CN"/>
              </w:rPr>
              <w:t>函要求承诺：免费保修期内能交付采购人一定基数备品备件</w:t>
            </w:r>
            <w:r>
              <w:rPr>
                <w:rFonts w:hint="eastAsia" w:cs="Times New Roman"/>
                <w:b/>
                <w:bCs/>
                <w:color w:val="FF0000"/>
                <w:szCs w:val="24"/>
                <w:lang w:val="en-US" w:eastAsia="zh-CN"/>
              </w:rPr>
              <w:t>（数量见下表，如货物实际使用该配件则需交付）</w:t>
            </w:r>
            <w:r>
              <w:rPr>
                <w:rFonts w:hint="default" w:cs="Times New Roman"/>
                <w:b/>
                <w:bCs/>
                <w:color w:val="FF0000"/>
                <w:szCs w:val="24"/>
                <w:lang w:val="en-US" w:eastAsia="zh-CN"/>
              </w:rPr>
              <w:t>，</w:t>
            </w:r>
            <w:r>
              <w:rPr>
                <w:rFonts w:hint="eastAsia" w:cs="Times New Roman"/>
                <w:b/>
                <w:bCs/>
                <w:color w:val="FF0000"/>
                <w:szCs w:val="24"/>
                <w:lang w:val="en-US" w:eastAsia="zh-CN"/>
              </w:rPr>
              <w:t>需在</w:t>
            </w:r>
            <w:r>
              <w:rPr>
                <w:rFonts w:hint="default" w:cs="Times New Roman"/>
                <w:b/>
                <w:bCs/>
                <w:color w:val="FF0000"/>
                <w:szCs w:val="24"/>
                <w:lang w:val="en-US" w:eastAsia="zh-CN"/>
              </w:rPr>
              <w:t>项目验收前提供</w:t>
            </w:r>
            <w:r>
              <w:rPr>
                <w:rFonts w:hint="eastAsia" w:cs="Times New Roman"/>
                <w:b/>
                <w:bCs/>
                <w:color w:val="FF0000"/>
                <w:szCs w:val="24"/>
                <w:lang w:val="en-US" w:eastAsia="zh-CN"/>
              </w:rPr>
              <w:t>，</w:t>
            </w:r>
            <w:r>
              <w:rPr>
                <w:rFonts w:hint="default" w:cs="Times New Roman"/>
                <w:b/>
                <w:bCs/>
                <w:color w:val="FF0000"/>
                <w:szCs w:val="24"/>
                <w:lang w:val="en-US" w:eastAsia="zh-CN"/>
              </w:rPr>
              <w:t>保障采购人能立即进行维修。如果质保期内备品备件用完了或者</w:t>
            </w:r>
            <w:r>
              <w:rPr>
                <w:rFonts w:hint="eastAsia" w:cs="Times New Roman"/>
                <w:b/>
                <w:bCs/>
                <w:color w:val="FF0000"/>
                <w:szCs w:val="24"/>
                <w:lang w:val="en-US" w:eastAsia="zh-CN"/>
              </w:rPr>
              <w:t>清单备品备件种类未</w:t>
            </w:r>
            <w:r>
              <w:rPr>
                <w:rFonts w:hint="default" w:cs="Times New Roman"/>
                <w:b/>
                <w:bCs/>
                <w:color w:val="FF0000"/>
                <w:szCs w:val="24"/>
                <w:lang w:val="en-US" w:eastAsia="zh-CN"/>
              </w:rPr>
              <w:t>包含齐全，</w:t>
            </w:r>
            <w:r>
              <w:rPr>
                <w:rFonts w:hint="eastAsia" w:cs="Times New Roman"/>
                <w:b/>
                <w:bCs/>
                <w:color w:val="FF0000"/>
                <w:szCs w:val="24"/>
                <w:lang w:val="en-US" w:eastAsia="zh-CN"/>
              </w:rPr>
              <w:t>且采购人有需求的，投标人</w:t>
            </w:r>
            <w:r>
              <w:rPr>
                <w:rFonts w:hint="default" w:cs="Times New Roman"/>
                <w:b/>
                <w:bCs/>
                <w:color w:val="FF0000"/>
                <w:szCs w:val="24"/>
                <w:lang w:val="en-US" w:eastAsia="zh-CN"/>
              </w:rPr>
              <w:t>还需要根据实际情况额外提供</w:t>
            </w:r>
            <w:r>
              <w:rPr>
                <w:rFonts w:hint="eastAsia" w:cs="Times New Roman"/>
                <w:b/>
                <w:bCs/>
                <w:color w:val="FF0000"/>
                <w:szCs w:val="24"/>
                <w:lang w:val="en-US" w:eastAsia="zh-CN"/>
              </w:rPr>
              <w:t>。</w:t>
            </w:r>
          </w:p>
          <w:p w14:paraId="7844BE6E">
            <w:pPr>
              <w:pStyle w:val="39"/>
              <w:jc w:val="center"/>
              <w:rPr>
                <w:rFonts w:hint="default" w:cs="Times New Roman"/>
                <w:b/>
                <w:bCs/>
                <w:color w:val="FF0000"/>
                <w:szCs w:val="24"/>
                <w:lang w:val="en-US" w:eastAsia="zh-CN"/>
              </w:rPr>
            </w:pPr>
            <w:r>
              <w:rPr>
                <w:rFonts w:hint="default"/>
                <w:b/>
                <w:bCs/>
                <w:color w:val="FF0000"/>
                <w:kern w:val="2"/>
                <w:vertAlign w:val="baseline"/>
              </w:rPr>
              <w:t>《</w:t>
            </w:r>
            <w:r>
              <w:rPr>
                <w:rFonts w:hint="default"/>
                <w:b/>
                <w:bCs/>
                <w:color w:val="FF0000"/>
              </w:rPr>
              <w:t>备品备件</w:t>
            </w:r>
            <w:r>
              <w:rPr>
                <w:rFonts w:hint="default"/>
                <w:b/>
                <w:bCs/>
                <w:color w:val="FF0000"/>
                <w:kern w:val="2"/>
                <w:vertAlign w:val="baseline"/>
              </w:rPr>
              <w:t>报价清单》</w:t>
            </w:r>
          </w:p>
          <w:tbl>
            <w:tblPr>
              <w:tblStyle w:val="22"/>
              <w:tblW w:w="5616"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579"/>
              <w:gridCol w:w="1872"/>
            </w:tblGrid>
            <w:tr w14:paraId="650C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7F68ED98">
                  <w:pPr>
                    <w:keepNext w:val="0"/>
                    <w:keepLines w:val="0"/>
                    <w:suppressLineNumbers w:val="0"/>
                    <w:spacing w:before="0" w:beforeAutospacing="0" w:after="0" w:afterAutospacing="0" w:line="240" w:lineRule="auto"/>
                    <w:ind w:right="0"/>
                    <w:jc w:val="center"/>
                    <w:rPr>
                      <w:rFonts w:hint="default" w:cs="Times New Roman"/>
                      <w:b/>
                      <w:bCs/>
                      <w:color w:val="FF0000"/>
                      <w:szCs w:val="24"/>
                      <w:vertAlign w:val="baseline"/>
                      <w:lang w:val="en-US" w:eastAsia="zh-CN"/>
                    </w:rPr>
                  </w:pPr>
                  <w:r>
                    <w:rPr>
                      <w:rFonts w:hint="eastAsia" w:cs="Times New Roman"/>
                      <w:b/>
                      <w:bCs/>
                      <w:color w:val="FF0000"/>
                      <w:szCs w:val="24"/>
                      <w:vertAlign w:val="baseline"/>
                      <w:lang w:val="en-US" w:eastAsia="zh-CN"/>
                    </w:rPr>
                    <w:t>备品备件</w:t>
                  </w:r>
                </w:p>
              </w:tc>
              <w:tc>
                <w:tcPr>
                  <w:tcW w:w="1579" w:type="dxa"/>
                </w:tcPr>
                <w:p w14:paraId="6DB8D1E1">
                  <w:pPr>
                    <w:keepNext w:val="0"/>
                    <w:keepLines w:val="0"/>
                    <w:suppressLineNumbers w:val="0"/>
                    <w:spacing w:before="0" w:beforeAutospacing="0" w:after="0" w:afterAutospacing="0" w:line="240" w:lineRule="auto"/>
                    <w:ind w:right="0"/>
                    <w:jc w:val="center"/>
                    <w:rPr>
                      <w:rFonts w:hint="default" w:cs="Times New Roman"/>
                      <w:b/>
                      <w:bCs/>
                      <w:color w:val="FF0000"/>
                      <w:szCs w:val="24"/>
                      <w:vertAlign w:val="baseline"/>
                      <w:lang w:val="en-US" w:eastAsia="zh-CN"/>
                    </w:rPr>
                  </w:pPr>
                  <w:r>
                    <w:rPr>
                      <w:rFonts w:hint="eastAsia" w:cs="Times New Roman"/>
                      <w:b/>
                      <w:bCs/>
                      <w:color w:val="FF0000"/>
                      <w:szCs w:val="24"/>
                      <w:vertAlign w:val="baseline"/>
                      <w:lang w:val="en-US" w:eastAsia="zh-CN"/>
                    </w:rPr>
                    <w:t>数量/单位</w:t>
                  </w:r>
                </w:p>
              </w:tc>
              <w:tc>
                <w:tcPr>
                  <w:tcW w:w="1872" w:type="dxa"/>
                </w:tcPr>
                <w:p w14:paraId="0E42DAE1">
                  <w:pPr>
                    <w:keepNext w:val="0"/>
                    <w:keepLines w:val="0"/>
                    <w:suppressLineNumbers w:val="0"/>
                    <w:spacing w:before="0" w:beforeAutospacing="0" w:after="0" w:afterAutospacing="0" w:line="240" w:lineRule="auto"/>
                    <w:ind w:right="0"/>
                    <w:jc w:val="center"/>
                    <w:rPr>
                      <w:rFonts w:hint="default" w:cs="Times New Roman"/>
                      <w:b/>
                      <w:bCs/>
                      <w:color w:val="FF0000"/>
                      <w:szCs w:val="24"/>
                      <w:vertAlign w:val="baseline"/>
                      <w:lang w:val="en-US" w:eastAsia="zh-CN"/>
                    </w:rPr>
                  </w:pPr>
                  <w:r>
                    <w:rPr>
                      <w:rFonts w:hint="eastAsia" w:cs="Times New Roman"/>
                      <w:b/>
                      <w:bCs/>
                      <w:color w:val="FF0000"/>
                      <w:szCs w:val="24"/>
                      <w:vertAlign w:val="baseline"/>
                      <w:lang w:val="en-US" w:eastAsia="zh-CN"/>
                    </w:rPr>
                    <w:t>单价（元）</w:t>
                  </w:r>
                </w:p>
              </w:tc>
            </w:tr>
            <w:tr w14:paraId="4B21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1EF686CC">
                  <w:pPr>
                    <w:keepNext w:val="0"/>
                    <w:keepLines w:val="0"/>
                    <w:suppressLineNumbers w:val="0"/>
                    <w:spacing w:before="0" w:beforeAutospacing="0" w:after="0" w:afterAutospacing="0" w:line="240" w:lineRule="auto"/>
                    <w:ind w:right="0"/>
                    <w:jc w:val="center"/>
                    <w:rPr>
                      <w:rFonts w:hint="default" w:cs="Times New Roman"/>
                      <w:b/>
                      <w:bCs/>
                      <w:color w:val="FF0000"/>
                      <w:szCs w:val="24"/>
                      <w:vertAlign w:val="baseline"/>
                      <w:lang w:val="en-US" w:eastAsia="zh-CN"/>
                    </w:rPr>
                  </w:pPr>
                  <w:r>
                    <w:rPr>
                      <w:rFonts w:hint="eastAsia" w:cs="Times New Roman"/>
                      <w:b/>
                      <w:bCs/>
                      <w:color w:val="FF0000"/>
                      <w:szCs w:val="24"/>
                      <w:vertAlign w:val="baseline"/>
                      <w:lang w:val="en-US" w:eastAsia="zh-CN"/>
                    </w:rPr>
                    <w:t>螺丝、螺母、垫片</w:t>
                  </w:r>
                </w:p>
              </w:tc>
              <w:tc>
                <w:tcPr>
                  <w:tcW w:w="1579" w:type="dxa"/>
                </w:tcPr>
                <w:p w14:paraId="1FC7CEA1">
                  <w:pPr>
                    <w:keepNext w:val="0"/>
                    <w:keepLines w:val="0"/>
                    <w:suppressLineNumbers w:val="0"/>
                    <w:spacing w:before="0" w:beforeAutospacing="0" w:after="0" w:afterAutospacing="0" w:line="240" w:lineRule="auto"/>
                    <w:ind w:right="0"/>
                    <w:jc w:val="center"/>
                    <w:rPr>
                      <w:rFonts w:hint="default" w:cs="Times New Roman"/>
                      <w:b/>
                      <w:bCs/>
                      <w:color w:val="FF0000"/>
                      <w:szCs w:val="24"/>
                      <w:vertAlign w:val="baseline"/>
                      <w:lang w:val="en-US" w:eastAsia="zh-CN"/>
                    </w:rPr>
                  </w:pPr>
                  <w:r>
                    <w:rPr>
                      <w:rFonts w:hint="eastAsia" w:cs="Times New Roman"/>
                      <w:b/>
                      <w:bCs/>
                      <w:color w:val="FF0000"/>
                      <w:szCs w:val="24"/>
                      <w:vertAlign w:val="baseline"/>
                      <w:lang w:val="en-US" w:eastAsia="zh-CN"/>
                    </w:rPr>
                    <w:t>200套</w:t>
                  </w:r>
                </w:p>
              </w:tc>
              <w:tc>
                <w:tcPr>
                  <w:tcW w:w="1872" w:type="dxa"/>
                </w:tcPr>
                <w:p w14:paraId="0E3540D4">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4D1E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6942C691">
                  <w:pPr>
                    <w:keepNext w:val="0"/>
                    <w:keepLines w:val="0"/>
                    <w:suppressLineNumbers w:val="0"/>
                    <w:spacing w:before="0" w:beforeAutospacing="0" w:after="0" w:afterAutospacing="0" w:line="240" w:lineRule="auto"/>
                    <w:ind w:right="0"/>
                    <w:jc w:val="center"/>
                    <w:rPr>
                      <w:rFonts w:hint="default" w:cs="Times New Roman"/>
                      <w:b/>
                      <w:bCs/>
                      <w:color w:val="FF0000"/>
                      <w:szCs w:val="24"/>
                      <w:vertAlign w:val="baseline"/>
                      <w:lang w:val="en-US" w:eastAsia="zh-CN"/>
                    </w:rPr>
                  </w:pPr>
                  <w:r>
                    <w:rPr>
                      <w:rFonts w:hint="eastAsia" w:cs="Times New Roman"/>
                      <w:b/>
                      <w:bCs/>
                      <w:color w:val="FF0000"/>
                      <w:szCs w:val="24"/>
                      <w:vertAlign w:val="baseline"/>
                      <w:lang w:val="en-US" w:eastAsia="zh-CN"/>
                    </w:rPr>
                    <w:t>三合一连接件</w:t>
                  </w:r>
                </w:p>
              </w:tc>
              <w:tc>
                <w:tcPr>
                  <w:tcW w:w="1579" w:type="dxa"/>
                </w:tcPr>
                <w:p w14:paraId="37450688">
                  <w:pPr>
                    <w:keepNext w:val="0"/>
                    <w:keepLines w:val="0"/>
                    <w:suppressLineNumbers w:val="0"/>
                    <w:spacing w:before="0" w:beforeAutospacing="0" w:after="0" w:afterAutospacing="0" w:line="240" w:lineRule="auto"/>
                    <w:ind w:right="0"/>
                    <w:jc w:val="center"/>
                    <w:rPr>
                      <w:rFonts w:hint="default" w:cs="Times New Roman"/>
                      <w:b/>
                      <w:bCs/>
                      <w:color w:val="FF0000"/>
                      <w:szCs w:val="24"/>
                      <w:vertAlign w:val="baseline"/>
                      <w:lang w:val="en-US" w:eastAsia="zh-CN"/>
                    </w:rPr>
                  </w:pPr>
                  <w:r>
                    <w:rPr>
                      <w:rFonts w:hint="eastAsia" w:cs="Times New Roman"/>
                      <w:b/>
                      <w:bCs/>
                      <w:color w:val="FF0000"/>
                      <w:szCs w:val="24"/>
                      <w:vertAlign w:val="baseline"/>
                      <w:lang w:val="en-US" w:eastAsia="zh-CN"/>
                    </w:rPr>
                    <w:t>200套</w:t>
                  </w:r>
                </w:p>
              </w:tc>
              <w:tc>
                <w:tcPr>
                  <w:tcW w:w="1872" w:type="dxa"/>
                </w:tcPr>
                <w:p w14:paraId="0634433A">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256D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7CDB31A0">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加固支架</w:t>
                  </w:r>
                </w:p>
              </w:tc>
              <w:tc>
                <w:tcPr>
                  <w:tcW w:w="1579" w:type="dxa"/>
                </w:tcPr>
                <w:p w14:paraId="6F1DF54F">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50件</w:t>
                  </w:r>
                </w:p>
              </w:tc>
              <w:tc>
                <w:tcPr>
                  <w:tcW w:w="1872" w:type="dxa"/>
                </w:tcPr>
                <w:p w14:paraId="34B1CB90">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5302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2C2AD2B5">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护栏连接件</w:t>
                  </w:r>
                </w:p>
              </w:tc>
              <w:tc>
                <w:tcPr>
                  <w:tcW w:w="1579" w:type="dxa"/>
                </w:tcPr>
                <w:p w14:paraId="32333C71">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50件</w:t>
                  </w:r>
                </w:p>
              </w:tc>
              <w:tc>
                <w:tcPr>
                  <w:tcW w:w="1872" w:type="dxa"/>
                </w:tcPr>
                <w:p w14:paraId="3A1181FC">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4982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6DDA03B9">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梯步卡扣</w:t>
                  </w:r>
                </w:p>
              </w:tc>
              <w:tc>
                <w:tcPr>
                  <w:tcW w:w="1579" w:type="dxa"/>
                </w:tcPr>
                <w:p w14:paraId="0A9E901C">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50件</w:t>
                  </w:r>
                </w:p>
              </w:tc>
              <w:tc>
                <w:tcPr>
                  <w:tcW w:w="1872" w:type="dxa"/>
                </w:tcPr>
                <w:p w14:paraId="38ACF6AA">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0C52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6C1A0754">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床架静音脚垫</w:t>
                  </w:r>
                </w:p>
              </w:tc>
              <w:tc>
                <w:tcPr>
                  <w:tcW w:w="1579" w:type="dxa"/>
                </w:tcPr>
                <w:p w14:paraId="57BEEED8">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100件</w:t>
                  </w:r>
                </w:p>
              </w:tc>
              <w:tc>
                <w:tcPr>
                  <w:tcW w:w="1872" w:type="dxa"/>
                </w:tcPr>
                <w:p w14:paraId="70B248ED">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337E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25578626">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防滑胶套</w:t>
                  </w:r>
                </w:p>
              </w:tc>
              <w:tc>
                <w:tcPr>
                  <w:tcW w:w="1579" w:type="dxa"/>
                </w:tcPr>
                <w:p w14:paraId="4E0BF82F">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100件</w:t>
                  </w:r>
                </w:p>
              </w:tc>
              <w:tc>
                <w:tcPr>
                  <w:tcW w:w="1872" w:type="dxa"/>
                </w:tcPr>
                <w:p w14:paraId="7362C8EA">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327F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614498AB">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层板托</w:t>
                  </w:r>
                </w:p>
              </w:tc>
              <w:tc>
                <w:tcPr>
                  <w:tcW w:w="1579" w:type="dxa"/>
                </w:tcPr>
                <w:p w14:paraId="2425A924">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100件</w:t>
                  </w:r>
                </w:p>
              </w:tc>
              <w:tc>
                <w:tcPr>
                  <w:tcW w:w="1872" w:type="dxa"/>
                </w:tcPr>
                <w:p w14:paraId="1E5415BF">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6330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3496700C">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衣柜门锁</w:t>
                  </w:r>
                </w:p>
              </w:tc>
              <w:tc>
                <w:tcPr>
                  <w:tcW w:w="1579" w:type="dxa"/>
                </w:tcPr>
                <w:p w14:paraId="1E8275A5">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50件</w:t>
                  </w:r>
                </w:p>
              </w:tc>
              <w:tc>
                <w:tcPr>
                  <w:tcW w:w="1872" w:type="dxa"/>
                </w:tcPr>
                <w:p w14:paraId="65140B04">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19B3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4C85416E">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铰链</w:t>
                  </w:r>
                </w:p>
              </w:tc>
              <w:tc>
                <w:tcPr>
                  <w:tcW w:w="1579" w:type="dxa"/>
                </w:tcPr>
                <w:p w14:paraId="6EB90E0E">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100件</w:t>
                  </w:r>
                </w:p>
              </w:tc>
              <w:tc>
                <w:tcPr>
                  <w:tcW w:w="1872" w:type="dxa"/>
                </w:tcPr>
                <w:p w14:paraId="0D5C9C90">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472F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158BC8A9">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导轨</w:t>
                  </w:r>
                </w:p>
              </w:tc>
              <w:tc>
                <w:tcPr>
                  <w:tcW w:w="1579" w:type="dxa"/>
                </w:tcPr>
                <w:p w14:paraId="3F97C646">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100件</w:t>
                  </w:r>
                </w:p>
              </w:tc>
              <w:tc>
                <w:tcPr>
                  <w:tcW w:w="1872" w:type="dxa"/>
                </w:tcPr>
                <w:p w14:paraId="77B4FCE4">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02C5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165824F5">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抽屉拉手</w:t>
                  </w:r>
                </w:p>
              </w:tc>
              <w:tc>
                <w:tcPr>
                  <w:tcW w:w="1579" w:type="dxa"/>
                </w:tcPr>
                <w:p w14:paraId="7E19D008">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50件</w:t>
                  </w:r>
                </w:p>
              </w:tc>
              <w:tc>
                <w:tcPr>
                  <w:tcW w:w="1872" w:type="dxa"/>
                </w:tcPr>
                <w:p w14:paraId="369B9FC1">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62C6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245F3108">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蚊帐杆及固定件</w:t>
                  </w:r>
                </w:p>
              </w:tc>
              <w:tc>
                <w:tcPr>
                  <w:tcW w:w="1579" w:type="dxa"/>
                </w:tcPr>
                <w:p w14:paraId="340AA890">
                  <w:pPr>
                    <w:keepNext w:val="0"/>
                    <w:keepLines w:val="0"/>
                    <w:suppressLineNumbers w:val="0"/>
                    <w:spacing w:before="0" w:beforeAutospacing="0" w:after="0" w:afterAutospacing="0" w:line="240" w:lineRule="auto"/>
                    <w:ind w:right="0"/>
                    <w:jc w:val="center"/>
                    <w:rPr>
                      <w:rFonts w:hint="default" w:cs="Times New Roman"/>
                      <w:b/>
                      <w:bCs/>
                      <w:color w:val="FF0000"/>
                      <w:szCs w:val="24"/>
                      <w:vertAlign w:val="baseline"/>
                      <w:lang w:val="en-US" w:eastAsia="zh-CN"/>
                    </w:rPr>
                  </w:pPr>
                  <w:r>
                    <w:rPr>
                      <w:rFonts w:hint="eastAsia" w:cs="Times New Roman"/>
                      <w:b/>
                      <w:bCs/>
                      <w:color w:val="FF0000"/>
                      <w:szCs w:val="24"/>
                      <w:vertAlign w:val="baseline"/>
                      <w:lang w:val="en-US" w:eastAsia="zh-CN"/>
                    </w:rPr>
                    <w:t>50套</w:t>
                  </w:r>
                </w:p>
              </w:tc>
              <w:tc>
                <w:tcPr>
                  <w:tcW w:w="1872" w:type="dxa"/>
                </w:tcPr>
                <w:p w14:paraId="61F6CF6C">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2E1A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63F47196">
                  <w:pPr>
                    <w:keepNext w:val="0"/>
                    <w:keepLines w:val="0"/>
                    <w:suppressLineNumbers w:val="0"/>
                    <w:spacing w:before="0" w:beforeAutospacing="0" w:after="0" w:afterAutospacing="0" w:line="240" w:lineRule="auto"/>
                    <w:ind w:right="0"/>
                    <w:jc w:val="center"/>
                    <w:rPr>
                      <w:rFonts w:hint="default" w:cs="Times New Roman"/>
                      <w:b/>
                      <w:bCs/>
                      <w:color w:val="FF0000"/>
                      <w:szCs w:val="24"/>
                      <w:vertAlign w:val="baseline"/>
                      <w:lang w:val="en-US" w:eastAsia="zh-CN"/>
                    </w:rPr>
                  </w:pPr>
                  <w:r>
                    <w:rPr>
                      <w:rFonts w:hint="eastAsia" w:cs="Times New Roman"/>
                      <w:b/>
                      <w:bCs/>
                      <w:color w:val="FF0000"/>
                      <w:szCs w:val="24"/>
                      <w:vertAlign w:val="baseline"/>
                      <w:lang w:val="en-US" w:eastAsia="zh-CN"/>
                    </w:rPr>
                    <w:t>LED阅读灯</w:t>
                  </w:r>
                </w:p>
              </w:tc>
              <w:tc>
                <w:tcPr>
                  <w:tcW w:w="1579" w:type="dxa"/>
                </w:tcPr>
                <w:p w14:paraId="6285F8E9">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r>
                    <w:rPr>
                      <w:rFonts w:hint="eastAsia" w:cs="Times New Roman"/>
                      <w:b/>
                      <w:bCs/>
                      <w:color w:val="FF0000"/>
                      <w:szCs w:val="24"/>
                      <w:vertAlign w:val="baseline"/>
                      <w:lang w:val="en-US" w:eastAsia="zh-CN"/>
                    </w:rPr>
                    <w:t>50件</w:t>
                  </w:r>
                </w:p>
              </w:tc>
              <w:tc>
                <w:tcPr>
                  <w:tcW w:w="1872" w:type="dxa"/>
                </w:tcPr>
                <w:p w14:paraId="07DC68CC">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r w14:paraId="7620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14:paraId="1BB55BF4">
                  <w:pPr>
                    <w:keepNext w:val="0"/>
                    <w:keepLines w:val="0"/>
                    <w:suppressLineNumbers w:val="0"/>
                    <w:spacing w:before="0" w:beforeAutospacing="0" w:after="0" w:afterAutospacing="0" w:line="240" w:lineRule="auto"/>
                    <w:ind w:right="0"/>
                    <w:jc w:val="center"/>
                    <w:rPr>
                      <w:rFonts w:hint="default" w:cs="Times New Roman"/>
                      <w:b/>
                      <w:bCs/>
                      <w:color w:val="FF0000"/>
                      <w:szCs w:val="24"/>
                      <w:vertAlign w:val="baseline"/>
                      <w:lang w:val="en-US" w:eastAsia="zh-CN"/>
                    </w:rPr>
                  </w:pPr>
                  <w:r>
                    <w:rPr>
                      <w:rFonts w:hint="eastAsia" w:cs="Times New Roman"/>
                      <w:b/>
                      <w:bCs/>
                      <w:color w:val="FF0000"/>
                      <w:szCs w:val="24"/>
                      <w:vertAlign w:val="baseline"/>
                      <w:lang w:val="en-US" w:eastAsia="zh-CN"/>
                    </w:rPr>
                    <w:t>机械密码锁</w:t>
                  </w:r>
                </w:p>
              </w:tc>
              <w:tc>
                <w:tcPr>
                  <w:tcW w:w="1579" w:type="dxa"/>
                </w:tcPr>
                <w:p w14:paraId="11FB0E28">
                  <w:pPr>
                    <w:keepNext w:val="0"/>
                    <w:keepLines w:val="0"/>
                    <w:suppressLineNumbers w:val="0"/>
                    <w:spacing w:before="0" w:beforeAutospacing="0" w:after="0" w:afterAutospacing="0" w:line="240" w:lineRule="auto"/>
                    <w:ind w:right="0"/>
                    <w:jc w:val="center"/>
                    <w:rPr>
                      <w:rFonts w:hint="default" w:cs="Times New Roman"/>
                      <w:b/>
                      <w:bCs/>
                      <w:color w:val="FF0000"/>
                      <w:szCs w:val="24"/>
                      <w:vertAlign w:val="baseline"/>
                      <w:lang w:val="en-US" w:eastAsia="zh-CN"/>
                    </w:rPr>
                  </w:pPr>
                  <w:r>
                    <w:rPr>
                      <w:rFonts w:hint="eastAsia" w:cs="Times New Roman"/>
                      <w:b/>
                      <w:bCs/>
                      <w:color w:val="FF0000"/>
                      <w:szCs w:val="24"/>
                      <w:vertAlign w:val="baseline"/>
                      <w:lang w:val="en-US" w:eastAsia="zh-CN"/>
                    </w:rPr>
                    <w:t>50件</w:t>
                  </w:r>
                </w:p>
              </w:tc>
              <w:tc>
                <w:tcPr>
                  <w:tcW w:w="1872" w:type="dxa"/>
                </w:tcPr>
                <w:p w14:paraId="556B898B">
                  <w:pPr>
                    <w:keepNext w:val="0"/>
                    <w:keepLines w:val="0"/>
                    <w:suppressLineNumbers w:val="0"/>
                    <w:spacing w:before="0" w:beforeAutospacing="0" w:after="0" w:afterAutospacing="0" w:line="240" w:lineRule="auto"/>
                    <w:ind w:right="0"/>
                    <w:jc w:val="center"/>
                    <w:rPr>
                      <w:rFonts w:hint="eastAsia" w:cs="Times New Roman"/>
                      <w:b/>
                      <w:bCs/>
                      <w:color w:val="FF0000"/>
                      <w:szCs w:val="24"/>
                      <w:vertAlign w:val="baseline"/>
                      <w:lang w:val="en-US" w:eastAsia="zh-CN"/>
                    </w:rPr>
                  </w:pPr>
                </w:p>
              </w:tc>
            </w:tr>
          </w:tbl>
          <w:p w14:paraId="088E9C1E">
            <w:pPr>
              <w:keepNext w:val="0"/>
              <w:keepLines w:val="0"/>
              <w:suppressLineNumbers w:val="0"/>
              <w:spacing w:before="0" w:beforeAutospacing="0" w:after="0" w:afterAutospacing="0" w:line="240" w:lineRule="auto"/>
              <w:ind w:left="0" w:right="0"/>
              <w:jc w:val="left"/>
              <w:rPr>
                <w:rFonts w:hint="eastAsia" w:cs="Times New Roman"/>
                <w:b/>
                <w:bCs/>
                <w:color w:val="FF0000"/>
                <w:szCs w:val="24"/>
                <w:lang w:val="en-US" w:eastAsia="zh-CN"/>
              </w:rPr>
            </w:pPr>
          </w:p>
          <w:p w14:paraId="7C291ED9">
            <w:pPr>
              <w:keepNext w:val="0"/>
              <w:keepLines w:val="0"/>
              <w:suppressLineNumbers w:val="0"/>
              <w:spacing w:before="0" w:beforeAutospacing="0" w:after="0" w:afterAutospacing="0" w:line="240" w:lineRule="auto"/>
              <w:ind w:left="0" w:right="0"/>
              <w:jc w:val="left"/>
              <w:rPr>
                <w:rFonts w:hint="default"/>
                <w:b w:val="0"/>
                <w:bCs w:val="0"/>
                <w:szCs w:val="24"/>
              </w:rPr>
            </w:pPr>
          </w:p>
        </w:tc>
      </w:tr>
      <w:tr w14:paraId="0EA0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20" w:type="dxa"/>
            <w:gridSpan w:val="3"/>
          </w:tcPr>
          <w:p w14:paraId="3D006EE2">
            <w:pPr>
              <w:keepNext w:val="0"/>
              <w:keepLines w:val="0"/>
              <w:suppressLineNumbers w:val="0"/>
              <w:spacing w:before="0" w:beforeAutospacing="0" w:after="0" w:afterAutospacing="0"/>
              <w:ind w:left="0" w:right="0"/>
              <w:jc w:val="left"/>
              <w:rPr>
                <w:rFonts w:hint="default"/>
                <w:b w:val="0"/>
              </w:rPr>
            </w:pPr>
            <w:r>
              <w:rPr>
                <w:rFonts w:hint="default"/>
                <w:b w:val="0"/>
              </w:rPr>
              <w:t>（二）</w:t>
            </w:r>
            <w:r>
              <w:rPr>
                <w:rFonts w:hint="default" w:ascii="Times New Roman" w:hAnsi="Times New Roman" w:eastAsia="宋体" w:cs="Times New Roman"/>
                <w:b w:val="0"/>
              </w:rPr>
              <w:t>免费保修期外售后服务要求</w:t>
            </w:r>
          </w:p>
        </w:tc>
      </w:tr>
      <w:tr w14:paraId="3A65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Align w:val="center"/>
          </w:tcPr>
          <w:p w14:paraId="6E04EA2C">
            <w:pPr>
              <w:keepNext w:val="0"/>
              <w:keepLines w:val="0"/>
              <w:suppressLineNumbers w:val="0"/>
              <w:spacing w:before="0" w:beforeAutospacing="0" w:after="0" w:afterAutospacing="0"/>
              <w:ind w:left="0" w:right="0"/>
              <w:jc w:val="center"/>
              <w:rPr>
                <w:rFonts w:hint="default"/>
                <w:b w:val="0"/>
              </w:rPr>
            </w:pPr>
            <w:r>
              <w:rPr>
                <w:rFonts w:hint="default"/>
                <w:bCs w:val="0"/>
              </w:rPr>
              <w:t>1</w:t>
            </w:r>
          </w:p>
        </w:tc>
        <w:tc>
          <w:tcPr>
            <w:tcW w:w="1877" w:type="dxa"/>
            <w:vAlign w:val="center"/>
          </w:tcPr>
          <w:p w14:paraId="2FB2387E">
            <w:pPr>
              <w:keepNext w:val="0"/>
              <w:keepLines w:val="0"/>
              <w:suppressLineNumbers w:val="0"/>
              <w:spacing w:before="0" w:beforeAutospacing="0" w:after="0" w:afterAutospacing="0"/>
              <w:ind w:left="0" w:right="0"/>
              <w:jc w:val="center"/>
              <w:rPr>
                <w:rFonts w:hint="default"/>
                <w:b w:val="0"/>
              </w:rPr>
            </w:pPr>
            <w:r>
              <w:rPr>
                <w:rFonts w:hint="default" w:ascii="Times New Roman" w:hAnsi="Times New Roman"/>
                <w:kern w:val="2"/>
                <w:szCs w:val="24"/>
              </w:rPr>
              <w:t>维修响应及故障解决时间</w:t>
            </w:r>
          </w:p>
        </w:tc>
        <w:tc>
          <w:tcPr>
            <w:tcW w:w="5832" w:type="dxa"/>
            <w:vAlign w:val="center"/>
          </w:tcPr>
          <w:p w14:paraId="228A73A4">
            <w:pPr>
              <w:keepNext w:val="0"/>
              <w:keepLines w:val="0"/>
              <w:suppressLineNumbers w:val="0"/>
              <w:spacing w:before="0" w:beforeAutospacing="0" w:after="0" w:afterAutospacing="0" w:line="240" w:lineRule="auto"/>
              <w:ind w:left="0" w:right="0"/>
              <w:rPr>
                <w:rFonts w:hint="default"/>
                <w:b w:val="0"/>
                <w:bCs w:val="0"/>
                <w:szCs w:val="24"/>
              </w:rPr>
            </w:pPr>
            <w:r>
              <w:rPr>
                <w:rFonts w:hint="default" w:ascii="Times New Roman" w:hAnsi="Times New Roman" w:eastAsia="宋体" w:cs="Times New Roman"/>
                <w:bCs w:val="0"/>
                <w:kern w:val="2"/>
                <w:szCs w:val="24"/>
                <w:lang w:val="en-US" w:eastAsia="zh-CN"/>
              </w:rPr>
              <w:t>1.1由中标供应商提供售后服务，8 小时内响应，24 小时维修到位（不可抗力情况除外）。消耗品和零配件供应及时，特殊情况下可提供备用品。</w:t>
            </w:r>
          </w:p>
        </w:tc>
      </w:tr>
      <w:tr w14:paraId="6BB1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restart"/>
            <w:vAlign w:val="center"/>
          </w:tcPr>
          <w:p w14:paraId="7B70D13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kern w:val="2"/>
                <w:sz w:val="21"/>
                <w:szCs w:val="24"/>
                <w:lang w:val="en-US" w:eastAsia="zh-CN" w:bidi="ar-SA"/>
              </w:rPr>
            </w:pPr>
            <w:r>
              <w:rPr>
                <w:rFonts w:hint="default"/>
                <w:bCs w:val="0"/>
              </w:rPr>
              <w:t>2</w:t>
            </w:r>
          </w:p>
        </w:tc>
        <w:tc>
          <w:tcPr>
            <w:tcW w:w="1877" w:type="dxa"/>
            <w:vMerge w:val="restart"/>
            <w:vAlign w:val="center"/>
          </w:tcPr>
          <w:p w14:paraId="6C91416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kern w:val="2"/>
                <w:sz w:val="21"/>
                <w:szCs w:val="24"/>
                <w:lang w:val="en-US" w:eastAsia="zh-CN" w:bidi="ar-SA"/>
              </w:rPr>
            </w:pPr>
            <w:r>
              <w:rPr>
                <w:rFonts w:hint="default" w:ascii="Times New Roman" w:hAnsi="Times New Roman"/>
                <w:kern w:val="2"/>
                <w:szCs w:val="24"/>
              </w:rPr>
              <w:t>免费保修期外维修费用</w:t>
            </w:r>
          </w:p>
        </w:tc>
        <w:tc>
          <w:tcPr>
            <w:tcW w:w="5832" w:type="dxa"/>
            <w:vAlign w:val="center"/>
          </w:tcPr>
          <w:p w14:paraId="713EEE7E">
            <w:pPr>
              <w:keepNext w:val="0"/>
              <w:keepLines w:val="0"/>
              <w:suppressLineNumbers w:val="0"/>
              <w:spacing w:before="0" w:beforeAutospacing="0" w:after="0" w:afterAutospacing="0" w:line="240" w:lineRule="auto"/>
              <w:ind w:left="0" w:right="0"/>
              <w:rPr>
                <w:rFonts w:hint="default"/>
                <w:bCs w:val="0"/>
                <w:szCs w:val="24"/>
              </w:rPr>
            </w:pPr>
            <w:r>
              <w:rPr>
                <w:rFonts w:hint="default"/>
                <w:bCs w:val="0"/>
                <w:szCs w:val="24"/>
                <w:lang w:val="en-US" w:eastAsia="zh-CN"/>
              </w:rPr>
              <w:t>1.2</w:t>
            </w:r>
            <w:r>
              <w:rPr>
                <w:rFonts w:hint="default"/>
                <w:kern w:val="2"/>
                <w:vertAlign w:val="baseline"/>
              </w:rPr>
              <w:t>免费保修期满后</w:t>
            </w:r>
            <w:r>
              <w:rPr>
                <w:rFonts w:hint="eastAsia"/>
                <w:kern w:val="2"/>
                <w:vertAlign w:val="baseline"/>
                <w:lang w:val="en-US" w:eastAsia="zh-CN"/>
              </w:rPr>
              <w:t>根据采购人要求</w:t>
            </w:r>
            <w:r>
              <w:rPr>
                <w:rFonts w:hint="default" w:cs="Times New Roman"/>
                <w:bCs w:val="0"/>
                <w:szCs w:val="24"/>
                <w:lang w:val="en-US" w:eastAsia="zh-CN"/>
              </w:rPr>
              <w:t>一次性</w:t>
            </w:r>
            <w:r>
              <w:rPr>
                <w:rFonts w:hint="default" w:cs="Times New Roman"/>
                <w:bCs w:val="0"/>
                <w:szCs w:val="24"/>
                <w:lang w:eastAsia="zh-CN"/>
              </w:rPr>
              <w:t>提供</w:t>
            </w:r>
            <w:r>
              <w:rPr>
                <w:rFonts w:hint="eastAsia" w:cs="Times New Roman"/>
                <w:bCs w:val="0"/>
                <w:szCs w:val="24"/>
                <w:lang w:val="en-US" w:eastAsia="zh-CN"/>
              </w:rPr>
              <w:t>一批</w:t>
            </w:r>
            <w:r>
              <w:rPr>
                <w:rFonts w:hint="default" w:cs="Times New Roman"/>
                <w:bCs w:val="0"/>
                <w:szCs w:val="24"/>
                <w:lang w:val="en-US" w:eastAsia="zh-CN"/>
              </w:rPr>
              <w:t>的备品备件</w:t>
            </w:r>
            <w:r>
              <w:rPr>
                <w:rFonts w:hint="eastAsia" w:cs="Times New Roman"/>
                <w:bCs w:val="0"/>
                <w:szCs w:val="24"/>
                <w:lang w:val="en-US" w:eastAsia="zh-CN"/>
              </w:rPr>
              <w:t>用于货物的后续维修</w:t>
            </w:r>
            <w:r>
              <w:rPr>
                <w:rFonts w:hint="default"/>
                <w:kern w:val="2"/>
                <w:vertAlign w:val="baseline"/>
              </w:rPr>
              <w:t>。</w:t>
            </w:r>
          </w:p>
        </w:tc>
      </w:tr>
      <w:tr w14:paraId="50BF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shd w:val="clear" w:color="auto" w:fill="auto"/>
            <w:vAlign w:val="center"/>
          </w:tcPr>
          <w:p w14:paraId="19AAA0A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kern w:val="2"/>
                <w:sz w:val="21"/>
                <w:szCs w:val="24"/>
                <w:lang w:val="en-US" w:eastAsia="zh-CN" w:bidi="ar-SA"/>
              </w:rPr>
            </w:pPr>
          </w:p>
        </w:tc>
        <w:tc>
          <w:tcPr>
            <w:tcW w:w="1877" w:type="dxa"/>
            <w:vMerge w:val="continue"/>
            <w:shd w:val="clear" w:color="auto" w:fill="auto"/>
            <w:vAlign w:val="center"/>
          </w:tcPr>
          <w:p w14:paraId="2A5410A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kern w:val="2"/>
                <w:sz w:val="21"/>
                <w:szCs w:val="24"/>
                <w:lang w:val="en-US" w:eastAsia="zh-CN" w:bidi="ar-SA"/>
              </w:rPr>
            </w:pPr>
          </w:p>
        </w:tc>
        <w:tc>
          <w:tcPr>
            <w:tcW w:w="5832" w:type="dxa"/>
            <w:shd w:val="clear" w:color="auto" w:fill="auto"/>
            <w:vAlign w:val="center"/>
          </w:tcPr>
          <w:p w14:paraId="707F9FC8">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cs="Times New Roman"/>
                <w:bCs w:val="0"/>
                <w:szCs w:val="24"/>
                <w:lang w:val="en-US" w:eastAsia="zh-CN"/>
              </w:rPr>
              <w:t>1.3</w:t>
            </w:r>
            <w:r>
              <w:rPr>
                <w:rFonts w:hint="eastAsia" w:cs="Times New Roman"/>
                <w:bCs w:val="0"/>
                <w:szCs w:val="24"/>
                <w:lang w:val="en-US" w:eastAsia="zh-CN"/>
              </w:rPr>
              <w:t>中标供应商</w:t>
            </w:r>
            <w:r>
              <w:rPr>
                <w:rFonts w:hint="default" w:ascii="Times New Roman" w:hAnsi="Times New Roman" w:cs="Times New Roman"/>
                <w:bCs w:val="0"/>
                <w:szCs w:val="24"/>
              </w:rPr>
              <w:t>维修的货物经采购人验收合格，且厂家提供维修专用发票后，采购人支付维修费用。</w:t>
            </w:r>
          </w:p>
        </w:tc>
      </w:tr>
      <w:tr w14:paraId="5875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0ED5F592">
            <w:pPr>
              <w:keepNext w:val="0"/>
              <w:keepLines w:val="0"/>
              <w:suppressLineNumbers w:val="0"/>
              <w:spacing w:before="0" w:beforeAutospacing="0" w:after="0" w:afterAutospacing="0"/>
              <w:ind w:left="0" w:right="0"/>
              <w:jc w:val="center"/>
              <w:rPr>
                <w:rFonts w:hint="default"/>
                <w:b w:val="0"/>
              </w:rPr>
            </w:pPr>
          </w:p>
        </w:tc>
        <w:tc>
          <w:tcPr>
            <w:tcW w:w="1877" w:type="dxa"/>
            <w:vMerge w:val="continue"/>
            <w:vAlign w:val="center"/>
          </w:tcPr>
          <w:p w14:paraId="63B21413">
            <w:pPr>
              <w:keepNext w:val="0"/>
              <w:keepLines w:val="0"/>
              <w:suppressLineNumbers w:val="0"/>
              <w:spacing w:before="0" w:beforeAutospacing="0" w:after="0" w:afterAutospacing="0"/>
              <w:ind w:left="0" w:right="0"/>
              <w:jc w:val="center"/>
              <w:rPr>
                <w:rFonts w:hint="default"/>
                <w:b w:val="0"/>
              </w:rPr>
            </w:pPr>
          </w:p>
        </w:tc>
        <w:tc>
          <w:tcPr>
            <w:tcW w:w="5832" w:type="dxa"/>
            <w:vAlign w:val="center"/>
          </w:tcPr>
          <w:p w14:paraId="2C30DDEF">
            <w:pPr>
              <w:keepNext w:val="0"/>
              <w:keepLines w:val="0"/>
              <w:suppressLineNumbers w:val="0"/>
              <w:spacing w:before="0" w:beforeAutospacing="0" w:after="0" w:afterAutospacing="0" w:line="240" w:lineRule="auto"/>
              <w:ind w:left="0" w:right="0"/>
              <w:rPr>
                <w:rFonts w:hint="default"/>
                <w:b w:val="0"/>
                <w:bCs w:val="0"/>
                <w:szCs w:val="24"/>
              </w:rPr>
            </w:pPr>
            <w:r>
              <w:rPr>
                <w:rFonts w:hint="eastAsia" w:ascii="Times New Roman" w:hAnsi="Times New Roman" w:cs="Times New Roman"/>
                <w:bCs w:val="0"/>
                <w:szCs w:val="24"/>
                <w:lang w:val="en-US" w:eastAsia="zh-CN"/>
              </w:rPr>
              <w:t>1.4</w:t>
            </w:r>
            <w:r>
              <w:rPr>
                <w:rFonts w:hint="default" w:ascii="Times New Roman" w:hAnsi="Times New Roman" w:cs="Times New Roman"/>
                <w:bCs w:val="0"/>
                <w:szCs w:val="24"/>
              </w:rPr>
              <w:t>投标人及生产厂家不</w:t>
            </w:r>
            <w:r>
              <w:rPr>
                <w:rFonts w:hint="eastAsia" w:cs="Times New Roman"/>
                <w:bCs w:val="0"/>
                <w:szCs w:val="24"/>
                <w:lang w:val="en-US" w:eastAsia="zh-CN"/>
              </w:rPr>
              <w:t>应</w:t>
            </w:r>
            <w:r>
              <w:rPr>
                <w:rFonts w:hint="default" w:ascii="Times New Roman" w:hAnsi="Times New Roman" w:cs="Times New Roman"/>
                <w:bCs w:val="0"/>
                <w:szCs w:val="24"/>
              </w:rPr>
              <w:t>以任何理由不按时进行维修，不</w:t>
            </w:r>
            <w:r>
              <w:rPr>
                <w:rFonts w:hint="eastAsia" w:cs="Times New Roman"/>
                <w:bCs w:val="0"/>
                <w:szCs w:val="24"/>
                <w:lang w:val="en-US" w:eastAsia="zh-CN"/>
              </w:rPr>
              <w:t>应</w:t>
            </w:r>
            <w:r>
              <w:rPr>
                <w:rFonts w:hint="default" w:ascii="Times New Roman" w:hAnsi="Times New Roman" w:cs="Times New Roman"/>
                <w:bCs w:val="0"/>
                <w:szCs w:val="24"/>
              </w:rPr>
              <w:t>要求采购人购买所谓“保修服务”（即：不论设备有无故障，先买保修服务），不得在设备中嵌设任何不利于采购人使用与维修设备的障碍。</w:t>
            </w:r>
          </w:p>
        </w:tc>
      </w:tr>
      <w:tr w14:paraId="6AC0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820" w:type="dxa"/>
            <w:gridSpan w:val="3"/>
            <w:vAlign w:val="center"/>
          </w:tcPr>
          <w:p w14:paraId="2AB2C0A0">
            <w:pPr>
              <w:keepNext w:val="0"/>
              <w:keepLines w:val="0"/>
              <w:suppressLineNumbers w:val="0"/>
              <w:spacing w:before="0" w:beforeAutospacing="0" w:after="0" w:afterAutospacing="0" w:line="240" w:lineRule="auto"/>
              <w:ind w:left="0" w:right="0"/>
              <w:jc w:val="left"/>
              <w:rPr>
                <w:rFonts w:hint="default" w:ascii="Times New Roman" w:hAnsi="Times New Roman"/>
                <w:bCs w:val="0"/>
                <w:kern w:val="2"/>
                <w:szCs w:val="24"/>
              </w:rPr>
            </w:pPr>
            <w:r>
              <w:rPr>
                <w:rFonts w:hint="default"/>
                <w:b w:val="0"/>
              </w:rPr>
              <w:t>（三）其他商务要求</w:t>
            </w:r>
          </w:p>
        </w:tc>
      </w:tr>
      <w:tr w14:paraId="3123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restart"/>
            <w:vAlign w:val="center"/>
          </w:tcPr>
          <w:p w14:paraId="5252E04A">
            <w:pPr>
              <w:keepNext w:val="0"/>
              <w:keepLines w:val="0"/>
              <w:suppressLineNumbers w:val="0"/>
              <w:spacing w:before="0" w:beforeAutospacing="0" w:after="0" w:afterAutospacing="0"/>
              <w:ind w:left="0" w:leftChars="0" w:right="0" w:rightChars="0"/>
              <w:jc w:val="center"/>
              <w:rPr>
                <w:rFonts w:hint="default"/>
                <w:bCs w:val="0"/>
              </w:rPr>
            </w:pPr>
            <w:r>
              <w:rPr>
                <w:rFonts w:hint="eastAsia"/>
                <w:bCs w:val="0"/>
                <w:lang w:val="en-US" w:eastAsia="zh-CN"/>
              </w:rPr>
              <w:t>1</w:t>
            </w:r>
          </w:p>
        </w:tc>
        <w:tc>
          <w:tcPr>
            <w:tcW w:w="1877" w:type="dxa"/>
            <w:vMerge w:val="restart"/>
            <w:vAlign w:val="center"/>
          </w:tcPr>
          <w:p w14:paraId="79055E46">
            <w:pPr>
              <w:keepNext w:val="0"/>
              <w:keepLines w:val="0"/>
              <w:suppressLineNumbers w:val="0"/>
              <w:spacing w:before="0" w:beforeAutospacing="0" w:after="0" w:afterAutospacing="0"/>
              <w:ind w:left="0" w:leftChars="0" w:right="0" w:rightChars="0"/>
              <w:jc w:val="center"/>
              <w:rPr>
                <w:rFonts w:hint="default"/>
              </w:rPr>
            </w:pPr>
            <w:r>
              <w:rPr>
                <w:rFonts w:hint="default" w:ascii="Times New Roman" w:hAnsi="Times New Roman"/>
                <w:kern w:val="2"/>
                <w:szCs w:val="24"/>
              </w:rPr>
              <w:t>关于生产</w:t>
            </w:r>
          </w:p>
        </w:tc>
        <w:tc>
          <w:tcPr>
            <w:tcW w:w="5832" w:type="dxa"/>
            <w:vAlign w:val="center"/>
          </w:tcPr>
          <w:p w14:paraId="5809A243">
            <w:pPr>
              <w:keepNext w:val="0"/>
              <w:keepLines w:val="0"/>
              <w:suppressLineNumbers w:val="0"/>
              <w:spacing w:before="0" w:beforeAutospacing="0" w:after="0" w:afterAutospacing="0" w:line="240" w:lineRule="auto"/>
              <w:ind w:left="0" w:leftChars="0" w:right="0" w:rightChars="0"/>
              <w:rPr>
                <w:rFonts w:hint="eastAsia" w:cs="Times New Roman"/>
                <w:szCs w:val="24"/>
                <w:lang w:val="en-US" w:eastAsia="zh-CN"/>
              </w:rPr>
            </w:pPr>
            <w:r>
              <w:rPr>
                <w:rFonts w:hint="eastAsia" w:cs="Times New Roman"/>
                <w:szCs w:val="24"/>
                <w:lang w:val="en-US" w:eastAsia="zh-CN"/>
              </w:rPr>
              <w:t>1</w:t>
            </w:r>
            <w:r>
              <w:rPr>
                <w:rFonts w:hint="default" w:ascii="Times New Roman" w:hAnsi="Times New Roman" w:cs="Times New Roman"/>
                <w:szCs w:val="24"/>
                <w:lang w:val="en-US" w:eastAsia="zh-CN"/>
              </w:rPr>
              <w:t>.</w:t>
            </w:r>
            <w:r>
              <w:rPr>
                <w:rFonts w:hint="eastAsia" w:cs="Times New Roman"/>
                <w:szCs w:val="24"/>
                <w:lang w:val="en-US" w:eastAsia="zh-CN"/>
              </w:rPr>
              <w:t>1采购人根据实际情况有可能会对部分产品进行数量调整或取消，中标人在产品生产时均应以采购人书面确认作为前提。</w:t>
            </w:r>
            <w:r>
              <w:rPr>
                <w:rFonts w:hint="default" w:ascii="Times New Roman" w:hAnsi="Times New Roman" w:eastAsia="宋体" w:cs="Times New Roman"/>
                <w:bCs w:val="0"/>
                <w:szCs w:val="24"/>
              </w:rPr>
              <w:t>如因中标货物</w:t>
            </w:r>
            <w:r>
              <w:rPr>
                <w:rFonts w:hint="eastAsia" w:cs="Times New Roman"/>
                <w:bCs w:val="0"/>
                <w:szCs w:val="24"/>
                <w:lang w:val="en-US" w:eastAsia="zh-CN"/>
              </w:rPr>
              <w:t>未经采购人确认导致</w:t>
            </w:r>
            <w:r>
              <w:rPr>
                <w:rFonts w:hint="default" w:ascii="Times New Roman" w:hAnsi="Times New Roman" w:eastAsia="宋体" w:cs="Times New Roman"/>
                <w:bCs w:val="0"/>
                <w:szCs w:val="24"/>
              </w:rPr>
              <w:t>不符合采购人</w:t>
            </w:r>
            <w:r>
              <w:rPr>
                <w:rFonts w:hint="eastAsia" w:cs="Times New Roman"/>
                <w:bCs w:val="0"/>
                <w:szCs w:val="24"/>
                <w:lang w:val="en-US" w:eastAsia="zh-CN"/>
              </w:rPr>
              <w:t>实际需求的</w:t>
            </w:r>
            <w:r>
              <w:rPr>
                <w:rFonts w:hint="default" w:ascii="Times New Roman" w:hAnsi="Times New Roman" w:eastAsia="宋体" w:cs="Times New Roman"/>
                <w:bCs w:val="0"/>
                <w:szCs w:val="24"/>
              </w:rPr>
              <w:t>，采购人有权对该部分货物不</w:t>
            </w:r>
            <w:r>
              <w:rPr>
                <w:rFonts w:hint="eastAsia" w:cs="Times New Roman"/>
                <w:bCs w:val="0"/>
                <w:szCs w:val="24"/>
                <w:lang w:val="en-US" w:eastAsia="zh-CN"/>
              </w:rPr>
              <w:t>予验收，</w:t>
            </w:r>
            <w:r>
              <w:rPr>
                <w:rFonts w:hint="default" w:ascii="Times New Roman" w:hAnsi="Times New Roman" w:cs="Times New Roman"/>
                <w:szCs w:val="24"/>
                <w:lang w:val="en-US" w:eastAsia="zh-CN"/>
              </w:rPr>
              <w:t>造成</w:t>
            </w:r>
            <w:r>
              <w:rPr>
                <w:rFonts w:hint="eastAsia" w:cs="Times New Roman"/>
                <w:szCs w:val="24"/>
                <w:lang w:val="en-US" w:eastAsia="zh-CN"/>
              </w:rPr>
              <w:t>的一切</w:t>
            </w:r>
            <w:r>
              <w:rPr>
                <w:rFonts w:hint="default" w:ascii="Times New Roman" w:hAnsi="Times New Roman" w:cs="Times New Roman"/>
                <w:szCs w:val="24"/>
                <w:lang w:val="en-US" w:eastAsia="zh-CN"/>
              </w:rPr>
              <w:t>损失由中标人全部承担</w:t>
            </w:r>
            <w:r>
              <w:rPr>
                <w:rFonts w:hint="eastAsia" w:cs="Times New Roman"/>
                <w:szCs w:val="24"/>
                <w:lang w:val="en-US" w:eastAsia="zh-CN"/>
              </w:rPr>
              <w:t>。</w:t>
            </w:r>
          </w:p>
        </w:tc>
      </w:tr>
      <w:tr w14:paraId="4683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43F42F0E">
            <w:pPr>
              <w:keepNext w:val="0"/>
              <w:keepLines w:val="0"/>
              <w:suppressLineNumbers w:val="0"/>
              <w:spacing w:before="0" w:beforeAutospacing="0" w:after="0" w:afterAutospacing="0"/>
              <w:ind w:left="0" w:leftChars="0" w:right="0" w:rightChars="0"/>
              <w:jc w:val="center"/>
              <w:rPr>
                <w:rFonts w:hint="default"/>
                <w:bCs w:val="0"/>
              </w:rPr>
            </w:pPr>
          </w:p>
        </w:tc>
        <w:tc>
          <w:tcPr>
            <w:tcW w:w="1877" w:type="dxa"/>
            <w:vMerge w:val="continue"/>
            <w:vAlign w:val="center"/>
          </w:tcPr>
          <w:p w14:paraId="1BCF9BF3">
            <w:pPr>
              <w:keepNext w:val="0"/>
              <w:keepLines w:val="0"/>
              <w:suppressLineNumbers w:val="0"/>
              <w:spacing w:before="0" w:beforeAutospacing="0" w:after="0" w:afterAutospacing="0"/>
              <w:ind w:left="0" w:leftChars="0" w:right="0" w:rightChars="0"/>
              <w:jc w:val="center"/>
              <w:rPr>
                <w:rFonts w:hint="default"/>
              </w:rPr>
            </w:pPr>
          </w:p>
        </w:tc>
        <w:tc>
          <w:tcPr>
            <w:tcW w:w="5832" w:type="dxa"/>
            <w:vAlign w:val="center"/>
          </w:tcPr>
          <w:p w14:paraId="6F8498C8">
            <w:pPr>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b w:val="0"/>
                <w:bCs w:val="0"/>
                <w:szCs w:val="24"/>
              </w:rPr>
            </w:pPr>
            <w:r>
              <w:rPr>
                <w:rFonts w:hint="eastAsia" w:cs="Times New Roman"/>
                <w:szCs w:val="24"/>
                <w:lang w:val="en-US" w:eastAsia="zh-CN"/>
              </w:rPr>
              <w:t>1</w:t>
            </w:r>
            <w:r>
              <w:rPr>
                <w:rFonts w:hint="default" w:ascii="Times New Roman" w:hAnsi="Times New Roman" w:cs="Times New Roman"/>
                <w:szCs w:val="24"/>
                <w:lang w:val="en-US" w:eastAsia="zh-CN"/>
              </w:rPr>
              <w:t>.</w:t>
            </w:r>
            <w:r>
              <w:rPr>
                <w:rFonts w:hint="eastAsia" w:cs="Times New Roman"/>
                <w:szCs w:val="24"/>
                <w:lang w:val="en-US" w:eastAsia="zh-CN"/>
              </w:rPr>
              <w:t>2</w:t>
            </w:r>
            <w:r>
              <w:rPr>
                <w:rFonts w:hint="default" w:ascii="Times New Roman" w:hAnsi="Times New Roman" w:cs="Times New Roman"/>
                <w:szCs w:val="24"/>
                <w:lang w:val="en-US" w:eastAsia="zh-CN"/>
              </w:rPr>
              <w:t>本招标文件未对家具</w:t>
            </w:r>
            <w:r>
              <w:rPr>
                <w:rFonts w:hint="eastAsia" w:cs="Times New Roman"/>
                <w:szCs w:val="24"/>
                <w:lang w:val="en-US" w:eastAsia="zh-CN"/>
              </w:rPr>
              <w:t>部分款式、</w:t>
            </w:r>
            <w:r>
              <w:rPr>
                <w:rFonts w:hint="default" w:ascii="Times New Roman" w:hAnsi="Times New Roman" w:cs="Times New Roman"/>
                <w:szCs w:val="24"/>
                <w:lang w:val="en-US" w:eastAsia="zh-CN"/>
              </w:rPr>
              <w:t>具体功能、颜色做出要求。实物</w:t>
            </w:r>
            <w:r>
              <w:rPr>
                <w:rFonts w:hint="eastAsia" w:cs="Times New Roman"/>
                <w:szCs w:val="24"/>
                <w:lang w:val="en-US" w:eastAsia="zh-CN"/>
              </w:rPr>
              <w:t>款式、</w:t>
            </w:r>
            <w:r>
              <w:rPr>
                <w:rFonts w:hint="default" w:ascii="Times New Roman" w:hAnsi="Times New Roman" w:cs="Times New Roman"/>
                <w:szCs w:val="24"/>
                <w:lang w:val="en-US" w:eastAsia="zh-CN"/>
              </w:rPr>
              <w:t>功能、颜色由中标人根据采购人实际需求完成深化设计</w:t>
            </w:r>
            <w:r>
              <w:rPr>
                <w:rFonts w:hint="eastAsia" w:cs="Times New Roman"/>
                <w:szCs w:val="24"/>
                <w:lang w:val="en-US" w:eastAsia="zh-CN"/>
              </w:rPr>
              <w:t>，并经过采购人书面</w:t>
            </w:r>
            <w:r>
              <w:rPr>
                <w:rFonts w:hint="default" w:ascii="Times New Roman" w:hAnsi="Times New Roman" w:cs="Times New Roman"/>
                <w:szCs w:val="24"/>
                <w:lang w:val="en-US" w:eastAsia="zh-CN"/>
              </w:rPr>
              <w:t>确认</w:t>
            </w:r>
            <w:r>
              <w:rPr>
                <w:rFonts w:hint="eastAsia" w:cs="Times New Roman"/>
                <w:szCs w:val="24"/>
                <w:lang w:val="en-US" w:eastAsia="zh-CN"/>
              </w:rPr>
              <w:t>后</w:t>
            </w:r>
            <w:r>
              <w:rPr>
                <w:rFonts w:hint="default" w:ascii="Times New Roman" w:hAnsi="Times New Roman" w:cs="Times New Roman"/>
                <w:szCs w:val="24"/>
                <w:lang w:val="en-US" w:eastAsia="zh-CN"/>
              </w:rPr>
              <w:t>再制作，否则造成损失由中标人全部承担。</w:t>
            </w:r>
          </w:p>
        </w:tc>
      </w:tr>
      <w:tr w14:paraId="2147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1FCBB832">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4F49A641">
            <w:pPr>
              <w:keepNext w:val="0"/>
              <w:keepLines w:val="0"/>
              <w:suppressLineNumbers w:val="0"/>
              <w:spacing w:before="0" w:beforeAutospacing="0" w:after="0" w:afterAutospacing="0"/>
              <w:ind w:left="0" w:right="0"/>
              <w:jc w:val="center"/>
              <w:rPr>
                <w:rFonts w:hint="default"/>
              </w:rPr>
            </w:pPr>
          </w:p>
        </w:tc>
        <w:tc>
          <w:tcPr>
            <w:tcW w:w="5832" w:type="dxa"/>
            <w:vAlign w:val="top"/>
          </w:tcPr>
          <w:p w14:paraId="7F55B873">
            <w:pPr>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bCs w:val="0"/>
                <w:szCs w:val="24"/>
              </w:rPr>
            </w:pPr>
            <w:r>
              <w:rPr>
                <w:rFonts w:hint="default" w:ascii="Times New Roman" w:hAnsi="Times New Roman" w:cs="Times New Roman"/>
                <w:bCs w:val="0"/>
                <w:szCs w:val="24"/>
                <w:lang w:val="en-US" w:eastAsia="zh-CN"/>
              </w:rPr>
              <w:t>1</w:t>
            </w:r>
            <w:r>
              <w:rPr>
                <w:rFonts w:hint="eastAsia" w:cs="Times New Roman"/>
                <w:bCs w:val="0"/>
                <w:szCs w:val="24"/>
                <w:lang w:val="en-US" w:eastAsia="zh-CN"/>
              </w:rPr>
              <w:t>.3本招标文件</w:t>
            </w:r>
            <w:r>
              <w:rPr>
                <w:rFonts w:hint="default" w:ascii="Times New Roman" w:hAnsi="Times New Roman" w:eastAsia="宋体" w:cs="Times New Roman"/>
                <w:bCs w:val="0"/>
                <w:szCs w:val="24"/>
              </w:rPr>
              <w:t>具体技术要求中注明的</w:t>
            </w:r>
            <w:r>
              <w:rPr>
                <w:rFonts w:hint="eastAsia" w:cs="Times New Roman"/>
                <w:bCs w:val="0"/>
                <w:szCs w:val="24"/>
                <w:lang w:val="en-US" w:eastAsia="zh-CN"/>
              </w:rPr>
              <w:t>家具</w:t>
            </w:r>
            <w:r>
              <w:rPr>
                <w:rFonts w:hint="default" w:ascii="Times New Roman" w:hAnsi="Times New Roman" w:eastAsia="宋体" w:cs="Times New Roman"/>
                <w:bCs w:val="0"/>
                <w:szCs w:val="24"/>
              </w:rPr>
              <w:t>规格</w:t>
            </w:r>
            <w:r>
              <w:rPr>
                <w:rFonts w:hint="eastAsia" w:cs="Times New Roman"/>
                <w:bCs w:val="0"/>
                <w:szCs w:val="24"/>
                <w:lang w:val="en-US" w:eastAsia="zh-CN"/>
              </w:rPr>
              <w:t>尺寸</w:t>
            </w:r>
            <w:r>
              <w:rPr>
                <w:rFonts w:hint="default" w:ascii="Times New Roman" w:hAnsi="Times New Roman" w:eastAsia="宋体" w:cs="Times New Roman"/>
                <w:bCs w:val="0"/>
                <w:szCs w:val="24"/>
              </w:rPr>
              <w:t>为标准尺寸，</w:t>
            </w:r>
            <w:r>
              <w:rPr>
                <w:rFonts w:hint="eastAsia" w:cs="Times New Roman"/>
                <w:bCs w:val="0"/>
                <w:szCs w:val="24"/>
                <w:lang w:val="en-US" w:eastAsia="zh-CN"/>
              </w:rPr>
              <w:t>实际</w:t>
            </w:r>
            <w:r>
              <w:rPr>
                <w:rFonts w:hint="default" w:ascii="Times New Roman" w:hAnsi="Times New Roman" w:eastAsia="宋体" w:cs="Times New Roman"/>
                <w:bCs w:val="0"/>
                <w:szCs w:val="24"/>
              </w:rPr>
              <w:t>尺寸可能因户型差异存在偏差，中标人须根据实际场地进行</w:t>
            </w:r>
            <w:r>
              <w:rPr>
                <w:rFonts w:hint="eastAsia" w:cs="Times New Roman"/>
                <w:bCs w:val="0"/>
                <w:szCs w:val="24"/>
                <w:lang w:val="en-US" w:eastAsia="zh-CN"/>
              </w:rPr>
              <w:t>现场</w:t>
            </w:r>
            <w:r>
              <w:rPr>
                <w:rFonts w:hint="default" w:ascii="Times New Roman" w:hAnsi="Times New Roman" w:eastAsia="宋体" w:cs="Times New Roman"/>
                <w:bCs w:val="0"/>
                <w:szCs w:val="24"/>
              </w:rPr>
              <w:t>测量</w:t>
            </w:r>
            <w:r>
              <w:rPr>
                <w:rFonts w:hint="eastAsia" w:cs="Times New Roman"/>
                <w:bCs w:val="0"/>
                <w:szCs w:val="24"/>
                <w:lang w:eastAsia="zh-CN"/>
              </w:rPr>
              <w:t>，</w:t>
            </w:r>
            <w:r>
              <w:rPr>
                <w:rFonts w:hint="default" w:ascii="Times New Roman" w:hAnsi="Times New Roman" w:cs="Times New Roman"/>
                <w:szCs w:val="24"/>
                <w:lang w:val="en-US" w:eastAsia="zh-CN"/>
              </w:rPr>
              <w:t>出具</w:t>
            </w:r>
            <w:r>
              <w:rPr>
                <w:rFonts w:hint="eastAsia" w:cs="Times New Roman"/>
                <w:szCs w:val="24"/>
                <w:lang w:val="en-US" w:eastAsia="zh-CN"/>
              </w:rPr>
              <w:t>产品生产样</w:t>
            </w:r>
            <w:r>
              <w:rPr>
                <w:rFonts w:hint="default" w:ascii="Times New Roman" w:hAnsi="Times New Roman" w:cs="Times New Roman"/>
                <w:szCs w:val="24"/>
                <w:lang w:val="en-US" w:eastAsia="zh-CN"/>
              </w:rPr>
              <w:t>图</w:t>
            </w:r>
            <w:r>
              <w:rPr>
                <w:rFonts w:hint="eastAsia" w:cs="Times New Roman"/>
                <w:szCs w:val="24"/>
                <w:lang w:val="en-US" w:eastAsia="zh-CN"/>
              </w:rPr>
              <w:t>供采购人进行确认</w:t>
            </w:r>
            <w:r>
              <w:rPr>
                <w:rFonts w:hint="eastAsia" w:cs="Times New Roman"/>
                <w:bCs w:val="0"/>
                <w:szCs w:val="24"/>
                <w:lang w:eastAsia="zh-CN"/>
              </w:rPr>
              <w:t>。</w:t>
            </w:r>
            <w:r>
              <w:rPr>
                <w:rFonts w:hint="eastAsia" w:cs="Times New Roman"/>
                <w:bCs w:val="0"/>
                <w:szCs w:val="24"/>
                <w:lang w:val="en-US" w:eastAsia="zh-CN"/>
              </w:rPr>
              <w:t>因现场安装条件限制或采购人需求变动等原因造成的产品</w:t>
            </w:r>
            <w:r>
              <w:rPr>
                <w:rFonts w:hint="default" w:ascii="Times New Roman" w:hAnsi="Times New Roman" w:eastAsia="宋体" w:cs="Times New Roman"/>
                <w:bCs w:val="0"/>
                <w:szCs w:val="24"/>
              </w:rPr>
              <w:t>尺寸调整，应由采购人</w:t>
            </w:r>
            <w:r>
              <w:rPr>
                <w:rFonts w:hint="eastAsia" w:cs="Times New Roman"/>
                <w:bCs w:val="0"/>
                <w:szCs w:val="24"/>
                <w:lang w:val="en-US" w:eastAsia="zh-CN"/>
              </w:rPr>
              <w:t>书面</w:t>
            </w:r>
            <w:r>
              <w:rPr>
                <w:rFonts w:hint="default" w:ascii="Times New Roman" w:hAnsi="Times New Roman" w:eastAsia="宋体" w:cs="Times New Roman"/>
                <w:bCs w:val="0"/>
                <w:szCs w:val="24"/>
              </w:rPr>
              <w:t>签字确认后才能生产、交货。调整尺寸幅度</w:t>
            </w:r>
            <w:r>
              <w:rPr>
                <w:rFonts w:hint="eastAsia" w:cs="Times New Roman"/>
                <w:bCs w:val="0"/>
                <w:szCs w:val="24"/>
                <w:lang w:val="en-US" w:eastAsia="zh-CN"/>
              </w:rPr>
              <w:t>原则上</w:t>
            </w:r>
            <w:r>
              <w:rPr>
                <w:rFonts w:hint="default" w:ascii="Times New Roman" w:hAnsi="Times New Roman" w:eastAsia="宋体" w:cs="Times New Roman"/>
                <w:bCs w:val="0"/>
                <w:szCs w:val="24"/>
              </w:rPr>
              <w:t>不超过</w:t>
            </w:r>
            <w:r>
              <w:rPr>
                <w:rFonts w:hint="default" w:ascii="Times New Roman" w:hAnsi="Times New Roman" w:eastAsia="宋体" w:cs="Times New Roman"/>
                <w:bCs w:val="0"/>
                <w:u w:val="none"/>
              </w:rPr>
              <w:t>±</w:t>
            </w:r>
            <w:r>
              <w:rPr>
                <w:rFonts w:hint="default" w:ascii="Times New Roman" w:hAnsi="Times New Roman" w:eastAsia="宋体" w:cs="Times New Roman"/>
                <w:bCs w:val="0"/>
                <w:szCs w:val="24"/>
                <w:lang w:val="en-US" w:eastAsia="zh-CN"/>
              </w:rPr>
              <w:t>10</w:t>
            </w:r>
            <w:r>
              <w:rPr>
                <w:rFonts w:hint="default" w:ascii="Times New Roman" w:hAnsi="Times New Roman" w:eastAsia="宋体" w:cs="Times New Roman"/>
                <w:bCs w:val="0"/>
                <w:szCs w:val="24"/>
              </w:rPr>
              <w:t>%</w:t>
            </w:r>
            <w:r>
              <w:rPr>
                <w:rFonts w:hint="eastAsia" w:cs="Times New Roman"/>
                <w:bCs w:val="0"/>
                <w:szCs w:val="24"/>
                <w:lang w:val="en-US" w:eastAsia="zh-CN"/>
              </w:rPr>
              <w:t>的，</w:t>
            </w:r>
            <w:r>
              <w:rPr>
                <w:rFonts w:hint="default" w:ascii="Times New Roman" w:hAnsi="Times New Roman" w:eastAsia="宋体" w:cs="Times New Roman"/>
                <w:bCs w:val="0"/>
                <w:szCs w:val="24"/>
              </w:rPr>
              <w:t>价格不</w:t>
            </w:r>
            <w:r>
              <w:rPr>
                <w:rFonts w:hint="eastAsia" w:cs="Times New Roman"/>
                <w:bCs w:val="0"/>
                <w:szCs w:val="24"/>
                <w:lang w:val="en-US" w:eastAsia="zh-CN"/>
              </w:rPr>
              <w:t>再另行</w:t>
            </w:r>
            <w:r>
              <w:rPr>
                <w:rFonts w:hint="default" w:ascii="Times New Roman" w:hAnsi="Times New Roman" w:eastAsia="宋体" w:cs="Times New Roman"/>
                <w:bCs w:val="0"/>
                <w:szCs w:val="24"/>
              </w:rPr>
              <w:t>调整</w:t>
            </w:r>
            <w:r>
              <w:rPr>
                <w:rFonts w:hint="eastAsia" w:cs="Times New Roman"/>
                <w:bCs w:val="0"/>
                <w:szCs w:val="24"/>
                <w:lang w:eastAsia="zh-CN"/>
              </w:rPr>
              <w:t>，</w:t>
            </w:r>
            <w:r>
              <w:rPr>
                <w:rFonts w:hint="eastAsia" w:cs="Times New Roman"/>
                <w:szCs w:val="24"/>
                <w:lang w:val="en-US" w:eastAsia="zh-CN"/>
              </w:rPr>
              <w:t>最终验收</w:t>
            </w:r>
            <w:r>
              <w:rPr>
                <w:rFonts w:hint="default" w:ascii="Times New Roman" w:hAnsi="Times New Roman" w:cs="Times New Roman"/>
                <w:szCs w:val="24"/>
                <w:lang w:val="en-US" w:eastAsia="zh-CN"/>
              </w:rPr>
              <w:t>尺寸计算以实地测量为准。</w:t>
            </w:r>
          </w:p>
          <w:p w14:paraId="2C67BD48">
            <w:pPr>
              <w:keepNext w:val="0"/>
              <w:keepLines w:val="0"/>
              <w:widowControl/>
              <w:suppressLineNumbers w:val="0"/>
              <w:spacing w:before="0" w:beforeAutospacing="0" w:after="0" w:afterAutospacing="0" w:line="240" w:lineRule="auto"/>
              <w:ind w:left="0" w:leftChars="0" w:right="0" w:rightChars="0"/>
              <w:rPr>
                <w:rFonts w:hint="default" w:ascii="Times New Roman" w:hAnsi="Times New Roman" w:cs="Times New Roman"/>
                <w:b w:val="0"/>
                <w:bCs w:val="0"/>
                <w:szCs w:val="24"/>
              </w:rPr>
            </w:pPr>
            <w:r>
              <w:rPr>
                <w:rFonts w:hint="default" w:ascii="Times New Roman" w:hAnsi="Times New Roman" w:eastAsia="宋体" w:cs="Times New Roman"/>
                <w:bCs w:val="0"/>
                <w:szCs w:val="24"/>
                <w:lang w:val="en-US" w:eastAsia="zh-CN"/>
              </w:rPr>
              <w:t>尺寸超出上述调整幅度范围的，产品单价</w:t>
            </w:r>
            <w:r>
              <w:rPr>
                <w:rFonts w:hint="eastAsia" w:cs="Times New Roman"/>
                <w:bCs w:val="0"/>
                <w:szCs w:val="24"/>
                <w:lang w:val="en-US" w:eastAsia="zh-CN"/>
              </w:rPr>
              <w:t>双方可进行协商，</w:t>
            </w:r>
            <w:r>
              <w:rPr>
                <w:rFonts w:hint="default" w:ascii="Times New Roman" w:hAnsi="Times New Roman" w:eastAsia="宋体" w:cs="Times New Roman"/>
                <w:bCs w:val="0"/>
                <w:szCs w:val="24"/>
                <w:lang w:val="en-US" w:eastAsia="zh-CN"/>
              </w:rPr>
              <w:t>根据中标产品尺寸和中标价按比例</w:t>
            </w:r>
            <w:r>
              <w:rPr>
                <w:rFonts w:hint="eastAsia" w:cs="Times New Roman"/>
                <w:bCs w:val="0"/>
                <w:szCs w:val="24"/>
                <w:lang w:val="en-US" w:eastAsia="zh-CN"/>
              </w:rPr>
              <w:t>进行</w:t>
            </w:r>
            <w:r>
              <w:rPr>
                <w:rFonts w:hint="default" w:ascii="Times New Roman" w:hAnsi="Times New Roman" w:eastAsia="宋体" w:cs="Times New Roman"/>
                <w:bCs w:val="0"/>
                <w:szCs w:val="24"/>
                <w:lang w:val="en-US" w:eastAsia="zh-CN"/>
              </w:rPr>
              <w:t>折算。</w:t>
            </w:r>
          </w:p>
        </w:tc>
      </w:tr>
      <w:tr w14:paraId="33BE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5E6A2BD3">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1FBD027C">
            <w:pPr>
              <w:keepNext w:val="0"/>
              <w:keepLines w:val="0"/>
              <w:suppressLineNumbers w:val="0"/>
              <w:spacing w:before="0" w:beforeAutospacing="0" w:after="0" w:afterAutospacing="0"/>
              <w:ind w:left="0" w:right="0"/>
              <w:jc w:val="center"/>
              <w:rPr>
                <w:rFonts w:hint="default"/>
              </w:rPr>
            </w:pPr>
          </w:p>
        </w:tc>
        <w:tc>
          <w:tcPr>
            <w:tcW w:w="5832" w:type="dxa"/>
            <w:vAlign w:val="top"/>
          </w:tcPr>
          <w:p w14:paraId="57F961EE">
            <w:pPr>
              <w:keepNext w:val="0"/>
              <w:keepLines w:val="0"/>
              <w:widowControl/>
              <w:suppressLineNumbers w:val="0"/>
              <w:spacing w:before="0" w:beforeAutospacing="0" w:after="0" w:afterAutospacing="0" w:line="240" w:lineRule="auto"/>
              <w:ind w:left="0" w:leftChars="0" w:right="0" w:rightChars="0"/>
              <w:rPr>
                <w:rFonts w:hint="default" w:ascii="Times New Roman" w:hAnsi="Times New Roman" w:cs="Times New Roman"/>
                <w:b w:val="0"/>
                <w:bCs w:val="0"/>
                <w:szCs w:val="24"/>
              </w:rPr>
            </w:pPr>
            <w:r>
              <w:rPr>
                <w:rFonts w:hint="default" w:cs="Times New Roman"/>
                <w:bCs w:val="0"/>
                <w:szCs w:val="24"/>
                <w:lang w:val="en-US" w:eastAsia="zh-CN"/>
              </w:rPr>
              <w:t>1</w:t>
            </w:r>
            <w:r>
              <w:rPr>
                <w:rFonts w:hint="eastAsia" w:cs="Times New Roman"/>
                <w:bCs w:val="0"/>
                <w:szCs w:val="24"/>
                <w:lang w:val="en-US" w:eastAsia="zh-CN"/>
              </w:rPr>
              <w:t>.4</w:t>
            </w:r>
            <w:r>
              <w:rPr>
                <w:rFonts w:hint="default" w:ascii="Times New Roman" w:hAnsi="Times New Roman" w:cs="Times New Roman"/>
                <w:bCs w:val="0"/>
                <w:szCs w:val="24"/>
              </w:rPr>
              <w:t>采购人不提供场地用于货物储存，投标人仅需按采购人下单数量进行分批</w:t>
            </w:r>
            <w:r>
              <w:rPr>
                <w:rFonts w:hint="eastAsia" w:cs="Times New Roman"/>
                <w:bCs w:val="0"/>
                <w:szCs w:val="24"/>
                <w:lang w:val="en-US" w:eastAsia="zh-CN"/>
              </w:rPr>
              <w:t>生产、</w:t>
            </w:r>
            <w:r>
              <w:rPr>
                <w:rFonts w:hint="default" w:ascii="Times New Roman" w:hAnsi="Times New Roman" w:cs="Times New Roman"/>
                <w:bCs w:val="0"/>
                <w:szCs w:val="24"/>
              </w:rPr>
              <w:t>供货，而不应揣摩采购人的采购规律或者误认为采购人会采购或者凭采购人的工作人员非书面的正式承诺备货。否则，因此导致货物滞销、积压、过期、失效等的风险，均由投标人承担。</w:t>
            </w:r>
          </w:p>
        </w:tc>
      </w:tr>
      <w:tr w14:paraId="76B5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restart"/>
            <w:vAlign w:val="center"/>
          </w:tcPr>
          <w:p w14:paraId="114C612A">
            <w:pPr>
              <w:keepNext w:val="0"/>
              <w:keepLines w:val="0"/>
              <w:suppressLineNumbers w:val="0"/>
              <w:spacing w:before="0" w:beforeAutospacing="0" w:after="0" w:afterAutospacing="0"/>
              <w:ind w:left="0" w:right="0"/>
              <w:jc w:val="center"/>
              <w:rPr>
                <w:rFonts w:hint="eastAsia" w:eastAsia="宋体"/>
                <w:bCs w:val="0"/>
                <w:lang w:eastAsia="zh-CN"/>
              </w:rPr>
            </w:pPr>
            <w:r>
              <w:rPr>
                <w:rFonts w:hint="eastAsia"/>
                <w:bCs w:val="0"/>
                <w:lang w:val="en-US" w:eastAsia="zh-CN"/>
              </w:rPr>
              <w:t>2</w:t>
            </w:r>
          </w:p>
        </w:tc>
        <w:tc>
          <w:tcPr>
            <w:tcW w:w="1877" w:type="dxa"/>
            <w:vMerge w:val="restart"/>
            <w:vAlign w:val="center"/>
          </w:tcPr>
          <w:p w14:paraId="5F72ADC1">
            <w:pPr>
              <w:keepNext w:val="0"/>
              <w:keepLines w:val="0"/>
              <w:suppressLineNumbers w:val="0"/>
              <w:spacing w:before="0" w:beforeAutospacing="0" w:after="0" w:afterAutospacing="0"/>
              <w:ind w:left="0" w:right="0"/>
              <w:jc w:val="center"/>
              <w:rPr>
                <w:rFonts w:hint="default"/>
              </w:rPr>
            </w:pPr>
            <w:r>
              <w:rPr>
                <w:rFonts w:hint="default"/>
              </w:rPr>
              <w:t>关于交货</w:t>
            </w:r>
          </w:p>
        </w:tc>
        <w:tc>
          <w:tcPr>
            <w:tcW w:w="5832" w:type="dxa"/>
          </w:tcPr>
          <w:p w14:paraId="1C7779E6">
            <w:pPr>
              <w:keepNext w:val="0"/>
              <w:keepLines w:val="0"/>
              <w:widowControl/>
              <w:suppressLineNumbers w:val="0"/>
              <w:spacing w:before="0" w:beforeAutospacing="0" w:after="0" w:afterAutospacing="0" w:line="240" w:lineRule="auto"/>
              <w:ind w:left="0" w:right="0"/>
              <w:jc w:val="left"/>
              <w:textAlignment w:val="auto"/>
              <w:rPr>
                <w:rFonts w:hint="default" w:ascii="Times New Roman" w:hAnsi="Times New Roman" w:eastAsia="宋体" w:cs="Times New Roman"/>
                <w:b w:val="0"/>
                <w:bCs w:val="0"/>
                <w:szCs w:val="24"/>
                <w:lang w:eastAsia="zh-CN"/>
              </w:rPr>
            </w:pPr>
            <w:r>
              <w:rPr>
                <w:rFonts w:hint="default"/>
                <w:bCs w:val="0"/>
                <w:szCs w:val="24"/>
              </w:rPr>
              <w:t>★</w:t>
            </w:r>
            <w:r>
              <w:rPr>
                <w:rFonts w:hint="eastAsia"/>
                <w:bCs w:val="0"/>
                <w:szCs w:val="24"/>
                <w:lang w:val="en-US" w:eastAsia="zh-CN"/>
              </w:rPr>
              <w:t>2.1</w:t>
            </w:r>
            <w:r>
              <w:rPr>
                <w:rFonts w:hint="default" w:ascii="Times New Roman" w:hAnsi="Times New Roman" w:cs="Times New Roman"/>
                <w:b w:val="0"/>
                <w:bCs w:val="0"/>
                <w:szCs w:val="24"/>
              </w:rPr>
              <w:t>交货期要求：产品经采购人确认后，接采购人通知下单的数量，开始下单生产，</w:t>
            </w:r>
            <w:r>
              <w:rPr>
                <w:rFonts w:hint="default" w:cs="Times New Roman"/>
                <w:b w:val="0"/>
                <w:bCs w:val="0"/>
                <w:szCs w:val="24"/>
                <w:lang w:val="en-US" w:eastAsia="zh-CN"/>
              </w:rPr>
              <w:t>50</w:t>
            </w:r>
            <w:r>
              <w:rPr>
                <w:rFonts w:hint="default" w:ascii="Times New Roman" w:hAnsi="Times New Roman" w:cs="Times New Roman"/>
                <w:b w:val="0"/>
                <w:bCs w:val="0"/>
                <w:szCs w:val="24"/>
              </w:rPr>
              <w:t>天（日历日）内</w:t>
            </w:r>
            <w:r>
              <w:rPr>
                <w:rFonts w:hint="default" w:ascii="Times New Roman" w:hAnsi="Times New Roman" w:cs="Times New Roman"/>
                <w:b w:val="0"/>
                <w:bCs w:val="0"/>
                <w:szCs w:val="24"/>
                <w:lang w:eastAsia="zh-CN"/>
              </w:rPr>
              <w:t>完成</w:t>
            </w:r>
            <w:r>
              <w:rPr>
                <w:rFonts w:hint="default" w:ascii="Times New Roman" w:hAnsi="Times New Roman" w:cs="Times New Roman"/>
                <w:b w:val="0"/>
                <w:bCs w:val="0"/>
                <w:szCs w:val="24"/>
              </w:rPr>
              <w:t>交货，</w:t>
            </w:r>
            <w:r>
              <w:rPr>
                <w:rFonts w:hint="default" w:ascii="Times New Roman" w:hAnsi="Times New Roman" w:eastAsia="宋体" w:cs="Times New Roman"/>
                <w:bCs w:val="0"/>
                <w:szCs w:val="24"/>
                <w:u w:val="none"/>
              </w:rPr>
              <w:t>如因甲方工程进度原因、需求确认或其他不可抗力因素不满足交货条件，具体交货时间由采购人确认</w:t>
            </w:r>
            <w:r>
              <w:rPr>
                <w:rFonts w:hint="default" w:ascii="Times New Roman" w:hAnsi="Times New Roman" w:eastAsia="宋体" w:cs="Times New Roman"/>
                <w:bCs w:val="0"/>
                <w:szCs w:val="24"/>
                <w:u w:val="none"/>
                <w:lang w:eastAsia="zh-CN"/>
              </w:rPr>
              <w:t>。</w:t>
            </w:r>
          </w:p>
          <w:p w14:paraId="4C734D93">
            <w:pPr>
              <w:keepNext w:val="0"/>
              <w:keepLines w:val="0"/>
              <w:suppressLineNumbers w:val="0"/>
              <w:spacing w:before="0" w:beforeAutospacing="0" w:after="0" w:afterAutospacing="0" w:line="240" w:lineRule="auto"/>
              <w:ind w:left="0" w:right="0"/>
              <w:rPr>
                <w:rFonts w:hint="default"/>
                <w:bCs w:val="0"/>
                <w:szCs w:val="24"/>
              </w:rPr>
            </w:pPr>
            <w:r>
              <w:rPr>
                <w:rFonts w:hint="default" w:ascii="Times New Roman" w:hAnsi="Times New Roman" w:cs="Times New Roman"/>
                <w:b w:val="0"/>
                <w:bCs w:val="0"/>
                <w:szCs w:val="24"/>
              </w:rPr>
              <w:t>中标人交货地点：用户指定地点。</w:t>
            </w:r>
          </w:p>
        </w:tc>
      </w:tr>
      <w:tr w14:paraId="08E7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42A9B143">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29FBA12F">
            <w:pPr>
              <w:keepNext w:val="0"/>
              <w:keepLines w:val="0"/>
              <w:suppressLineNumbers w:val="0"/>
              <w:spacing w:before="0" w:beforeAutospacing="0" w:after="0" w:afterAutospacing="0"/>
              <w:ind w:left="0" w:right="0"/>
              <w:jc w:val="center"/>
              <w:rPr>
                <w:rFonts w:hint="default"/>
              </w:rPr>
            </w:pPr>
          </w:p>
        </w:tc>
        <w:tc>
          <w:tcPr>
            <w:tcW w:w="5832" w:type="dxa"/>
          </w:tcPr>
          <w:p w14:paraId="33643086">
            <w:pPr>
              <w:keepNext w:val="0"/>
              <w:keepLines w:val="0"/>
              <w:suppressLineNumbers w:val="0"/>
              <w:spacing w:before="0" w:beforeAutospacing="0" w:after="0" w:afterAutospacing="0" w:line="240" w:lineRule="auto"/>
              <w:ind w:left="0" w:right="0"/>
              <w:rPr>
                <w:rFonts w:hint="default"/>
                <w:bCs w:val="0"/>
                <w:szCs w:val="24"/>
              </w:rPr>
            </w:pPr>
            <w:r>
              <w:rPr>
                <w:rFonts w:hint="eastAsia"/>
                <w:bCs w:val="0"/>
                <w:szCs w:val="24"/>
                <w:lang w:val="en-US" w:eastAsia="zh-CN"/>
              </w:rPr>
              <w:t>2.2.</w:t>
            </w:r>
            <w:r>
              <w:rPr>
                <w:rFonts w:hint="default"/>
                <w:bCs w:val="0"/>
                <w:szCs w:val="24"/>
              </w:rPr>
              <w:t>由中标人负责产品的运输，运费由中标人承担。且货物的包装符合产品运输的要求，足以保护货物在运输过程中不受锈蚀、损坏或灭失。凡由于包装不良造成的损失和由此产生的费用均由中标人承担。</w:t>
            </w:r>
          </w:p>
        </w:tc>
      </w:tr>
      <w:tr w14:paraId="2700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461C44B6">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239D8987">
            <w:pPr>
              <w:keepNext w:val="0"/>
              <w:keepLines w:val="0"/>
              <w:suppressLineNumbers w:val="0"/>
              <w:spacing w:before="0" w:beforeAutospacing="0" w:after="0" w:afterAutospacing="0"/>
              <w:ind w:left="0" w:right="0"/>
              <w:jc w:val="center"/>
              <w:rPr>
                <w:rFonts w:hint="default"/>
              </w:rPr>
            </w:pPr>
          </w:p>
        </w:tc>
        <w:tc>
          <w:tcPr>
            <w:tcW w:w="5832" w:type="dxa"/>
          </w:tcPr>
          <w:p w14:paraId="2B112A77">
            <w:pPr>
              <w:keepNext w:val="0"/>
              <w:keepLines w:val="0"/>
              <w:suppressLineNumbers w:val="0"/>
              <w:spacing w:before="0" w:beforeAutospacing="0" w:after="0" w:afterAutospacing="0" w:line="240" w:lineRule="auto"/>
              <w:ind w:left="0" w:right="0"/>
              <w:rPr>
                <w:rFonts w:hint="default"/>
                <w:bCs w:val="0"/>
                <w:szCs w:val="24"/>
              </w:rPr>
            </w:pPr>
            <w:r>
              <w:rPr>
                <w:rFonts w:hint="eastAsia"/>
                <w:bCs w:val="0"/>
                <w:szCs w:val="24"/>
                <w:lang w:val="en-US" w:eastAsia="zh-CN"/>
              </w:rPr>
              <w:t>2.3</w:t>
            </w:r>
            <w:r>
              <w:rPr>
                <w:rFonts w:hint="default"/>
                <w:bCs w:val="0"/>
                <w:szCs w:val="24"/>
              </w:rPr>
              <w:t>提供的货物</w:t>
            </w:r>
            <w:r>
              <w:rPr>
                <w:rFonts w:hint="eastAsia"/>
                <w:lang w:val="en-US" w:eastAsia="zh-CN"/>
              </w:rPr>
              <w:t>需</w:t>
            </w:r>
            <w:r>
              <w:rPr>
                <w:rFonts w:hint="default"/>
                <w:bCs w:val="0"/>
                <w:szCs w:val="24"/>
              </w:rPr>
              <w:t>为全新（中标当年或中标日前半年内生产的）、经检验合格的产品。产品如需要计量检定的应提供相关计量检定部门出具的合法检定报告</w:t>
            </w:r>
            <w:r>
              <w:rPr>
                <w:rFonts w:hint="default" w:ascii="Times New Roman" w:hAnsi="Times New Roman" w:cs="Times New Roman"/>
                <w:bCs w:val="0"/>
                <w:szCs w:val="24"/>
              </w:rPr>
              <w:t>，相关费用由中标</w:t>
            </w:r>
            <w:r>
              <w:rPr>
                <w:rFonts w:hint="default" w:ascii="Times New Roman" w:hAnsi="Times New Roman" w:cs="Times New Roman"/>
                <w:bCs w:val="0"/>
                <w:szCs w:val="24"/>
                <w:lang w:eastAsia="zh-CN"/>
              </w:rPr>
              <w:t>人承担</w:t>
            </w:r>
            <w:r>
              <w:rPr>
                <w:rFonts w:hint="default"/>
                <w:bCs w:val="0"/>
                <w:szCs w:val="24"/>
              </w:rPr>
              <w:t>。</w:t>
            </w:r>
          </w:p>
        </w:tc>
      </w:tr>
      <w:tr w14:paraId="180B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07A2BF7F">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34BAC8BF">
            <w:pPr>
              <w:keepNext w:val="0"/>
              <w:keepLines w:val="0"/>
              <w:suppressLineNumbers w:val="0"/>
              <w:spacing w:before="0" w:beforeAutospacing="0" w:after="0" w:afterAutospacing="0"/>
              <w:ind w:left="0" w:right="0"/>
              <w:jc w:val="center"/>
              <w:rPr>
                <w:rFonts w:hint="default"/>
              </w:rPr>
            </w:pPr>
          </w:p>
        </w:tc>
        <w:tc>
          <w:tcPr>
            <w:tcW w:w="5832" w:type="dxa"/>
          </w:tcPr>
          <w:p w14:paraId="6D9C1F52">
            <w:pPr>
              <w:keepNext w:val="0"/>
              <w:keepLines w:val="0"/>
              <w:suppressLineNumbers w:val="0"/>
              <w:spacing w:before="0" w:beforeAutospacing="0" w:after="0" w:afterAutospacing="0" w:line="240" w:lineRule="auto"/>
              <w:ind w:left="0" w:right="0"/>
              <w:rPr>
                <w:rFonts w:hint="default"/>
                <w:bCs w:val="0"/>
                <w:szCs w:val="24"/>
              </w:rPr>
            </w:pPr>
            <w:r>
              <w:rPr>
                <w:rFonts w:hint="default"/>
                <w:bCs w:val="0"/>
                <w:szCs w:val="24"/>
              </w:rPr>
              <w:t>★</w:t>
            </w:r>
            <w:r>
              <w:rPr>
                <w:rFonts w:hint="eastAsia"/>
                <w:bCs w:val="0"/>
                <w:szCs w:val="24"/>
                <w:lang w:val="en-US" w:eastAsia="zh-CN"/>
              </w:rPr>
              <w:t>2.4</w:t>
            </w:r>
            <w:r>
              <w:rPr>
                <w:rFonts w:hint="default"/>
                <w:bCs w:val="0"/>
                <w:szCs w:val="24"/>
              </w:rPr>
              <w:t>所提供产品涉及电源系统的，要求符合3C认证</w:t>
            </w:r>
          </w:p>
        </w:tc>
      </w:tr>
      <w:tr w14:paraId="7E3A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restart"/>
            <w:vAlign w:val="center"/>
          </w:tcPr>
          <w:p w14:paraId="26E50D8C">
            <w:pPr>
              <w:keepNext w:val="0"/>
              <w:keepLines w:val="0"/>
              <w:suppressLineNumbers w:val="0"/>
              <w:spacing w:before="0" w:beforeAutospacing="0" w:after="0" w:afterAutospacing="0"/>
              <w:ind w:left="0" w:right="0"/>
              <w:jc w:val="center"/>
              <w:rPr>
                <w:rFonts w:hint="eastAsia" w:eastAsia="宋体"/>
                <w:bCs w:val="0"/>
                <w:lang w:eastAsia="zh-CN"/>
              </w:rPr>
            </w:pPr>
            <w:r>
              <w:rPr>
                <w:rFonts w:hint="eastAsia"/>
                <w:bCs w:val="0"/>
                <w:lang w:val="en-US" w:eastAsia="zh-CN"/>
              </w:rPr>
              <w:t>3</w:t>
            </w:r>
          </w:p>
        </w:tc>
        <w:tc>
          <w:tcPr>
            <w:tcW w:w="1877" w:type="dxa"/>
            <w:vMerge w:val="restart"/>
            <w:vAlign w:val="center"/>
          </w:tcPr>
          <w:p w14:paraId="0AA35D41">
            <w:pPr>
              <w:keepNext w:val="0"/>
              <w:keepLines w:val="0"/>
              <w:suppressLineNumbers w:val="0"/>
              <w:spacing w:before="0" w:beforeAutospacing="0" w:after="0" w:afterAutospacing="0"/>
              <w:ind w:left="0" w:right="0"/>
              <w:jc w:val="center"/>
              <w:rPr>
                <w:rFonts w:hint="default"/>
              </w:rPr>
            </w:pPr>
            <w:r>
              <w:rPr>
                <w:rFonts w:hint="default"/>
              </w:rPr>
              <w:t>安装调试及验收</w:t>
            </w:r>
          </w:p>
        </w:tc>
        <w:tc>
          <w:tcPr>
            <w:tcW w:w="5832" w:type="dxa"/>
            <w:shd w:val="clear" w:color="auto" w:fill="auto"/>
            <w:vAlign w:val="top"/>
          </w:tcPr>
          <w:p w14:paraId="27B3573C">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bCs w:val="0"/>
                <w:kern w:val="2"/>
                <w:sz w:val="21"/>
                <w:szCs w:val="24"/>
                <w:lang w:val="en-US" w:eastAsia="zh-CN" w:bidi="ar-SA"/>
              </w:rPr>
            </w:pPr>
            <w:r>
              <w:rPr>
                <w:rFonts w:hint="default" w:ascii="Times New Roman" w:hAnsi="Times New Roman" w:eastAsia="宋体" w:cs="Times New Roman"/>
                <w:b w:val="0"/>
                <w:bCs w:val="0"/>
                <w:szCs w:val="24"/>
              </w:rPr>
              <w:t>★</w:t>
            </w:r>
            <w:r>
              <w:rPr>
                <w:rFonts w:hint="eastAsia"/>
                <w:bCs w:val="0"/>
                <w:szCs w:val="24"/>
                <w:lang w:val="en-US" w:eastAsia="zh-CN"/>
              </w:rPr>
              <w:t>3</w:t>
            </w:r>
            <w:r>
              <w:rPr>
                <w:rFonts w:hint="default"/>
                <w:bCs w:val="0"/>
                <w:szCs w:val="24"/>
              </w:rPr>
              <w:t>.</w:t>
            </w:r>
            <w:r>
              <w:rPr>
                <w:rFonts w:hint="default"/>
                <w:bCs w:val="0"/>
                <w:szCs w:val="24"/>
                <w:lang w:val="en-US" w:eastAsia="zh-CN"/>
              </w:rPr>
              <w:t>1</w:t>
            </w:r>
            <w:r>
              <w:rPr>
                <w:rFonts w:hint="default"/>
                <w:bCs w:val="0"/>
                <w:szCs w:val="24"/>
              </w:rPr>
              <w:t>由采购人按合同和招标、投标文件约定的要求和标准及中华人民共和国现行的验收规范和评定标准进行交货验收。</w:t>
            </w:r>
          </w:p>
        </w:tc>
      </w:tr>
      <w:tr w14:paraId="320A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0D8E2DBC">
            <w:pPr>
              <w:keepNext w:val="0"/>
              <w:keepLines w:val="0"/>
              <w:suppressLineNumbers w:val="0"/>
              <w:spacing w:before="0" w:beforeAutospacing="0" w:after="0" w:afterAutospacing="0"/>
              <w:ind w:left="0" w:right="0"/>
              <w:jc w:val="center"/>
              <w:rPr>
                <w:rFonts w:hint="default"/>
                <w:b w:val="0"/>
              </w:rPr>
            </w:pPr>
          </w:p>
        </w:tc>
        <w:tc>
          <w:tcPr>
            <w:tcW w:w="1877" w:type="dxa"/>
            <w:vMerge w:val="continue"/>
          </w:tcPr>
          <w:p w14:paraId="7C9A3EBD">
            <w:pPr>
              <w:keepNext w:val="0"/>
              <w:keepLines w:val="0"/>
              <w:suppressLineNumbers w:val="0"/>
              <w:spacing w:before="0" w:beforeAutospacing="0" w:after="0" w:afterAutospacing="0"/>
              <w:ind w:left="0" w:right="0"/>
              <w:jc w:val="center"/>
              <w:rPr>
                <w:rFonts w:hint="default"/>
                <w:b w:val="0"/>
              </w:rPr>
            </w:pPr>
          </w:p>
        </w:tc>
        <w:tc>
          <w:tcPr>
            <w:tcW w:w="5832" w:type="dxa"/>
            <w:shd w:val="clear" w:color="auto" w:fill="auto"/>
            <w:vAlign w:val="top"/>
          </w:tcPr>
          <w:p w14:paraId="6AB2CAD1">
            <w:pPr>
              <w:keepNext w:val="0"/>
              <w:keepLines w:val="0"/>
              <w:widowControl/>
              <w:suppressLineNumbers w:val="0"/>
              <w:spacing w:before="0" w:beforeAutospacing="0" w:after="0" w:afterAutospacing="0" w:line="240" w:lineRule="auto"/>
              <w:ind w:left="0" w:leftChars="0" w:right="0" w:rightChars="0"/>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b w:val="0"/>
                <w:bCs w:val="0"/>
                <w:szCs w:val="24"/>
              </w:rPr>
              <w:t>★</w:t>
            </w:r>
            <w:r>
              <w:rPr>
                <w:rFonts w:hint="eastAsia" w:cs="Times New Roman"/>
                <w:b w:val="0"/>
                <w:bCs w:val="0"/>
                <w:szCs w:val="24"/>
                <w:lang w:val="en-US" w:eastAsia="zh-CN"/>
              </w:rPr>
              <w:t>3</w:t>
            </w:r>
            <w:r>
              <w:rPr>
                <w:rFonts w:hint="default" w:ascii="Times New Roman" w:hAnsi="Times New Roman" w:eastAsia="宋体" w:cs="Times New Roman"/>
                <w:b w:val="0"/>
                <w:bCs w:val="0"/>
                <w:szCs w:val="24"/>
                <w:lang w:val="en-US" w:eastAsia="zh-CN"/>
              </w:rPr>
              <w:t>.2</w:t>
            </w:r>
            <w:r>
              <w:rPr>
                <w:rFonts w:hint="default" w:ascii="Times New Roman" w:hAnsi="Times New Roman" w:eastAsia="宋体" w:cs="Times New Roman"/>
                <w:bCs w:val="0"/>
                <w:szCs w:val="24"/>
              </w:rPr>
              <w:t>本项目家具成品验收要求：</w:t>
            </w:r>
            <w:r>
              <w:rPr>
                <w:rFonts w:hint="default" w:ascii="Times New Roman" w:hAnsi="Times New Roman" w:cs="Times New Roman"/>
                <w:bCs w:val="0"/>
                <w:szCs w:val="24"/>
                <w:lang w:val="en-US" w:eastAsia="zh-CN"/>
              </w:rPr>
              <w:t>所有</w:t>
            </w:r>
            <w:r>
              <w:rPr>
                <w:rFonts w:hint="eastAsia" w:cs="Times New Roman"/>
                <w:bCs w:val="0"/>
                <w:szCs w:val="24"/>
                <w:lang w:val="en-US" w:eastAsia="zh-CN"/>
              </w:rPr>
              <w:t>抽检的</w:t>
            </w:r>
            <w:r>
              <w:rPr>
                <w:rFonts w:hint="default" w:ascii="Times New Roman" w:hAnsi="Times New Roman" w:eastAsia="宋体" w:cs="Times New Roman"/>
                <w:bCs w:val="0"/>
                <w:szCs w:val="24"/>
              </w:rPr>
              <w:t>家具成品环保性能要求按照GB</w:t>
            </w:r>
            <w:r>
              <w:rPr>
                <w:rFonts w:hint="default" w:ascii="Times New Roman" w:hAnsi="Times New Roman" w:cs="Times New Roman"/>
                <w:bCs w:val="0"/>
                <w:szCs w:val="24"/>
                <w:lang w:val="en-US" w:eastAsia="zh-CN"/>
              </w:rPr>
              <w:t>/</w:t>
            </w:r>
            <w:r>
              <w:rPr>
                <w:rFonts w:hint="default" w:ascii="Times New Roman" w:hAnsi="Times New Roman" w:eastAsia="宋体" w:cs="Times New Roman"/>
                <w:bCs w:val="0"/>
                <w:szCs w:val="24"/>
              </w:rPr>
              <w:t>T 35607-20</w:t>
            </w:r>
            <w:r>
              <w:rPr>
                <w:rFonts w:hint="eastAsia" w:cs="Times New Roman"/>
                <w:bCs w:val="0"/>
                <w:szCs w:val="24"/>
                <w:lang w:val="en-US" w:eastAsia="zh-CN"/>
              </w:rPr>
              <w:t>24</w:t>
            </w:r>
            <w:r>
              <w:rPr>
                <w:rFonts w:hint="default" w:ascii="Times New Roman" w:hAnsi="Times New Roman" w:eastAsia="宋体" w:cs="Times New Roman"/>
                <w:bCs w:val="0"/>
                <w:szCs w:val="24"/>
              </w:rPr>
              <w:t xml:space="preserve"> 《绿色产品评价 家具》</w:t>
            </w:r>
            <w:r>
              <w:rPr>
                <w:rFonts w:hint="eastAsia"/>
              </w:rPr>
              <w:t>GB 18584-2024《家具中有害物质限量》</w:t>
            </w:r>
            <w:r>
              <w:rPr>
                <w:rFonts w:hint="default" w:ascii="Times New Roman" w:hAnsi="Times New Roman" w:eastAsia="宋体" w:cs="Times New Roman"/>
                <w:bCs w:val="0"/>
                <w:szCs w:val="24"/>
              </w:rPr>
              <w:t>，其余力学、理化、安全要求按照产品所对应的国家/行业及相关标准进行检测。家具监理方有权根据实际交货的产品确定检测标准，并制定本项目的原材料、半成品、成品的抽样检测方案。检测内容包括但不限于环保测试(含甲醛、TVOC、苯系物、重金属等)、安全测试(含力学强度、稳定性测试)、理化性能(含家具表面耐腐蚀、耐磨、耐划痕等)、外观结构等。</w:t>
            </w:r>
          </w:p>
        </w:tc>
      </w:tr>
      <w:tr w14:paraId="03BB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5A1361B2">
            <w:pPr>
              <w:keepNext w:val="0"/>
              <w:keepLines w:val="0"/>
              <w:suppressLineNumbers w:val="0"/>
              <w:spacing w:before="0" w:beforeAutospacing="0" w:after="0" w:afterAutospacing="0"/>
              <w:ind w:left="0" w:right="0"/>
              <w:jc w:val="center"/>
              <w:rPr>
                <w:rFonts w:hint="default"/>
                <w:b w:val="0"/>
              </w:rPr>
            </w:pPr>
          </w:p>
        </w:tc>
        <w:tc>
          <w:tcPr>
            <w:tcW w:w="1877" w:type="dxa"/>
            <w:vMerge w:val="continue"/>
          </w:tcPr>
          <w:p w14:paraId="612EFB86">
            <w:pPr>
              <w:keepNext w:val="0"/>
              <w:keepLines w:val="0"/>
              <w:suppressLineNumbers w:val="0"/>
              <w:spacing w:before="0" w:beforeAutospacing="0" w:after="0" w:afterAutospacing="0"/>
              <w:ind w:left="0" w:right="0"/>
              <w:jc w:val="center"/>
              <w:rPr>
                <w:rFonts w:hint="default"/>
                <w:b w:val="0"/>
              </w:rPr>
            </w:pPr>
          </w:p>
        </w:tc>
        <w:tc>
          <w:tcPr>
            <w:tcW w:w="5832" w:type="dxa"/>
            <w:shd w:val="clear" w:color="auto" w:fill="auto"/>
            <w:vAlign w:val="top"/>
          </w:tcPr>
          <w:p w14:paraId="20B1806D">
            <w:pPr>
              <w:keepNext w:val="0"/>
              <w:keepLines w:val="0"/>
              <w:widowControl/>
              <w:suppressLineNumbers w:val="0"/>
              <w:spacing w:before="0" w:beforeAutospacing="0" w:after="0" w:afterAutospacing="0" w:line="240" w:lineRule="auto"/>
              <w:ind w:left="0" w:leftChars="0" w:right="0" w:rightChars="0"/>
              <w:rPr>
                <w:rFonts w:hint="default"/>
                <w:b w:val="0"/>
                <w:bCs w:val="0"/>
                <w:kern w:val="2"/>
                <w:vertAlign w:val="baseline"/>
              </w:rPr>
            </w:pPr>
            <w:r>
              <w:rPr>
                <w:rFonts w:hint="default" w:ascii="Times New Roman" w:hAnsi="Times New Roman" w:eastAsia="宋体" w:cs="Times New Roman"/>
                <w:b w:val="0"/>
                <w:bCs w:val="0"/>
                <w:szCs w:val="24"/>
              </w:rPr>
              <w:t>★</w:t>
            </w:r>
            <w:r>
              <w:rPr>
                <w:rFonts w:hint="eastAsia"/>
                <w:b w:val="0"/>
                <w:bCs w:val="0"/>
                <w:kern w:val="2"/>
                <w:vertAlign w:val="baseline"/>
                <w:lang w:val="en-US" w:eastAsia="zh-CN"/>
              </w:rPr>
              <w:t>3.3</w:t>
            </w:r>
            <w:r>
              <w:rPr>
                <w:rFonts w:hint="default"/>
                <w:b w:val="0"/>
                <w:bCs w:val="0"/>
                <w:kern w:val="2"/>
                <w:vertAlign w:val="baseline"/>
              </w:rPr>
              <w:t>所有</w:t>
            </w:r>
            <w:r>
              <w:rPr>
                <w:rFonts w:hint="eastAsia" w:cs="Times New Roman"/>
                <w:bCs w:val="0"/>
                <w:szCs w:val="24"/>
                <w:lang w:val="en-US" w:eastAsia="zh-CN"/>
              </w:rPr>
              <w:t>抽检的</w:t>
            </w:r>
            <w:r>
              <w:rPr>
                <w:rFonts w:hint="default"/>
                <w:b w:val="0"/>
                <w:bCs w:val="0"/>
                <w:kern w:val="2"/>
                <w:vertAlign w:val="baseline"/>
              </w:rPr>
              <w:t>货物均应符合GB</w:t>
            </w:r>
            <w:r>
              <w:rPr>
                <w:rFonts w:hint="default"/>
                <w:b w:val="0"/>
                <w:bCs w:val="0"/>
                <w:kern w:val="2"/>
                <w:vertAlign w:val="baseline"/>
                <w:lang w:val="en-US" w:eastAsia="zh-CN"/>
              </w:rPr>
              <w:t>/</w:t>
            </w:r>
            <w:r>
              <w:rPr>
                <w:rFonts w:hint="default"/>
                <w:b w:val="0"/>
                <w:bCs w:val="0"/>
                <w:kern w:val="2"/>
                <w:vertAlign w:val="baseline"/>
              </w:rPr>
              <w:t>T 35607-20</w:t>
            </w:r>
            <w:r>
              <w:rPr>
                <w:rFonts w:hint="eastAsia"/>
                <w:b w:val="0"/>
                <w:bCs w:val="0"/>
                <w:kern w:val="2"/>
                <w:vertAlign w:val="baseline"/>
                <w:lang w:val="en-US" w:eastAsia="zh-CN"/>
              </w:rPr>
              <w:t>24</w:t>
            </w:r>
            <w:r>
              <w:rPr>
                <w:rFonts w:hint="default"/>
                <w:b w:val="0"/>
                <w:bCs w:val="0"/>
                <w:kern w:val="2"/>
                <w:vertAlign w:val="baseline"/>
              </w:rPr>
              <w:t xml:space="preserve"> 《绿色产品评价 家具》</w:t>
            </w:r>
            <w:r>
              <w:rPr>
                <w:rFonts w:hint="eastAsia"/>
              </w:rPr>
              <w:t>GB 18584-2024《家具中有害物质限量》</w:t>
            </w:r>
            <w:r>
              <w:rPr>
                <w:rFonts w:hint="default"/>
                <w:b w:val="0"/>
                <w:bCs w:val="0"/>
                <w:kern w:val="2"/>
                <w:vertAlign w:val="baseline"/>
              </w:rPr>
              <w:t>要求。送货安装后完成监理对货物抽样检测，如不合格，</w:t>
            </w:r>
            <w:r>
              <w:rPr>
                <w:rFonts w:hint="default"/>
                <w:b w:val="0"/>
                <w:bCs w:val="0"/>
                <w:kern w:val="2"/>
                <w:vertAlign w:val="baseline"/>
                <w:lang w:eastAsia="zh-CN"/>
              </w:rPr>
              <w:t>采购人有权对货物不予验收，</w:t>
            </w:r>
            <w:r>
              <w:rPr>
                <w:rFonts w:hint="default"/>
                <w:b w:val="0"/>
                <w:bCs w:val="0"/>
                <w:kern w:val="2"/>
                <w:vertAlign w:val="baseline"/>
                <w:lang w:val="en-US" w:eastAsia="zh-CN"/>
              </w:rPr>
              <w:t>中标人</w:t>
            </w:r>
            <w:r>
              <w:rPr>
                <w:rFonts w:hint="default" w:ascii="Times New Roman" w:hAnsi="Times New Roman" w:cs="Times New Roman"/>
                <w:b w:val="0"/>
                <w:bCs w:val="0"/>
                <w:szCs w:val="24"/>
                <w:lang w:eastAsia="zh-CN"/>
              </w:rPr>
              <w:t>应对不合格材料和样品做退场处理，</w:t>
            </w:r>
            <w:r>
              <w:rPr>
                <w:rFonts w:hint="default"/>
                <w:b w:val="0"/>
                <w:bCs w:val="0"/>
                <w:kern w:val="2"/>
                <w:vertAlign w:val="baseline"/>
                <w:lang w:eastAsia="zh-CN"/>
              </w:rPr>
              <w:t>由此产生的损失由中标人自行负责</w:t>
            </w:r>
            <w:r>
              <w:rPr>
                <w:rFonts w:hint="default"/>
                <w:b w:val="0"/>
                <w:bCs w:val="0"/>
                <w:kern w:val="2"/>
                <w:vertAlign w:val="baseline"/>
              </w:rPr>
              <w:t>。中标人应委托第三方检测机构对房间</w:t>
            </w:r>
            <w:r>
              <w:rPr>
                <w:rFonts w:hint="default"/>
                <w:b w:val="0"/>
                <w:bCs w:val="0"/>
                <w:kern w:val="2"/>
                <w:vertAlign w:val="baseline"/>
                <w:lang w:eastAsia="zh-CN"/>
              </w:rPr>
              <w:t>供货前、后的</w:t>
            </w:r>
            <w:r>
              <w:rPr>
                <w:rFonts w:hint="default"/>
                <w:b w:val="0"/>
                <w:bCs w:val="0"/>
                <w:kern w:val="2"/>
                <w:vertAlign w:val="baseline"/>
              </w:rPr>
              <w:t>空气质量</w:t>
            </w:r>
            <w:r>
              <w:rPr>
                <w:rFonts w:hint="default"/>
                <w:b w:val="0"/>
                <w:bCs w:val="0"/>
                <w:kern w:val="2"/>
                <w:vertAlign w:val="baseline"/>
                <w:lang w:eastAsia="zh-CN"/>
              </w:rPr>
              <w:t>进行</w:t>
            </w:r>
            <w:r>
              <w:rPr>
                <w:rFonts w:hint="default"/>
                <w:b w:val="0"/>
                <w:bCs w:val="0"/>
                <w:kern w:val="2"/>
                <w:vertAlign w:val="baseline"/>
              </w:rPr>
              <w:t>检测</w:t>
            </w:r>
            <w:r>
              <w:rPr>
                <w:rFonts w:hint="default"/>
                <w:b w:val="0"/>
                <w:bCs w:val="0"/>
                <w:kern w:val="2"/>
                <w:vertAlign w:val="baseline"/>
                <w:lang w:eastAsia="zh-CN"/>
              </w:rPr>
              <w:t>（</w:t>
            </w:r>
            <w:r>
              <w:rPr>
                <w:rFonts w:hint="default"/>
                <w:b w:val="0"/>
                <w:bCs w:val="0"/>
                <w:kern w:val="2"/>
                <w:vertAlign w:val="baseline"/>
                <w:lang w:val="en-US" w:eastAsia="zh-CN"/>
              </w:rPr>
              <w:t>检测点≥</w:t>
            </w:r>
            <w:r>
              <w:rPr>
                <w:rFonts w:hint="default" w:eastAsia="宋体"/>
                <w:b w:val="0"/>
                <w:bCs w:val="0"/>
                <w:kern w:val="2"/>
                <w:highlight w:val="none"/>
                <w:vertAlign w:val="baseline"/>
                <w:lang w:val="en-US" w:eastAsia="zh-CN"/>
              </w:rPr>
              <w:t>20</w:t>
            </w:r>
            <w:r>
              <w:rPr>
                <w:rFonts w:hint="default" w:eastAsia="宋体"/>
                <w:b w:val="0"/>
                <w:bCs w:val="0"/>
                <w:kern w:val="2"/>
                <w:vertAlign w:val="baseline"/>
                <w:lang w:val="en-US" w:eastAsia="zh-CN"/>
              </w:rPr>
              <w:t>个</w:t>
            </w:r>
            <w:r>
              <w:rPr>
                <w:rFonts w:hint="default" w:eastAsia="宋体"/>
                <w:b w:val="0"/>
                <w:bCs w:val="0"/>
                <w:kern w:val="2"/>
                <w:vertAlign w:val="baseline"/>
                <w:lang w:eastAsia="zh-CN"/>
              </w:rPr>
              <w:t>）</w:t>
            </w:r>
            <w:r>
              <w:rPr>
                <w:rFonts w:hint="default" w:eastAsia="宋体"/>
                <w:b w:val="0"/>
                <w:bCs w:val="0"/>
                <w:kern w:val="2"/>
                <w:vertAlign w:val="baseline"/>
              </w:rPr>
              <w:t>，</w:t>
            </w:r>
            <w:r>
              <w:rPr>
                <w:rFonts w:hint="default" w:ascii="Times New Roman" w:hAnsi="Times New Roman" w:eastAsia="宋体" w:cs="Times New Roman"/>
                <w:b w:val="0"/>
                <w:bCs w:val="0"/>
                <w:kern w:val="2"/>
                <w:szCs w:val="24"/>
              </w:rPr>
              <w:t>检测结果</w:t>
            </w:r>
            <w:r>
              <w:rPr>
                <w:rFonts w:hint="eastAsia" w:cs="Times New Roman"/>
                <w:b w:val="0"/>
                <w:bCs w:val="0"/>
                <w:kern w:val="2"/>
                <w:szCs w:val="24"/>
                <w:lang w:val="en-US" w:eastAsia="zh-CN"/>
              </w:rPr>
              <w:t>需</w:t>
            </w:r>
            <w:r>
              <w:rPr>
                <w:rFonts w:hint="default"/>
                <w:b w:val="0"/>
                <w:bCs w:val="0"/>
                <w:kern w:val="2"/>
                <w:vertAlign w:val="baseline"/>
              </w:rPr>
              <w:t>符合GB/T 18883-2022《室内空气质量标准》</w:t>
            </w:r>
            <w:r>
              <w:rPr>
                <w:rFonts w:hint="eastAsia"/>
                <w:b w:val="0"/>
                <w:bCs w:val="0"/>
                <w:kern w:val="2"/>
                <w:vertAlign w:val="baseline"/>
                <w:lang w:eastAsia="zh-CN"/>
              </w:rPr>
              <w:t>，</w:t>
            </w:r>
            <w:r>
              <w:rPr>
                <w:rFonts w:hint="default" w:ascii="Times New Roman" w:hAnsi="Times New Roman" w:eastAsia="宋体" w:cs="Times New Roman"/>
                <w:b w:val="0"/>
                <w:bCs w:val="0"/>
                <w:kern w:val="2"/>
                <w:szCs w:val="24"/>
              </w:rPr>
              <w:t>（至少包括以下五项，如有更新则以最新标准为准）：甲醛、苯、甲苯、二甲苯、总挥发性有机化合物（TVOC）</w:t>
            </w:r>
            <w:r>
              <w:rPr>
                <w:rFonts w:hint="default"/>
                <w:b w:val="0"/>
                <w:bCs w:val="0"/>
                <w:kern w:val="2"/>
                <w:vertAlign w:val="baseline"/>
              </w:rPr>
              <w:t>。如不能满足检测标准要求，</w:t>
            </w:r>
            <w:r>
              <w:rPr>
                <w:rFonts w:hint="default"/>
                <w:b w:val="0"/>
                <w:bCs w:val="0"/>
                <w:kern w:val="2"/>
                <w:vertAlign w:val="baseline"/>
                <w:lang w:eastAsia="zh-CN"/>
              </w:rPr>
              <w:t>中标人</w:t>
            </w:r>
            <w:r>
              <w:rPr>
                <w:rFonts w:hint="default"/>
                <w:b w:val="0"/>
                <w:bCs w:val="0"/>
                <w:kern w:val="2"/>
                <w:vertAlign w:val="baseline"/>
                <w:lang w:val="en-US" w:eastAsia="zh-CN"/>
              </w:rPr>
              <w:t>需</w:t>
            </w:r>
            <w:r>
              <w:rPr>
                <w:rFonts w:hint="default"/>
                <w:b w:val="0"/>
                <w:bCs w:val="0"/>
                <w:kern w:val="2"/>
                <w:vertAlign w:val="baseline"/>
              </w:rPr>
              <w:t>采取有效措施满足采购人使用需求</w:t>
            </w:r>
            <w:r>
              <w:rPr>
                <w:rFonts w:hint="default"/>
                <w:b w:val="0"/>
                <w:bCs w:val="0"/>
                <w:kern w:val="2"/>
                <w:vertAlign w:val="baseline"/>
                <w:lang w:eastAsia="zh-CN"/>
              </w:rPr>
              <w:t>，否则采购人有权对货物不予验收</w:t>
            </w:r>
            <w:r>
              <w:rPr>
                <w:rFonts w:hint="default"/>
                <w:b w:val="0"/>
                <w:bCs w:val="0"/>
                <w:kern w:val="2"/>
                <w:vertAlign w:val="baseline"/>
                <w:lang w:val="en-US" w:eastAsia="zh-CN"/>
              </w:rPr>
              <w:t>并做退场处理</w:t>
            </w:r>
            <w:r>
              <w:rPr>
                <w:rFonts w:hint="default"/>
                <w:b w:val="0"/>
                <w:bCs w:val="0"/>
                <w:kern w:val="2"/>
                <w:vertAlign w:val="baseline"/>
                <w:lang w:eastAsia="zh-CN"/>
              </w:rPr>
              <w:t>，由此产生的损失由中标人自行负责</w:t>
            </w:r>
            <w:r>
              <w:rPr>
                <w:rFonts w:hint="default"/>
                <w:b w:val="0"/>
                <w:bCs w:val="0"/>
                <w:kern w:val="2"/>
                <w:vertAlign w:val="baseline"/>
              </w:rPr>
              <w:t>。中标人需将此项检测费用考虑进投标报价中。</w:t>
            </w:r>
          </w:p>
        </w:tc>
      </w:tr>
      <w:tr w14:paraId="3E5E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47FAFEAA">
            <w:pPr>
              <w:keepNext w:val="0"/>
              <w:keepLines w:val="0"/>
              <w:suppressLineNumbers w:val="0"/>
              <w:spacing w:before="0" w:beforeAutospacing="0" w:after="0" w:afterAutospacing="0"/>
              <w:ind w:left="0" w:right="0"/>
              <w:jc w:val="center"/>
              <w:rPr>
                <w:rFonts w:hint="default"/>
                <w:b w:val="0"/>
              </w:rPr>
            </w:pPr>
          </w:p>
        </w:tc>
        <w:tc>
          <w:tcPr>
            <w:tcW w:w="1877" w:type="dxa"/>
            <w:vMerge w:val="continue"/>
          </w:tcPr>
          <w:p w14:paraId="185DF3E4">
            <w:pPr>
              <w:keepNext w:val="0"/>
              <w:keepLines w:val="0"/>
              <w:suppressLineNumbers w:val="0"/>
              <w:spacing w:before="0" w:beforeAutospacing="0" w:after="0" w:afterAutospacing="0"/>
              <w:ind w:left="0" w:right="0"/>
              <w:jc w:val="center"/>
              <w:rPr>
                <w:rFonts w:hint="default"/>
                <w:b w:val="0"/>
              </w:rPr>
            </w:pPr>
          </w:p>
        </w:tc>
        <w:tc>
          <w:tcPr>
            <w:tcW w:w="5832" w:type="dxa"/>
            <w:shd w:val="clear" w:color="auto" w:fill="auto"/>
            <w:vAlign w:val="top"/>
          </w:tcPr>
          <w:p w14:paraId="1A4AC1A5">
            <w:pPr>
              <w:keepNext w:val="0"/>
              <w:keepLines w:val="0"/>
              <w:widowControl/>
              <w:suppressLineNumbers w:val="0"/>
              <w:spacing w:before="0" w:beforeAutospacing="0" w:after="0" w:afterAutospacing="0" w:line="240" w:lineRule="auto"/>
              <w:ind w:left="0" w:leftChars="0" w:right="0" w:rightChars="0"/>
              <w:rPr>
                <w:rFonts w:hint="default"/>
                <w:b w:val="0"/>
                <w:bCs w:val="0"/>
                <w:kern w:val="2"/>
                <w:vertAlign w:val="baseline"/>
              </w:rPr>
            </w:pPr>
            <w:r>
              <w:rPr>
                <w:rFonts w:hint="default"/>
                <w:b w:val="0"/>
                <w:bCs w:val="0"/>
                <w:kern w:val="2"/>
                <w:vertAlign w:val="baseline"/>
              </w:rPr>
              <w:t>★</w:t>
            </w:r>
            <w:r>
              <w:rPr>
                <w:rFonts w:hint="eastAsia"/>
                <w:b w:val="0"/>
                <w:bCs w:val="0"/>
                <w:kern w:val="2"/>
                <w:vertAlign w:val="baseline"/>
                <w:lang w:val="en-US" w:eastAsia="zh-CN"/>
              </w:rPr>
              <w:t>3</w:t>
            </w:r>
            <w:r>
              <w:rPr>
                <w:rFonts w:hint="default"/>
                <w:b w:val="0"/>
                <w:bCs w:val="0"/>
                <w:kern w:val="2"/>
                <w:vertAlign w:val="baseline"/>
                <w:lang w:val="en-US" w:eastAsia="zh-CN"/>
              </w:rPr>
              <w:t>.</w:t>
            </w:r>
            <w:r>
              <w:rPr>
                <w:rFonts w:hint="eastAsia"/>
                <w:b w:val="0"/>
                <w:bCs w:val="0"/>
                <w:kern w:val="2"/>
                <w:vertAlign w:val="baseline"/>
                <w:lang w:val="en-US" w:eastAsia="zh-CN"/>
              </w:rPr>
              <w:t>4</w:t>
            </w:r>
            <w:r>
              <w:rPr>
                <w:rFonts w:hint="default"/>
                <w:b w:val="0"/>
                <w:bCs w:val="0"/>
                <w:kern w:val="2"/>
                <w:vertAlign w:val="baseline"/>
              </w:rPr>
              <w:t>当满足以下条件时，中标人向采购人发出货物验收申请：</w:t>
            </w:r>
          </w:p>
          <w:p w14:paraId="25F5A001">
            <w:pPr>
              <w:keepNext w:val="0"/>
              <w:keepLines w:val="0"/>
              <w:widowControl/>
              <w:suppressLineNumbers w:val="0"/>
              <w:spacing w:before="0" w:beforeAutospacing="0" w:after="0" w:afterAutospacing="0" w:line="240" w:lineRule="auto"/>
              <w:ind w:left="0" w:leftChars="0" w:right="0" w:rightChars="0"/>
              <w:rPr>
                <w:rFonts w:hint="default"/>
                <w:b w:val="0"/>
                <w:bCs w:val="0"/>
                <w:kern w:val="2"/>
                <w:vertAlign w:val="baseline"/>
              </w:rPr>
            </w:pPr>
            <w:r>
              <w:rPr>
                <w:rFonts w:hint="default"/>
                <w:b w:val="0"/>
                <w:bCs w:val="0"/>
                <w:kern w:val="2"/>
                <w:vertAlign w:val="baseline"/>
              </w:rPr>
              <w:t>（1）货物全新,外观无伤痕变形或明显修饰痕迹。</w:t>
            </w:r>
          </w:p>
          <w:p w14:paraId="3260E430">
            <w:pPr>
              <w:keepNext w:val="0"/>
              <w:keepLines w:val="0"/>
              <w:widowControl/>
              <w:suppressLineNumbers w:val="0"/>
              <w:spacing w:before="0" w:beforeAutospacing="0" w:after="0" w:afterAutospacing="0" w:line="240" w:lineRule="auto"/>
              <w:ind w:left="0" w:leftChars="0" w:right="0" w:rightChars="0"/>
              <w:rPr>
                <w:rFonts w:hint="default"/>
                <w:b w:val="0"/>
                <w:bCs w:val="0"/>
                <w:kern w:val="2"/>
                <w:vertAlign w:val="baseline"/>
              </w:rPr>
            </w:pPr>
            <w:r>
              <w:rPr>
                <w:rFonts w:hint="default"/>
                <w:b w:val="0"/>
                <w:bCs w:val="0"/>
                <w:kern w:val="2"/>
                <w:vertAlign w:val="baseline"/>
              </w:rPr>
              <w:t>（2）如有国标，符合有关规定；如无国标，则按照行业标准；如无国标及行业标准，则按双方书面约定执行。货物的技术数据经第三方专业机构检测实测证实是真实的。</w:t>
            </w:r>
          </w:p>
          <w:p w14:paraId="29DE09F9">
            <w:pPr>
              <w:keepNext w:val="0"/>
              <w:keepLines w:val="0"/>
              <w:widowControl/>
              <w:suppressLineNumbers w:val="0"/>
              <w:spacing w:before="0" w:beforeAutospacing="0" w:after="0" w:afterAutospacing="0" w:line="240" w:lineRule="auto"/>
              <w:ind w:left="0" w:leftChars="0" w:right="0" w:rightChars="0"/>
              <w:rPr>
                <w:rFonts w:hint="default"/>
                <w:b w:val="0"/>
                <w:bCs w:val="0"/>
                <w:kern w:val="2"/>
                <w:vertAlign w:val="baseline"/>
              </w:rPr>
            </w:pPr>
            <w:r>
              <w:rPr>
                <w:rFonts w:hint="default"/>
                <w:b w:val="0"/>
                <w:bCs w:val="0"/>
                <w:kern w:val="2"/>
                <w:vertAlign w:val="baseline"/>
              </w:rPr>
              <w:t>（3）技术文件资料、备件等已按采购人要求移交完毕。</w:t>
            </w:r>
          </w:p>
          <w:p w14:paraId="7CBEDF64">
            <w:pPr>
              <w:keepNext w:val="0"/>
              <w:keepLines w:val="0"/>
              <w:widowControl/>
              <w:suppressLineNumbers w:val="0"/>
              <w:spacing w:before="0" w:beforeAutospacing="0" w:after="0" w:afterAutospacing="0" w:line="240" w:lineRule="auto"/>
              <w:ind w:left="0" w:leftChars="0" w:right="0" w:rightChars="0"/>
              <w:rPr>
                <w:rFonts w:hint="default"/>
                <w:b w:val="0"/>
                <w:bCs w:val="0"/>
                <w:kern w:val="2"/>
                <w:vertAlign w:val="baseline"/>
              </w:rPr>
            </w:pPr>
            <w:r>
              <w:rPr>
                <w:rFonts w:hint="default"/>
                <w:b w:val="0"/>
                <w:bCs w:val="0"/>
                <w:kern w:val="2"/>
                <w:vertAlign w:val="baseline"/>
              </w:rPr>
              <w:t>（4）投标人提供的各种文件载明的内容真实，其技术数据采购人有权要求投标人无偿提供采购人认可的第三方按照双方同意的试验方法进行检测。检测结果必须证明投标人提供的技术数据是真实的，否则视为不合格。</w:t>
            </w:r>
          </w:p>
          <w:p w14:paraId="3773C27D">
            <w:pPr>
              <w:keepNext w:val="0"/>
              <w:keepLines w:val="0"/>
              <w:widowControl/>
              <w:suppressLineNumbers w:val="0"/>
              <w:spacing w:before="0" w:beforeAutospacing="0" w:after="0" w:afterAutospacing="0" w:line="240" w:lineRule="auto"/>
              <w:ind w:left="0" w:leftChars="0" w:right="0" w:rightChars="0"/>
              <w:rPr>
                <w:rFonts w:hint="default"/>
                <w:b w:val="0"/>
                <w:bCs w:val="0"/>
                <w:kern w:val="2"/>
                <w:vertAlign w:val="baseline"/>
              </w:rPr>
            </w:pPr>
            <w:r>
              <w:rPr>
                <w:rFonts w:hint="default"/>
                <w:b w:val="0"/>
                <w:bCs w:val="0"/>
                <w:kern w:val="2"/>
                <w:vertAlign w:val="baseline"/>
              </w:rPr>
              <w:t>（5）所有货物尺寸规格需满足采购人需求，且具备货物合格证。</w:t>
            </w:r>
          </w:p>
          <w:p w14:paraId="70C21A32">
            <w:pPr>
              <w:keepNext w:val="0"/>
              <w:keepLines w:val="0"/>
              <w:widowControl/>
              <w:suppressLineNumbers w:val="0"/>
              <w:spacing w:before="0" w:beforeAutospacing="0" w:after="0" w:afterAutospacing="0" w:line="240" w:lineRule="auto"/>
              <w:ind w:left="0" w:leftChars="0" w:right="0" w:rightChars="0"/>
              <w:rPr>
                <w:rFonts w:hint="default"/>
                <w:b w:val="0"/>
                <w:bCs w:val="0"/>
                <w:kern w:val="2"/>
                <w:vertAlign w:val="baseline"/>
                <w:lang w:val="en-US" w:eastAsia="zh-CN"/>
              </w:rPr>
            </w:pPr>
            <w:r>
              <w:rPr>
                <w:rFonts w:hint="default"/>
                <w:b w:val="0"/>
                <w:bCs w:val="0"/>
                <w:kern w:val="2"/>
                <w:vertAlign w:val="baseline"/>
              </w:rPr>
              <w:t>（6）在货物安装调试完成并满足前述条件，经第三方监理机构验收合格后签署验收报告。</w:t>
            </w:r>
          </w:p>
        </w:tc>
      </w:tr>
      <w:tr w14:paraId="6D86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5AC94D8C">
            <w:pPr>
              <w:keepNext w:val="0"/>
              <w:keepLines w:val="0"/>
              <w:suppressLineNumbers w:val="0"/>
              <w:spacing w:before="0" w:beforeAutospacing="0" w:after="0" w:afterAutospacing="0"/>
              <w:ind w:left="0" w:right="0"/>
              <w:jc w:val="center"/>
              <w:rPr>
                <w:rFonts w:hint="default"/>
                <w:b w:val="0"/>
              </w:rPr>
            </w:pPr>
          </w:p>
        </w:tc>
        <w:tc>
          <w:tcPr>
            <w:tcW w:w="1877" w:type="dxa"/>
            <w:vMerge w:val="continue"/>
          </w:tcPr>
          <w:p w14:paraId="7267EDEC">
            <w:pPr>
              <w:keepNext w:val="0"/>
              <w:keepLines w:val="0"/>
              <w:suppressLineNumbers w:val="0"/>
              <w:spacing w:before="0" w:beforeAutospacing="0" w:after="0" w:afterAutospacing="0"/>
              <w:ind w:left="0" w:right="0"/>
              <w:jc w:val="center"/>
              <w:rPr>
                <w:rFonts w:hint="default"/>
                <w:b w:val="0"/>
              </w:rPr>
            </w:pPr>
          </w:p>
        </w:tc>
        <w:tc>
          <w:tcPr>
            <w:tcW w:w="5832" w:type="dxa"/>
            <w:shd w:val="clear" w:color="auto" w:fill="auto"/>
            <w:vAlign w:val="top"/>
          </w:tcPr>
          <w:p w14:paraId="0F5410D4">
            <w:pPr>
              <w:keepNext w:val="0"/>
              <w:keepLines w:val="0"/>
              <w:suppressLineNumbers w:val="0"/>
              <w:spacing w:before="0" w:beforeAutospacing="0" w:after="0" w:afterAutospacing="0" w:line="240" w:lineRule="auto"/>
              <w:ind w:left="0" w:right="0"/>
              <w:rPr>
                <w:rFonts w:hint="default" w:ascii="Times New Roman" w:hAnsi="Times New Roman" w:cs="Times New Roman"/>
                <w:szCs w:val="24"/>
                <w:lang w:eastAsia="zh-CN"/>
              </w:rPr>
            </w:pPr>
            <w:r>
              <w:rPr>
                <w:rFonts w:hint="default" w:ascii="Times New Roman" w:hAnsi="Times New Roman" w:eastAsia="宋体" w:cs="Times New Roman"/>
                <w:b w:val="0"/>
                <w:bCs w:val="0"/>
                <w:szCs w:val="24"/>
              </w:rPr>
              <w:t>★</w:t>
            </w:r>
            <w:r>
              <w:rPr>
                <w:rFonts w:hint="eastAsia" w:cs="Times New Roman"/>
                <w:szCs w:val="24"/>
                <w:lang w:val="en-US" w:eastAsia="zh-CN"/>
              </w:rPr>
              <w:t>3</w:t>
            </w:r>
            <w:r>
              <w:rPr>
                <w:rFonts w:hint="default" w:ascii="Times New Roman" w:hAnsi="Times New Roman" w:cs="Times New Roman"/>
                <w:szCs w:val="24"/>
                <w:lang w:val="en-US" w:eastAsia="zh-CN"/>
              </w:rPr>
              <w:t>.</w:t>
            </w:r>
            <w:r>
              <w:rPr>
                <w:rFonts w:hint="eastAsia" w:cs="Times New Roman"/>
                <w:szCs w:val="24"/>
                <w:lang w:val="en-US" w:eastAsia="zh-CN"/>
              </w:rPr>
              <w:t>5</w:t>
            </w:r>
            <w:r>
              <w:rPr>
                <w:rFonts w:hint="default" w:ascii="Times New Roman" w:hAnsi="Times New Roman" w:cs="Times New Roman"/>
                <w:szCs w:val="24"/>
                <w:lang w:eastAsia="zh-CN"/>
              </w:rPr>
              <w:t>当满足以下条件时，采购人才向中标人签发货物验收报告：</w:t>
            </w:r>
          </w:p>
          <w:p w14:paraId="15824E28">
            <w:pPr>
              <w:keepNext w:val="0"/>
              <w:keepLines w:val="0"/>
              <w:suppressLineNumbers w:val="0"/>
              <w:spacing w:before="0" w:beforeAutospacing="0" w:after="0" w:afterAutospacing="0" w:line="240" w:lineRule="auto"/>
              <w:ind w:left="0" w:right="0"/>
              <w:rPr>
                <w:rFonts w:hint="default" w:ascii="Times New Roman" w:hAnsi="Times New Roman" w:cs="Times New Roman"/>
                <w:szCs w:val="24"/>
                <w:lang w:eastAsia="zh-CN"/>
              </w:rPr>
            </w:pPr>
            <w:r>
              <w:rPr>
                <w:rFonts w:hint="default" w:ascii="Times New Roman" w:hAnsi="Times New Roman" w:cs="Times New Roman"/>
                <w:szCs w:val="24"/>
                <w:lang w:eastAsia="zh-CN"/>
              </w:rPr>
              <w:t>a、中标人已按照合同规定提供了全部产品及完整的技术资料。</w:t>
            </w:r>
          </w:p>
          <w:p w14:paraId="1EE954DC">
            <w:pPr>
              <w:keepNext w:val="0"/>
              <w:keepLines w:val="0"/>
              <w:suppressLineNumbers w:val="0"/>
              <w:spacing w:before="0" w:beforeAutospacing="0" w:after="0" w:afterAutospacing="0" w:line="240" w:lineRule="auto"/>
              <w:ind w:left="0" w:right="0"/>
              <w:rPr>
                <w:rFonts w:hint="default" w:ascii="Times New Roman" w:hAnsi="Times New Roman" w:cs="Times New Roman"/>
                <w:szCs w:val="24"/>
                <w:lang w:eastAsia="zh-CN"/>
              </w:rPr>
            </w:pPr>
            <w:r>
              <w:rPr>
                <w:rFonts w:hint="default" w:ascii="Times New Roman" w:hAnsi="Times New Roman" w:cs="Times New Roman"/>
                <w:szCs w:val="24"/>
                <w:lang w:eastAsia="zh-CN"/>
              </w:rPr>
              <w:t>b、货物符合投标文件技术响应的要求，性能满足要求。</w:t>
            </w:r>
          </w:p>
          <w:p w14:paraId="3979C8EB">
            <w:pPr>
              <w:keepNext w:val="0"/>
              <w:keepLines w:val="0"/>
              <w:suppressLineNumbers w:val="0"/>
              <w:spacing w:before="0" w:beforeAutospacing="0" w:after="0" w:afterAutospacing="0" w:line="240" w:lineRule="auto"/>
              <w:ind w:left="0" w:right="0"/>
              <w:rPr>
                <w:rFonts w:hint="default" w:ascii="Times New Roman" w:hAnsi="Times New Roman" w:cs="Times New Roman"/>
                <w:szCs w:val="24"/>
                <w:lang w:eastAsia="zh-CN"/>
              </w:rPr>
            </w:pPr>
            <w:r>
              <w:rPr>
                <w:rFonts w:hint="default" w:ascii="Times New Roman" w:hAnsi="Times New Roman" w:cs="Times New Roman"/>
                <w:szCs w:val="24"/>
                <w:lang w:eastAsia="zh-CN"/>
              </w:rPr>
              <w:t>c、货物具备产品合格证。</w:t>
            </w:r>
          </w:p>
          <w:p w14:paraId="5AEA8EAF">
            <w:pPr>
              <w:keepNext w:val="0"/>
              <w:keepLines w:val="0"/>
              <w:suppressLineNumbers w:val="0"/>
              <w:spacing w:before="0" w:beforeAutospacing="0" w:after="0" w:afterAutospacing="0" w:line="240" w:lineRule="auto"/>
              <w:ind w:left="0" w:right="0"/>
              <w:rPr>
                <w:rFonts w:hint="default" w:ascii="Times New Roman" w:hAnsi="Times New Roman" w:cs="Times New Roman"/>
                <w:szCs w:val="24"/>
                <w:lang w:eastAsia="zh-CN"/>
              </w:rPr>
            </w:pPr>
            <w:r>
              <w:rPr>
                <w:rFonts w:hint="default" w:ascii="Times New Roman" w:hAnsi="Times New Roman" w:cs="Times New Roman"/>
                <w:szCs w:val="24"/>
                <w:lang w:val="en-US" w:eastAsia="zh-CN"/>
              </w:rPr>
              <w:t>d、家具监理机构出具的质量验收报告。</w:t>
            </w:r>
          </w:p>
        </w:tc>
      </w:tr>
      <w:tr w14:paraId="27DB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42A57A04">
            <w:pPr>
              <w:keepNext w:val="0"/>
              <w:keepLines w:val="0"/>
              <w:suppressLineNumbers w:val="0"/>
              <w:spacing w:before="0" w:beforeAutospacing="0" w:after="0" w:afterAutospacing="0"/>
              <w:ind w:left="0" w:right="0"/>
              <w:jc w:val="center"/>
              <w:rPr>
                <w:rFonts w:hint="default"/>
                <w:b w:val="0"/>
              </w:rPr>
            </w:pPr>
          </w:p>
        </w:tc>
        <w:tc>
          <w:tcPr>
            <w:tcW w:w="1877" w:type="dxa"/>
            <w:vMerge w:val="continue"/>
          </w:tcPr>
          <w:p w14:paraId="1E076597">
            <w:pPr>
              <w:keepNext w:val="0"/>
              <w:keepLines w:val="0"/>
              <w:suppressLineNumbers w:val="0"/>
              <w:spacing w:before="0" w:beforeAutospacing="0" w:after="0" w:afterAutospacing="0"/>
              <w:ind w:left="0" w:right="0"/>
              <w:jc w:val="center"/>
              <w:rPr>
                <w:rFonts w:hint="default"/>
                <w:b w:val="0"/>
              </w:rPr>
            </w:pPr>
          </w:p>
        </w:tc>
        <w:tc>
          <w:tcPr>
            <w:tcW w:w="5832" w:type="dxa"/>
            <w:shd w:val="clear" w:color="auto" w:fill="auto"/>
            <w:vAlign w:val="top"/>
          </w:tcPr>
          <w:p w14:paraId="092CF31B">
            <w:pPr>
              <w:keepNext w:val="0"/>
              <w:keepLines w:val="0"/>
              <w:suppressLineNumbers w:val="0"/>
              <w:spacing w:before="0" w:beforeAutospacing="0" w:after="0" w:afterAutospacing="0" w:line="240" w:lineRule="auto"/>
              <w:ind w:left="0" w:right="0"/>
              <w:rPr>
                <w:rFonts w:hint="default" w:ascii="Times New Roman" w:hAnsi="Times New Roman" w:cs="Times New Roman"/>
                <w:szCs w:val="24"/>
                <w:lang w:eastAsia="zh-CN"/>
              </w:rPr>
            </w:pPr>
            <w:r>
              <w:rPr>
                <w:rFonts w:hint="default" w:ascii="Times New Roman" w:hAnsi="Times New Roman" w:eastAsia="宋体" w:cs="Times New Roman"/>
                <w:b w:val="0"/>
                <w:bCs w:val="0"/>
                <w:szCs w:val="24"/>
              </w:rPr>
              <w:t>★</w:t>
            </w:r>
            <w:r>
              <w:rPr>
                <w:rFonts w:hint="eastAsia" w:cs="Times New Roman"/>
                <w:bCs w:val="0"/>
                <w:szCs w:val="24"/>
                <w:lang w:val="en-US" w:eastAsia="zh-CN"/>
              </w:rPr>
              <w:t>3</w:t>
            </w:r>
            <w:r>
              <w:rPr>
                <w:rFonts w:hint="default" w:ascii="Times New Roman" w:hAnsi="Times New Roman" w:cs="Times New Roman"/>
                <w:bCs w:val="0"/>
                <w:szCs w:val="24"/>
                <w:lang w:val="en-US" w:eastAsia="zh-CN"/>
              </w:rPr>
              <w:t>.</w:t>
            </w:r>
            <w:r>
              <w:rPr>
                <w:rFonts w:hint="eastAsia" w:cs="Times New Roman"/>
                <w:bCs w:val="0"/>
                <w:szCs w:val="24"/>
                <w:lang w:val="en-US" w:eastAsia="zh-CN"/>
              </w:rPr>
              <w:t>6</w:t>
            </w:r>
            <w:r>
              <w:rPr>
                <w:rFonts w:hint="default" w:ascii="Times New Roman" w:hAnsi="Times New Roman" w:eastAsia="宋体" w:cs="Times New Roman"/>
                <w:bCs w:val="0"/>
                <w:szCs w:val="24"/>
                <w:lang w:eastAsia="zh-CN"/>
              </w:rPr>
              <w:t>中标人</w:t>
            </w:r>
            <w:r>
              <w:rPr>
                <w:rFonts w:hint="default" w:ascii="Times New Roman" w:hAnsi="Times New Roman" w:eastAsia="宋体" w:cs="Times New Roman"/>
                <w:bCs w:val="0"/>
                <w:szCs w:val="24"/>
              </w:rPr>
              <w:t>货物经过双方检验认可后，签署验收报告，产品保修期自验收合格之日起算，由</w:t>
            </w:r>
            <w:r>
              <w:rPr>
                <w:rFonts w:hint="default" w:ascii="Times New Roman" w:hAnsi="Times New Roman" w:eastAsia="宋体" w:cs="Times New Roman"/>
                <w:bCs w:val="0"/>
                <w:szCs w:val="24"/>
                <w:lang w:eastAsia="zh-CN"/>
              </w:rPr>
              <w:t>中标人</w:t>
            </w:r>
            <w:r>
              <w:rPr>
                <w:rFonts w:hint="default" w:ascii="Times New Roman" w:hAnsi="Times New Roman" w:eastAsia="宋体" w:cs="Times New Roman"/>
                <w:bCs w:val="0"/>
                <w:szCs w:val="24"/>
              </w:rPr>
              <w:t>提供产品保修文件。</w:t>
            </w:r>
          </w:p>
        </w:tc>
      </w:tr>
      <w:tr w14:paraId="3E08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1237D59B">
            <w:pPr>
              <w:keepNext w:val="0"/>
              <w:keepLines w:val="0"/>
              <w:suppressLineNumbers w:val="0"/>
              <w:spacing w:before="0" w:beforeAutospacing="0" w:after="0" w:afterAutospacing="0"/>
              <w:ind w:left="0" w:right="0"/>
              <w:jc w:val="center"/>
              <w:rPr>
                <w:rFonts w:hint="default"/>
                <w:b w:val="0"/>
              </w:rPr>
            </w:pPr>
          </w:p>
        </w:tc>
        <w:tc>
          <w:tcPr>
            <w:tcW w:w="1877" w:type="dxa"/>
            <w:vMerge w:val="continue"/>
          </w:tcPr>
          <w:p w14:paraId="3C8E59D8">
            <w:pPr>
              <w:keepNext w:val="0"/>
              <w:keepLines w:val="0"/>
              <w:suppressLineNumbers w:val="0"/>
              <w:spacing w:before="0" w:beforeAutospacing="0" w:after="0" w:afterAutospacing="0"/>
              <w:ind w:left="0" w:right="0"/>
              <w:jc w:val="center"/>
              <w:rPr>
                <w:rFonts w:hint="default"/>
                <w:b w:val="0"/>
              </w:rPr>
            </w:pPr>
          </w:p>
        </w:tc>
        <w:tc>
          <w:tcPr>
            <w:tcW w:w="5832" w:type="dxa"/>
            <w:shd w:val="clear" w:color="auto" w:fill="auto"/>
            <w:vAlign w:val="top"/>
          </w:tcPr>
          <w:p w14:paraId="3A53F11E">
            <w:pPr>
              <w:keepNext w:val="0"/>
              <w:keepLines w:val="0"/>
              <w:suppressLineNumbers w:val="0"/>
              <w:spacing w:before="0" w:beforeAutospacing="0" w:after="0" w:afterAutospacing="0" w:line="240" w:lineRule="auto"/>
              <w:ind w:left="0" w:right="0"/>
              <w:rPr>
                <w:rFonts w:hint="default" w:ascii="Times New Roman" w:hAnsi="Times New Roman" w:cs="Times New Roman"/>
                <w:szCs w:val="24"/>
                <w:lang w:eastAsia="zh-CN"/>
              </w:rPr>
            </w:pPr>
            <w:r>
              <w:rPr>
                <w:rFonts w:hint="default" w:ascii="Times New Roman" w:hAnsi="Times New Roman" w:eastAsia="宋体" w:cs="Times New Roman"/>
                <w:b w:val="0"/>
                <w:bCs w:val="0"/>
                <w:szCs w:val="24"/>
              </w:rPr>
              <w:t>★</w:t>
            </w:r>
            <w:r>
              <w:rPr>
                <w:rFonts w:hint="eastAsia" w:cs="Times New Roman"/>
                <w:szCs w:val="24"/>
                <w:lang w:val="en-US" w:eastAsia="zh-CN"/>
              </w:rPr>
              <w:t>3</w:t>
            </w:r>
            <w:r>
              <w:rPr>
                <w:rFonts w:hint="default" w:ascii="Times New Roman" w:hAnsi="Times New Roman" w:cs="Times New Roman"/>
                <w:szCs w:val="24"/>
                <w:lang w:val="en-US" w:eastAsia="zh-CN"/>
              </w:rPr>
              <w:t>.</w:t>
            </w:r>
            <w:r>
              <w:rPr>
                <w:rFonts w:hint="eastAsia" w:cs="Times New Roman"/>
                <w:szCs w:val="24"/>
                <w:lang w:val="en-US" w:eastAsia="zh-CN"/>
              </w:rPr>
              <w:t>7</w:t>
            </w:r>
            <w:r>
              <w:rPr>
                <w:rFonts w:hint="default" w:ascii="Times New Roman" w:hAnsi="Times New Roman" w:cs="Times New Roman"/>
                <w:szCs w:val="24"/>
                <w:lang w:eastAsia="zh-CN"/>
              </w:rPr>
              <w:t>验收中如发现有质量不合格或型号规格、数量等与送货清单不符等情况，中标人应免费更换或补齐。若中标人不予更换或补齐，采购人有权要求中标人全额退还已付货款。</w:t>
            </w:r>
          </w:p>
        </w:tc>
      </w:tr>
      <w:tr w14:paraId="3508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3C25EBBA">
            <w:pPr>
              <w:keepNext w:val="0"/>
              <w:keepLines w:val="0"/>
              <w:suppressLineNumbers w:val="0"/>
              <w:spacing w:before="0" w:beforeAutospacing="0" w:after="0" w:afterAutospacing="0"/>
              <w:ind w:left="0" w:right="0"/>
              <w:jc w:val="center"/>
              <w:rPr>
                <w:rFonts w:hint="default"/>
                <w:b w:val="0"/>
              </w:rPr>
            </w:pPr>
          </w:p>
        </w:tc>
        <w:tc>
          <w:tcPr>
            <w:tcW w:w="1877" w:type="dxa"/>
            <w:vMerge w:val="continue"/>
          </w:tcPr>
          <w:p w14:paraId="7A374F30">
            <w:pPr>
              <w:keepNext w:val="0"/>
              <w:keepLines w:val="0"/>
              <w:suppressLineNumbers w:val="0"/>
              <w:spacing w:before="0" w:beforeAutospacing="0" w:after="0" w:afterAutospacing="0"/>
              <w:ind w:left="0" w:right="0"/>
              <w:jc w:val="center"/>
              <w:rPr>
                <w:rFonts w:hint="default"/>
                <w:b w:val="0"/>
              </w:rPr>
            </w:pPr>
          </w:p>
        </w:tc>
        <w:tc>
          <w:tcPr>
            <w:tcW w:w="5832" w:type="dxa"/>
            <w:shd w:val="clear" w:color="auto" w:fill="auto"/>
            <w:vAlign w:val="top"/>
          </w:tcPr>
          <w:p w14:paraId="115643CC">
            <w:pPr>
              <w:keepNext w:val="0"/>
              <w:keepLines w:val="0"/>
              <w:suppressLineNumbers w:val="0"/>
              <w:spacing w:before="0" w:beforeAutospacing="0" w:after="0" w:afterAutospacing="0" w:line="240" w:lineRule="auto"/>
              <w:ind w:left="0" w:right="0"/>
              <w:rPr>
                <w:rFonts w:hint="default" w:ascii="Times New Roman" w:hAnsi="Times New Roman" w:cs="Times New Roman"/>
                <w:szCs w:val="24"/>
                <w:lang w:eastAsia="zh-CN"/>
              </w:rPr>
            </w:pPr>
            <w:r>
              <w:rPr>
                <w:rFonts w:hint="default" w:ascii="Times New Roman" w:hAnsi="Times New Roman" w:eastAsia="宋体" w:cs="Times New Roman"/>
                <w:b w:val="0"/>
                <w:bCs w:val="0"/>
                <w:szCs w:val="24"/>
              </w:rPr>
              <w:t>★</w:t>
            </w:r>
            <w:r>
              <w:rPr>
                <w:rFonts w:hint="eastAsia" w:cs="Times New Roman"/>
                <w:szCs w:val="24"/>
                <w:lang w:val="en-US" w:eastAsia="zh-CN"/>
              </w:rPr>
              <w:t>3</w:t>
            </w:r>
            <w:r>
              <w:rPr>
                <w:rFonts w:hint="default" w:ascii="Times New Roman" w:hAnsi="Times New Roman" w:cs="Times New Roman"/>
                <w:szCs w:val="24"/>
                <w:lang w:val="en-US" w:eastAsia="zh-CN"/>
              </w:rPr>
              <w:t>.</w:t>
            </w:r>
            <w:r>
              <w:rPr>
                <w:rFonts w:hint="eastAsia" w:cs="Times New Roman"/>
                <w:szCs w:val="24"/>
                <w:lang w:val="en-US" w:eastAsia="zh-CN"/>
              </w:rPr>
              <w:t>8</w:t>
            </w:r>
            <w:r>
              <w:rPr>
                <w:rFonts w:hint="default" w:ascii="Times New Roman" w:hAnsi="Times New Roman" w:cs="Times New Roman"/>
                <w:szCs w:val="24"/>
                <w:lang w:eastAsia="zh-CN"/>
              </w:rPr>
              <w:t>中标人</w:t>
            </w:r>
            <w:r>
              <w:rPr>
                <w:rFonts w:hint="default" w:ascii="Times New Roman" w:hAnsi="Times New Roman" w:cs="Times New Roman"/>
                <w:szCs w:val="24"/>
              </w:rPr>
              <w:t>承担的设备运输、安装调试和提供设备操作说明书、图纸等其他类似的义务。</w:t>
            </w:r>
          </w:p>
        </w:tc>
      </w:tr>
      <w:tr w14:paraId="1EF7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279CAD07">
            <w:pPr>
              <w:keepNext w:val="0"/>
              <w:keepLines w:val="0"/>
              <w:suppressLineNumbers w:val="0"/>
              <w:spacing w:before="0" w:beforeAutospacing="0" w:after="0" w:afterAutospacing="0"/>
              <w:ind w:left="0" w:right="0"/>
              <w:jc w:val="center"/>
              <w:rPr>
                <w:rFonts w:hint="default"/>
                <w:b w:val="0"/>
              </w:rPr>
            </w:pPr>
          </w:p>
        </w:tc>
        <w:tc>
          <w:tcPr>
            <w:tcW w:w="1877" w:type="dxa"/>
            <w:vMerge w:val="continue"/>
          </w:tcPr>
          <w:p w14:paraId="469DBFAF">
            <w:pPr>
              <w:keepNext w:val="0"/>
              <w:keepLines w:val="0"/>
              <w:suppressLineNumbers w:val="0"/>
              <w:spacing w:before="0" w:beforeAutospacing="0" w:after="0" w:afterAutospacing="0"/>
              <w:ind w:left="0" w:right="0"/>
              <w:jc w:val="center"/>
              <w:rPr>
                <w:rFonts w:hint="default"/>
                <w:b w:val="0"/>
              </w:rPr>
            </w:pPr>
          </w:p>
        </w:tc>
        <w:tc>
          <w:tcPr>
            <w:tcW w:w="5832" w:type="dxa"/>
            <w:shd w:val="clear" w:color="auto" w:fill="auto"/>
            <w:vAlign w:val="top"/>
          </w:tcPr>
          <w:p w14:paraId="1F257508">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bCs w:val="0"/>
                <w:kern w:val="2"/>
                <w:sz w:val="21"/>
                <w:szCs w:val="24"/>
                <w:lang w:val="en-US" w:eastAsia="zh-CN" w:bidi="ar-SA"/>
              </w:rPr>
            </w:pPr>
            <w:r>
              <w:rPr>
                <w:rFonts w:hint="default" w:ascii="Times New Roman" w:hAnsi="Times New Roman" w:eastAsia="宋体" w:cs="Times New Roman"/>
                <w:b w:val="0"/>
                <w:bCs w:val="0"/>
                <w:szCs w:val="24"/>
              </w:rPr>
              <w:t>★</w:t>
            </w:r>
            <w:r>
              <w:rPr>
                <w:rFonts w:hint="eastAsia" w:cs="Times New Roman"/>
                <w:szCs w:val="24"/>
                <w:lang w:val="en-US" w:eastAsia="zh-CN"/>
              </w:rPr>
              <w:t>3</w:t>
            </w:r>
            <w:r>
              <w:rPr>
                <w:rFonts w:hint="default" w:ascii="Times New Roman" w:hAnsi="Times New Roman" w:cs="Times New Roman"/>
                <w:szCs w:val="24"/>
                <w:lang w:val="en-US" w:eastAsia="zh-CN"/>
              </w:rPr>
              <w:t>.</w:t>
            </w:r>
            <w:r>
              <w:rPr>
                <w:rFonts w:hint="eastAsia" w:cs="Times New Roman"/>
                <w:szCs w:val="24"/>
                <w:lang w:val="en-US" w:eastAsia="zh-CN"/>
              </w:rPr>
              <w:t>9</w:t>
            </w:r>
            <w:r>
              <w:rPr>
                <w:rFonts w:hint="default" w:ascii="Times New Roman" w:hAnsi="Times New Roman" w:cs="Times New Roman"/>
                <w:szCs w:val="24"/>
                <w:lang w:eastAsia="zh-CN"/>
              </w:rPr>
              <w:t>中标</w:t>
            </w:r>
            <w:r>
              <w:rPr>
                <w:rFonts w:hint="default" w:ascii="Times New Roman" w:hAnsi="Times New Roman" w:cs="Times New Roman"/>
                <w:szCs w:val="24"/>
              </w:rPr>
              <w:t>人负责将货物安全无损运抵采购人指定地点，并承担设备的包装、运输、保险、装卸、安装调试、培训、计量检测、增值税等费用。</w:t>
            </w:r>
          </w:p>
        </w:tc>
      </w:tr>
      <w:tr w14:paraId="381B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5A9B3573">
            <w:pPr>
              <w:keepNext w:val="0"/>
              <w:keepLines w:val="0"/>
              <w:suppressLineNumbers w:val="0"/>
              <w:spacing w:before="0" w:beforeAutospacing="0" w:after="0" w:afterAutospacing="0"/>
              <w:ind w:left="0" w:right="0"/>
              <w:jc w:val="center"/>
              <w:rPr>
                <w:rFonts w:hint="default"/>
                <w:b w:val="0"/>
              </w:rPr>
            </w:pPr>
          </w:p>
        </w:tc>
        <w:tc>
          <w:tcPr>
            <w:tcW w:w="1877" w:type="dxa"/>
            <w:vMerge w:val="continue"/>
          </w:tcPr>
          <w:p w14:paraId="49D858AF">
            <w:pPr>
              <w:keepNext w:val="0"/>
              <w:keepLines w:val="0"/>
              <w:suppressLineNumbers w:val="0"/>
              <w:spacing w:before="0" w:beforeAutospacing="0" w:after="0" w:afterAutospacing="0"/>
              <w:ind w:left="0" w:right="0"/>
              <w:jc w:val="center"/>
              <w:rPr>
                <w:rFonts w:hint="default"/>
                <w:b w:val="0"/>
              </w:rPr>
            </w:pPr>
          </w:p>
        </w:tc>
        <w:tc>
          <w:tcPr>
            <w:tcW w:w="5832" w:type="dxa"/>
            <w:shd w:val="clear" w:color="auto" w:fill="auto"/>
            <w:vAlign w:val="top"/>
          </w:tcPr>
          <w:p w14:paraId="0E9BADE4">
            <w:pPr>
              <w:keepNext w:val="0"/>
              <w:keepLines w:val="0"/>
              <w:suppressLineNumbers w:val="0"/>
              <w:spacing w:before="0" w:beforeAutospacing="0" w:after="0" w:afterAutospacing="0" w:line="240" w:lineRule="auto"/>
              <w:ind w:left="0" w:right="0"/>
              <w:rPr>
                <w:rFonts w:hint="default"/>
                <w:bCs w:val="0"/>
                <w:szCs w:val="24"/>
              </w:rPr>
            </w:pPr>
            <w:r>
              <w:rPr>
                <w:rFonts w:hint="default" w:ascii="Times New Roman" w:hAnsi="Times New Roman" w:eastAsia="宋体" w:cs="Times New Roman"/>
                <w:b w:val="0"/>
                <w:bCs w:val="0"/>
                <w:szCs w:val="24"/>
              </w:rPr>
              <w:t>★</w:t>
            </w:r>
            <w:r>
              <w:rPr>
                <w:rFonts w:hint="eastAsia" w:cs="Times New Roman"/>
                <w:szCs w:val="24"/>
                <w:lang w:val="en-US" w:eastAsia="zh-CN"/>
              </w:rPr>
              <w:t>3</w:t>
            </w:r>
            <w:r>
              <w:rPr>
                <w:rFonts w:hint="default" w:ascii="Times New Roman" w:hAnsi="Times New Roman" w:cs="Times New Roman"/>
                <w:szCs w:val="24"/>
                <w:lang w:val="en-US" w:eastAsia="zh-CN"/>
              </w:rPr>
              <w:t>.</w:t>
            </w:r>
            <w:r>
              <w:rPr>
                <w:rFonts w:hint="eastAsia" w:cs="Times New Roman"/>
                <w:szCs w:val="24"/>
                <w:lang w:val="en-US" w:eastAsia="zh-CN"/>
              </w:rPr>
              <w:t>10</w:t>
            </w:r>
            <w:r>
              <w:rPr>
                <w:rFonts w:hint="default" w:ascii="Times New Roman" w:hAnsi="Times New Roman" w:cs="Times New Roman"/>
                <w:szCs w:val="24"/>
              </w:rPr>
              <w:t>中标人应委派技术人员进行现场开箱、安装、调试，并提供货物安装调试的一切技术支持。安装调试的具体时间由采购人提前3天通知中标人，即在约定时间安装指定安装地点。</w:t>
            </w:r>
          </w:p>
        </w:tc>
      </w:tr>
      <w:tr w14:paraId="4DE2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4EC8817E">
            <w:pPr>
              <w:keepNext w:val="0"/>
              <w:keepLines w:val="0"/>
              <w:suppressLineNumbers w:val="0"/>
              <w:spacing w:before="0" w:beforeAutospacing="0" w:after="0" w:afterAutospacing="0"/>
              <w:ind w:left="0" w:right="0"/>
              <w:jc w:val="center"/>
              <w:rPr>
                <w:rFonts w:hint="default"/>
                <w:b w:val="0"/>
              </w:rPr>
            </w:pPr>
          </w:p>
        </w:tc>
        <w:tc>
          <w:tcPr>
            <w:tcW w:w="1877" w:type="dxa"/>
            <w:vMerge w:val="continue"/>
          </w:tcPr>
          <w:p w14:paraId="1004E284">
            <w:pPr>
              <w:keepNext w:val="0"/>
              <w:keepLines w:val="0"/>
              <w:suppressLineNumbers w:val="0"/>
              <w:spacing w:before="0" w:beforeAutospacing="0" w:after="0" w:afterAutospacing="0"/>
              <w:ind w:left="0" w:right="0"/>
              <w:jc w:val="center"/>
              <w:rPr>
                <w:rFonts w:hint="default"/>
                <w:b w:val="0"/>
              </w:rPr>
            </w:pPr>
          </w:p>
        </w:tc>
        <w:tc>
          <w:tcPr>
            <w:tcW w:w="5832" w:type="dxa"/>
            <w:shd w:val="clear" w:color="auto" w:fill="auto"/>
            <w:vAlign w:val="top"/>
          </w:tcPr>
          <w:p w14:paraId="2D20AC13">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bCs w:val="0"/>
                <w:kern w:val="2"/>
                <w:sz w:val="21"/>
                <w:szCs w:val="24"/>
                <w:lang w:val="en-US" w:eastAsia="zh-CN" w:bidi="ar-SA"/>
              </w:rPr>
            </w:pPr>
            <w:r>
              <w:rPr>
                <w:rFonts w:hint="default" w:ascii="Times New Roman" w:hAnsi="Times New Roman" w:eastAsia="宋体" w:cs="Times New Roman"/>
                <w:b w:val="0"/>
                <w:bCs w:val="0"/>
                <w:szCs w:val="24"/>
              </w:rPr>
              <w:t>★</w:t>
            </w:r>
            <w:r>
              <w:rPr>
                <w:rFonts w:hint="eastAsia"/>
                <w:bCs w:val="0"/>
                <w:szCs w:val="24"/>
                <w:lang w:val="en-US" w:eastAsia="zh-CN"/>
              </w:rPr>
              <w:t>3</w:t>
            </w:r>
            <w:r>
              <w:rPr>
                <w:rFonts w:hint="default"/>
                <w:bCs w:val="0"/>
                <w:szCs w:val="24"/>
                <w:lang w:val="en-US" w:eastAsia="zh-CN"/>
              </w:rPr>
              <w:t>.1</w:t>
            </w:r>
            <w:r>
              <w:rPr>
                <w:rFonts w:hint="eastAsia"/>
                <w:bCs w:val="0"/>
                <w:szCs w:val="24"/>
                <w:lang w:val="en-US" w:eastAsia="zh-CN"/>
              </w:rPr>
              <w:t>1</w:t>
            </w:r>
            <w:r>
              <w:rPr>
                <w:rFonts w:hint="default"/>
                <w:bCs w:val="0"/>
                <w:szCs w:val="24"/>
                <w:lang w:eastAsia="zh-CN"/>
              </w:rPr>
              <w:t>中标人</w:t>
            </w:r>
            <w:r>
              <w:rPr>
                <w:rFonts w:hint="default"/>
                <w:bCs w:val="0"/>
                <w:szCs w:val="24"/>
              </w:rPr>
              <w:t>应派有经验的技术人员到现场进行安装、调试，直到货物正常使用。</w:t>
            </w:r>
            <w:r>
              <w:rPr>
                <w:rFonts w:hint="default" w:ascii="Times New Roman" w:hAnsi="Times New Roman" w:cs="Times New Roman"/>
                <w:szCs w:val="24"/>
              </w:rPr>
              <w:t>在安装过程中若造成</w:t>
            </w:r>
            <w:r>
              <w:rPr>
                <w:rFonts w:hint="default" w:ascii="Times New Roman" w:hAnsi="Times New Roman" w:cs="Times New Roman"/>
                <w:szCs w:val="24"/>
                <w:lang w:eastAsia="zh-CN"/>
              </w:rPr>
              <w:t>货物</w:t>
            </w:r>
            <w:r>
              <w:rPr>
                <w:rFonts w:hint="default" w:ascii="Times New Roman" w:hAnsi="Times New Roman" w:cs="Times New Roman"/>
                <w:szCs w:val="24"/>
              </w:rPr>
              <w:t>损坏，应由投标人负责修复，安装后保证产品质量。</w:t>
            </w:r>
          </w:p>
        </w:tc>
      </w:tr>
      <w:tr w14:paraId="3D34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60BC0218">
            <w:pPr>
              <w:keepNext w:val="0"/>
              <w:keepLines w:val="0"/>
              <w:suppressLineNumbers w:val="0"/>
              <w:spacing w:before="0" w:beforeAutospacing="0" w:after="0" w:afterAutospacing="0"/>
              <w:ind w:left="0" w:right="0"/>
              <w:jc w:val="center"/>
              <w:rPr>
                <w:rFonts w:hint="default"/>
                <w:b w:val="0"/>
              </w:rPr>
            </w:pPr>
          </w:p>
        </w:tc>
        <w:tc>
          <w:tcPr>
            <w:tcW w:w="1877" w:type="dxa"/>
            <w:vMerge w:val="continue"/>
          </w:tcPr>
          <w:p w14:paraId="26009A44">
            <w:pPr>
              <w:keepNext w:val="0"/>
              <w:keepLines w:val="0"/>
              <w:suppressLineNumbers w:val="0"/>
              <w:spacing w:before="0" w:beforeAutospacing="0" w:after="0" w:afterAutospacing="0"/>
              <w:ind w:left="0" w:right="0"/>
              <w:jc w:val="center"/>
              <w:rPr>
                <w:rFonts w:hint="default"/>
                <w:b w:val="0"/>
              </w:rPr>
            </w:pPr>
          </w:p>
        </w:tc>
        <w:tc>
          <w:tcPr>
            <w:tcW w:w="5832" w:type="dxa"/>
            <w:shd w:val="clear" w:color="auto" w:fill="auto"/>
            <w:vAlign w:val="top"/>
          </w:tcPr>
          <w:p w14:paraId="7E2C04C3">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bCs w:val="0"/>
                <w:kern w:val="2"/>
                <w:sz w:val="21"/>
                <w:szCs w:val="24"/>
                <w:lang w:val="en-US" w:eastAsia="zh-CN" w:bidi="ar-SA"/>
              </w:rPr>
            </w:pPr>
            <w:r>
              <w:rPr>
                <w:rFonts w:hint="default" w:ascii="Times New Roman" w:hAnsi="Times New Roman" w:eastAsia="宋体" w:cs="Times New Roman"/>
                <w:b w:val="0"/>
                <w:bCs w:val="0"/>
                <w:szCs w:val="24"/>
              </w:rPr>
              <w:t>★</w:t>
            </w:r>
            <w:r>
              <w:rPr>
                <w:rFonts w:hint="eastAsia" w:cs="Times New Roman"/>
                <w:szCs w:val="24"/>
                <w:lang w:val="en-US" w:eastAsia="zh-CN"/>
              </w:rPr>
              <w:t>3</w:t>
            </w:r>
            <w:r>
              <w:rPr>
                <w:rFonts w:hint="default" w:ascii="Times New Roman" w:hAnsi="Times New Roman" w:cs="Times New Roman"/>
                <w:szCs w:val="24"/>
                <w:lang w:val="en-US" w:eastAsia="zh-CN"/>
              </w:rPr>
              <w:t>.1</w:t>
            </w:r>
            <w:r>
              <w:rPr>
                <w:rFonts w:hint="eastAsia" w:cs="Times New Roman"/>
                <w:szCs w:val="24"/>
                <w:lang w:val="en-US" w:eastAsia="zh-CN"/>
              </w:rPr>
              <w:t>2</w:t>
            </w:r>
            <w:r>
              <w:rPr>
                <w:rFonts w:hint="default" w:ascii="Times New Roman" w:hAnsi="Times New Roman" w:cs="Times New Roman"/>
                <w:szCs w:val="24"/>
              </w:rPr>
              <w:t>采购人有权检验或测试货物，以确认货物是否符合合同规格的要求，并且不承担额外的费用。如果发现所交货物与投标文件中所承诺的不符或存在质量、技术缺陷等，采购人可以拒绝接收该货物，投标人应在 7 天（日历日）内采取补足、更换或退货等措施，以满足规格的要求，由此发生的一切损失和费用由投标人承担。</w:t>
            </w:r>
          </w:p>
        </w:tc>
      </w:tr>
      <w:tr w14:paraId="69E1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restart"/>
            <w:vAlign w:val="center"/>
          </w:tcPr>
          <w:p w14:paraId="583F044B">
            <w:pPr>
              <w:keepNext w:val="0"/>
              <w:keepLines w:val="0"/>
              <w:suppressLineNumbers w:val="0"/>
              <w:spacing w:before="0" w:beforeAutospacing="0" w:after="0" w:afterAutospacing="0"/>
              <w:ind w:left="0" w:right="0"/>
              <w:jc w:val="center"/>
              <w:rPr>
                <w:rFonts w:hint="default"/>
                <w:bCs w:val="0"/>
              </w:rPr>
            </w:pPr>
            <w:r>
              <w:rPr>
                <w:rFonts w:hint="default"/>
                <w:bCs w:val="0"/>
              </w:rPr>
              <w:t>4</w:t>
            </w:r>
          </w:p>
        </w:tc>
        <w:tc>
          <w:tcPr>
            <w:tcW w:w="1877" w:type="dxa"/>
            <w:vMerge w:val="restart"/>
            <w:vAlign w:val="center"/>
          </w:tcPr>
          <w:p w14:paraId="0DE61A0D">
            <w:pPr>
              <w:keepNext w:val="0"/>
              <w:keepLines w:val="0"/>
              <w:suppressLineNumbers w:val="0"/>
              <w:spacing w:before="0" w:beforeAutospacing="0" w:after="0" w:afterAutospacing="0"/>
              <w:ind w:left="0" w:right="0"/>
              <w:jc w:val="center"/>
              <w:rPr>
                <w:rFonts w:hint="default"/>
              </w:rPr>
            </w:pPr>
            <w:r>
              <w:rPr>
                <w:rFonts w:hint="default"/>
                <w:bCs w:val="0"/>
              </w:rPr>
              <w:t>★</w:t>
            </w:r>
            <w:r>
              <w:rPr>
                <w:rFonts w:hint="default"/>
              </w:rPr>
              <w:t>关于付款</w:t>
            </w:r>
          </w:p>
        </w:tc>
        <w:tc>
          <w:tcPr>
            <w:tcW w:w="5832" w:type="dxa"/>
            <w:shd w:val="clear" w:color="auto" w:fill="auto"/>
            <w:vAlign w:val="center"/>
          </w:tcPr>
          <w:p w14:paraId="78C6063B">
            <w:pPr>
              <w:keepNext w:val="0"/>
              <w:keepLines w:val="0"/>
              <w:suppressLineNumbers w:val="0"/>
              <w:spacing w:before="0" w:beforeAutospacing="0" w:after="0" w:afterAutospacing="0" w:line="240" w:lineRule="auto"/>
              <w:ind w:left="0" w:right="0"/>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4.1合同签订后，投标人向采购人提供等额有效的发票后，采购人向投标人预付30%合同款。</w:t>
            </w:r>
          </w:p>
        </w:tc>
      </w:tr>
      <w:tr w14:paraId="0680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32D94804">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4CEB7A3D">
            <w:pPr>
              <w:keepNext w:val="0"/>
              <w:keepLines w:val="0"/>
              <w:suppressLineNumbers w:val="0"/>
              <w:spacing w:before="0" w:beforeAutospacing="0" w:after="0" w:afterAutospacing="0"/>
              <w:ind w:left="0" w:right="0"/>
              <w:jc w:val="center"/>
              <w:rPr>
                <w:rFonts w:hint="default"/>
              </w:rPr>
            </w:pPr>
          </w:p>
        </w:tc>
        <w:tc>
          <w:tcPr>
            <w:tcW w:w="5832" w:type="dxa"/>
            <w:shd w:val="clear" w:color="auto" w:fill="auto"/>
            <w:vAlign w:val="center"/>
          </w:tcPr>
          <w:p w14:paraId="2AD08A59">
            <w:pPr>
              <w:keepNext w:val="0"/>
              <w:keepLines w:val="0"/>
              <w:suppressLineNumbers w:val="0"/>
              <w:spacing w:before="0" w:beforeAutospacing="0" w:after="0" w:afterAutospacing="0" w:line="240" w:lineRule="auto"/>
              <w:ind w:left="0" w:right="0"/>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4.2项目需分批供货，采购人按批次进行验收，供货验收进度30%后，根据实际供货情况进行后续款项付款，直至项目完结（支付金额达到包组支付上限）。</w:t>
            </w:r>
          </w:p>
        </w:tc>
      </w:tr>
      <w:tr w14:paraId="17A6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2484DFF9">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1B2B4B75">
            <w:pPr>
              <w:keepNext w:val="0"/>
              <w:keepLines w:val="0"/>
              <w:suppressLineNumbers w:val="0"/>
              <w:spacing w:before="0" w:beforeAutospacing="0" w:after="0" w:afterAutospacing="0"/>
              <w:ind w:left="0" w:right="0"/>
              <w:jc w:val="center"/>
              <w:rPr>
                <w:rFonts w:hint="default"/>
              </w:rPr>
            </w:pPr>
          </w:p>
        </w:tc>
        <w:tc>
          <w:tcPr>
            <w:tcW w:w="5832" w:type="dxa"/>
            <w:shd w:val="clear" w:color="auto" w:fill="auto"/>
            <w:vAlign w:val="top"/>
          </w:tcPr>
          <w:p w14:paraId="668E7C14">
            <w:pPr>
              <w:keepNext w:val="0"/>
              <w:keepLines w:val="0"/>
              <w:suppressLineNumbers w:val="0"/>
              <w:spacing w:before="0" w:beforeAutospacing="0" w:after="0" w:afterAutospacing="0" w:line="240" w:lineRule="auto"/>
              <w:ind w:left="0" w:right="0"/>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4.3本项目涉及财政资金，若因本年度财政资金不足，剩余未支付款项将顺延至下一年度支付，具体支付时间以财政资金下达作为首要前提。因财政资金未下达</w:t>
            </w:r>
            <w:r>
              <w:rPr>
                <w:rFonts w:hint="eastAsia" w:cs="Times New Roman"/>
                <w:szCs w:val="24"/>
                <w:lang w:val="en-US" w:eastAsia="zh-CN"/>
              </w:rPr>
              <w:t>、政府部门核批</w:t>
            </w:r>
            <w:r>
              <w:rPr>
                <w:rFonts w:hint="default" w:ascii="Times New Roman" w:hAnsi="Times New Roman" w:cs="Times New Roman"/>
                <w:szCs w:val="24"/>
                <w:lang w:val="en-US" w:eastAsia="zh-CN"/>
              </w:rPr>
              <w:t>等非采购人原因</w:t>
            </w:r>
            <w:r>
              <w:rPr>
                <w:rFonts w:hint="eastAsia" w:cs="Times New Roman"/>
                <w:szCs w:val="24"/>
                <w:lang w:val="en-US" w:eastAsia="zh-CN"/>
              </w:rPr>
              <w:t>导致付款延迟的</w:t>
            </w:r>
            <w:r>
              <w:rPr>
                <w:rFonts w:hint="default" w:ascii="Times New Roman" w:hAnsi="Times New Roman" w:cs="Times New Roman"/>
                <w:szCs w:val="24"/>
                <w:lang w:val="en-US" w:eastAsia="zh-CN"/>
              </w:rPr>
              <w:t>，中标人不得要求采购人承担相关责任。</w:t>
            </w:r>
          </w:p>
        </w:tc>
      </w:tr>
      <w:tr w14:paraId="5BA8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26028ED9">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5D6FEA39">
            <w:pPr>
              <w:keepNext w:val="0"/>
              <w:keepLines w:val="0"/>
              <w:suppressLineNumbers w:val="0"/>
              <w:spacing w:before="0" w:beforeAutospacing="0" w:after="0" w:afterAutospacing="0"/>
              <w:ind w:left="0" w:right="0"/>
              <w:jc w:val="center"/>
              <w:rPr>
                <w:rFonts w:hint="default"/>
              </w:rPr>
            </w:pPr>
          </w:p>
        </w:tc>
        <w:tc>
          <w:tcPr>
            <w:tcW w:w="5832" w:type="dxa"/>
            <w:shd w:val="clear" w:color="auto" w:fill="auto"/>
            <w:vAlign w:val="top"/>
          </w:tcPr>
          <w:p w14:paraId="65BE2636">
            <w:pPr>
              <w:keepNext w:val="0"/>
              <w:keepLines w:val="0"/>
              <w:suppressLineNumbers w:val="0"/>
              <w:spacing w:before="0" w:beforeAutospacing="0" w:after="0" w:afterAutospacing="0" w:line="240" w:lineRule="auto"/>
              <w:ind w:left="0" w:right="0"/>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4.4中标人在供货验收合格后向采购人提供收货证明、合格发票、收款对公帐户等资料作为付款前提。</w:t>
            </w:r>
          </w:p>
        </w:tc>
      </w:tr>
      <w:tr w14:paraId="4117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Align w:val="center"/>
          </w:tcPr>
          <w:p w14:paraId="52CA7A30">
            <w:pPr>
              <w:keepNext w:val="0"/>
              <w:keepLines w:val="0"/>
              <w:suppressLineNumbers w:val="0"/>
              <w:spacing w:before="0" w:beforeAutospacing="0" w:after="0" w:afterAutospacing="0"/>
              <w:ind w:left="0" w:right="0"/>
              <w:jc w:val="center"/>
              <w:rPr>
                <w:rFonts w:hint="default"/>
                <w:bCs w:val="0"/>
              </w:rPr>
            </w:pPr>
            <w:r>
              <w:rPr>
                <w:rFonts w:hint="default"/>
                <w:bCs w:val="0"/>
                <w:lang w:val="en-US" w:eastAsia="zh-CN"/>
              </w:rPr>
              <w:t>5</w:t>
            </w:r>
          </w:p>
        </w:tc>
        <w:tc>
          <w:tcPr>
            <w:tcW w:w="1877" w:type="dxa"/>
            <w:vAlign w:val="center"/>
          </w:tcPr>
          <w:p w14:paraId="3F0746D3">
            <w:pPr>
              <w:keepNext w:val="0"/>
              <w:keepLines w:val="0"/>
              <w:suppressLineNumbers w:val="0"/>
              <w:spacing w:before="0" w:beforeAutospacing="0" w:after="0" w:afterAutospacing="0"/>
              <w:ind w:left="0" w:right="0"/>
              <w:jc w:val="center"/>
              <w:rPr>
                <w:rFonts w:hint="default"/>
              </w:rPr>
            </w:pPr>
            <w:r>
              <w:rPr>
                <w:rFonts w:hint="default"/>
              </w:rPr>
              <w:t>报价要求</w:t>
            </w:r>
          </w:p>
        </w:tc>
        <w:tc>
          <w:tcPr>
            <w:tcW w:w="5832" w:type="dxa"/>
          </w:tcPr>
          <w:p w14:paraId="29775245">
            <w:pPr>
              <w:keepNext w:val="0"/>
              <w:keepLines w:val="0"/>
              <w:suppressLineNumbers w:val="0"/>
              <w:spacing w:before="0" w:beforeAutospacing="0" w:after="0" w:afterAutospacing="0" w:line="240" w:lineRule="auto"/>
              <w:ind w:left="0" w:right="0"/>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★投标总价是完成该项目的一切费用总和，包括货物费、运输费、装卸费、保险费、技术培训费、货物安装费、调试费、检测费、售后服务费、国家规定的各项税费等全部费用。</w:t>
            </w:r>
          </w:p>
        </w:tc>
      </w:tr>
      <w:tr w14:paraId="2915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restart"/>
            <w:shd w:val="clear" w:color="auto" w:fill="auto"/>
            <w:vAlign w:val="center"/>
          </w:tcPr>
          <w:p w14:paraId="61635BE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r>
              <w:rPr>
                <w:rFonts w:hint="default" w:ascii="Times New Roman" w:hAnsi="Times New Roman" w:cs="Times New Roman"/>
                <w:bCs w:val="0"/>
                <w:szCs w:val="24"/>
                <w:lang w:val="en-US" w:eastAsia="zh-CN"/>
              </w:rPr>
              <w:t>6</w:t>
            </w:r>
          </w:p>
        </w:tc>
        <w:tc>
          <w:tcPr>
            <w:tcW w:w="1877" w:type="dxa"/>
            <w:vMerge w:val="restart"/>
            <w:vAlign w:val="center"/>
          </w:tcPr>
          <w:p w14:paraId="0B908E4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r>
              <w:rPr>
                <w:rFonts w:hint="default"/>
                <w:bCs w:val="0"/>
              </w:rPr>
              <w:t>★</w:t>
            </w:r>
            <w:r>
              <w:rPr>
                <w:rFonts w:hint="default" w:ascii="Times New Roman" w:hAnsi="Times New Roman" w:cs="Times New Roman"/>
                <w:bCs w:val="0"/>
                <w:szCs w:val="24"/>
              </w:rPr>
              <w:t>违约责任</w:t>
            </w:r>
          </w:p>
        </w:tc>
        <w:tc>
          <w:tcPr>
            <w:tcW w:w="5832" w:type="dxa"/>
            <w:vAlign w:val="top"/>
          </w:tcPr>
          <w:p w14:paraId="6FE99105">
            <w:pPr>
              <w:keepNext w:val="0"/>
              <w:keepLines w:val="0"/>
              <w:widowControl/>
              <w:suppressLineNumbers w:val="0"/>
              <w:spacing w:before="0" w:beforeAutospacing="0" w:after="0" w:afterAutospacing="0" w:line="240" w:lineRule="auto"/>
              <w:ind w:left="0" w:right="0"/>
              <w:rPr>
                <w:rFonts w:hint="default" w:ascii="Times New Roman" w:hAnsi="Times New Roman" w:cs="Times New Roman"/>
                <w:szCs w:val="24"/>
              </w:rPr>
            </w:pPr>
            <w:r>
              <w:rPr>
                <w:rFonts w:hint="default" w:ascii="Times New Roman" w:hAnsi="Times New Roman" w:cs="Times New Roman"/>
                <w:szCs w:val="24"/>
                <w:lang w:val="en-US" w:eastAsia="zh-CN"/>
              </w:rPr>
              <w:t>6</w:t>
            </w:r>
            <w:r>
              <w:rPr>
                <w:rFonts w:hint="default" w:ascii="Times New Roman" w:hAnsi="Times New Roman" w:cs="Times New Roman"/>
                <w:szCs w:val="24"/>
              </w:rPr>
              <w:t>.1投标人保证采购人在使用本合同项下服务、产品或产品的任何一部分时，不会产生因第三方提出的包括但不限于侵犯其专利权、商标权、著作权等知识产权和侵犯其所有权、抵押权等物权及其他权利而引发的纠纷。如有任何的侵权和其他的法律纠纷，投标人应承担全部责任。</w:t>
            </w:r>
          </w:p>
        </w:tc>
      </w:tr>
      <w:tr w14:paraId="7A96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0468CAF6">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5974670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5832" w:type="dxa"/>
            <w:vAlign w:val="top"/>
          </w:tcPr>
          <w:p w14:paraId="03B83A26">
            <w:pPr>
              <w:keepNext w:val="0"/>
              <w:keepLines w:val="0"/>
              <w:widowControl/>
              <w:suppressLineNumbers w:val="0"/>
              <w:spacing w:before="0" w:beforeAutospacing="0" w:after="0" w:afterAutospacing="0" w:line="240" w:lineRule="auto"/>
              <w:ind w:left="0" w:right="0"/>
              <w:rPr>
                <w:rFonts w:hint="default" w:ascii="Times New Roman" w:hAnsi="Times New Roman" w:cs="Times New Roman"/>
                <w:szCs w:val="24"/>
              </w:rPr>
            </w:pPr>
            <w:r>
              <w:rPr>
                <w:rFonts w:hint="default" w:ascii="Times New Roman" w:hAnsi="Times New Roman" w:cs="Times New Roman"/>
                <w:szCs w:val="24"/>
                <w:lang w:val="en-US" w:eastAsia="zh-CN"/>
              </w:rPr>
              <w:t>6</w:t>
            </w:r>
            <w:r>
              <w:rPr>
                <w:rFonts w:hint="default" w:ascii="Times New Roman" w:hAnsi="Times New Roman" w:cs="Times New Roman"/>
                <w:szCs w:val="24"/>
              </w:rPr>
              <w:t>.2因中标人未及时提供相应货物或货物检测不合格或中标人人员未按时到场等中标人原因导致未能按规定时间完成有关工作的，每超出规定时间的50%，采购人有权按合同总价款的1‰作为违约金累计扣除,如超出规定时间的100%，采购人按合同总价款的2‰作为违约金扣除，以此累加。最高不超过合同总价款的30%，同时采购人有权另聘请第三方进行维修，由此产生的费用由中标人负担。逾期时间超过十日的，采购人有权解除合同，同时中标人应向采购人支付合同总价款30％的违约金，中标人已收取款项应当予以退还。</w:t>
            </w:r>
          </w:p>
        </w:tc>
      </w:tr>
      <w:tr w14:paraId="193E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24C50319">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388E947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5832" w:type="dxa"/>
            <w:vAlign w:val="top"/>
          </w:tcPr>
          <w:p w14:paraId="6E440973">
            <w:pPr>
              <w:keepNext w:val="0"/>
              <w:keepLines w:val="0"/>
              <w:widowControl/>
              <w:suppressLineNumbers w:val="0"/>
              <w:spacing w:before="0" w:beforeAutospacing="0" w:after="0" w:afterAutospacing="0" w:line="240" w:lineRule="auto"/>
              <w:ind w:left="0" w:right="0"/>
              <w:rPr>
                <w:rFonts w:hint="default" w:ascii="Times New Roman" w:hAnsi="Times New Roman" w:cs="Times New Roman"/>
                <w:szCs w:val="24"/>
              </w:rPr>
            </w:pPr>
            <w:r>
              <w:rPr>
                <w:rFonts w:hint="default" w:ascii="Times New Roman" w:hAnsi="Times New Roman" w:cs="Times New Roman"/>
                <w:szCs w:val="24"/>
                <w:lang w:val="en-US" w:eastAsia="zh-CN"/>
              </w:rPr>
              <w:t>6</w:t>
            </w:r>
            <w:r>
              <w:rPr>
                <w:rFonts w:hint="default" w:ascii="Times New Roman" w:hAnsi="Times New Roman" w:cs="Times New Roman"/>
                <w:szCs w:val="24"/>
              </w:rPr>
              <w:t>.3投标人所交付的货物品种、型号、规格等不符合合同约定或无法正常使用时，采购人有权拒收，并要求投标人在指定时间内交付符合要求的货物。在指定时间内仍不能交付符合要求的货物的，采购人有权拒收，投标人应向采购人支付货款的5%作为违约金。</w:t>
            </w:r>
          </w:p>
        </w:tc>
      </w:tr>
      <w:tr w14:paraId="31F8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3F820D7E">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3CAA119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5832" w:type="dxa"/>
            <w:vAlign w:val="top"/>
          </w:tcPr>
          <w:p w14:paraId="010B5FE7">
            <w:pPr>
              <w:keepNext w:val="0"/>
              <w:keepLines w:val="0"/>
              <w:widowControl/>
              <w:suppressLineNumbers w:val="0"/>
              <w:spacing w:before="0" w:beforeAutospacing="0" w:after="0" w:afterAutospacing="0" w:line="240" w:lineRule="auto"/>
              <w:ind w:left="0" w:right="0"/>
              <w:rPr>
                <w:rFonts w:hint="default" w:ascii="Times New Roman" w:hAnsi="Times New Roman" w:cs="Times New Roman"/>
                <w:szCs w:val="24"/>
              </w:rPr>
            </w:pPr>
            <w:r>
              <w:rPr>
                <w:rFonts w:hint="default" w:ascii="Times New Roman" w:hAnsi="Times New Roman" w:cs="Times New Roman"/>
                <w:szCs w:val="24"/>
                <w:lang w:val="en-US" w:eastAsia="zh-CN"/>
              </w:rPr>
              <w:t>6</w:t>
            </w:r>
            <w:r>
              <w:rPr>
                <w:rFonts w:hint="default" w:ascii="Times New Roman" w:hAnsi="Times New Roman" w:cs="Times New Roman"/>
                <w:szCs w:val="24"/>
              </w:rPr>
              <w:t>.4采购人有权利在投标人送货后对货物进行抽检，如检测不合格的，按违约处理，投标人需赔付不合格货物对应的供货金额作为违约金，同时采购人有权解除合同并要求投标人退还已收取的货款。如采购人选择继续履行合同的，投标人应当支付的违约金可由采购人直接从应付货款中扣除，应付货款中不足以扣除违约金的，投标人还应另行承担相应的违约金。</w:t>
            </w:r>
          </w:p>
        </w:tc>
      </w:tr>
      <w:tr w14:paraId="3605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3D9C24B4">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5BAAF49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5832" w:type="dxa"/>
            <w:vAlign w:val="top"/>
          </w:tcPr>
          <w:p w14:paraId="5BBD86DA">
            <w:pPr>
              <w:keepNext w:val="0"/>
              <w:keepLines w:val="0"/>
              <w:widowControl/>
              <w:suppressLineNumbers w:val="0"/>
              <w:spacing w:before="0" w:beforeAutospacing="0" w:after="0" w:afterAutospacing="0" w:line="240" w:lineRule="auto"/>
              <w:ind w:left="0" w:right="0"/>
              <w:rPr>
                <w:rFonts w:hint="default" w:ascii="Times New Roman" w:hAnsi="Times New Roman" w:cs="Times New Roman"/>
                <w:szCs w:val="24"/>
              </w:rPr>
            </w:pPr>
            <w:r>
              <w:rPr>
                <w:rFonts w:hint="default" w:ascii="Times New Roman" w:hAnsi="Times New Roman" w:cs="Times New Roman"/>
                <w:szCs w:val="24"/>
                <w:lang w:val="en-US" w:eastAsia="zh-CN"/>
              </w:rPr>
              <w:t>6</w:t>
            </w:r>
            <w:r>
              <w:rPr>
                <w:rFonts w:hint="default" w:ascii="Times New Roman" w:hAnsi="Times New Roman" w:cs="Times New Roman"/>
                <w:szCs w:val="24"/>
              </w:rPr>
              <w:t>.5</w:t>
            </w:r>
            <w:r>
              <w:rPr>
                <w:rFonts w:hint="default" w:ascii="Times New Roman" w:hAnsi="Times New Roman" w:cs="Times New Roman"/>
                <w:szCs w:val="24"/>
                <w:lang w:val="hr-HR"/>
              </w:rPr>
              <w:t>因投标人未及时提供相应产品或产品检测不合格或投标人人员未按时到场</w:t>
            </w:r>
            <w:r>
              <w:rPr>
                <w:rFonts w:hint="default" w:ascii="Times New Roman" w:hAnsi="Times New Roman" w:cs="Times New Roman"/>
                <w:szCs w:val="24"/>
              </w:rPr>
              <w:t>或调试维修不及时</w:t>
            </w:r>
            <w:r>
              <w:rPr>
                <w:rFonts w:hint="default" w:ascii="Times New Roman" w:hAnsi="Times New Roman" w:cs="Times New Roman"/>
                <w:szCs w:val="24"/>
                <w:lang w:val="hr-HR"/>
              </w:rPr>
              <w:t>等投标人原因导致未能按规定时间完成有关工作的，每超出规定时间的50%，采购人有权按合同总价款的1‰作为违约金累计扣除,如超出规定时间的100%，采购人按合同总价款的2‰作为违约金扣除，以此累加。最高不超过合同总价款的30%，同时采购人有权另聘请第三方进行维修，由此产生的费用由投标人负担。逾期时间超过十日的，采购人有权解除合同，同时投标人应向采购人支付合同总价款30％的违约金，投标人已收取款项应当予以退还。</w:t>
            </w:r>
          </w:p>
        </w:tc>
      </w:tr>
      <w:tr w14:paraId="3355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369FDA30">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09059C9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5832" w:type="dxa"/>
            <w:vAlign w:val="top"/>
          </w:tcPr>
          <w:p w14:paraId="737F7D99">
            <w:pPr>
              <w:keepNext w:val="0"/>
              <w:keepLines w:val="0"/>
              <w:widowControl/>
              <w:suppressLineNumbers w:val="0"/>
              <w:spacing w:before="0" w:beforeAutospacing="0" w:after="0" w:afterAutospacing="0" w:line="240" w:lineRule="auto"/>
              <w:ind w:left="0" w:right="0"/>
              <w:rPr>
                <w:rFonts w:hint="default" w:ascii="Times New Roman" w:hAnsi="Times New Roman" w:cs="Times New Roman"/>
                <w:szCs w:val="24"/>
              </w:rPr>
            </w:pPr>
            <w:r>
              <w:rPr>
                <w:rFonts w:hint="default" w:ascii="Times New Roman" w:hAnsi="Times New Roman" w:cs="Times New Roman"/>
                <w:szCs w:val="24"/>
                <w:lang w:val="en-US" w:eastAsia="zh-CN"/>
              </w:rPr>
              <w:t>6</w:t>
            </w:r>
            <w:r>
              <w:rPr>
                <w:rFonts w:hint="default" w:ascii="Times New Roman" w:hAnsi="Times New Roman" w:cs="Times New Roman"/>
                <w:szCs w:val="24"/>
              </w:rPr>
              <w:t>.6在投标人承诺的或国家规定的质量保证期内（取两者中最长的期限），如经投标人连续两次或累计五次维修服务或维修成果仍不能达到合同约定的标准（包括但不限于驻场人员资格、响应时间、维修效果、服务质量等），采购人有权单方面解除本合同，投标人应退回已收取款项并赔偿采购人因此遭受的损失。</w:t>
            </w:r>
          </w:p>
        </w:tc>
      </w:tr>
      <w:tr w14:paraId="6A2A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vAlign w:val="center"/>
          </w:tcPr>
          <w:p w14:paraId="2E63F2BB">
            <w:pPr>
              <w:keepNext w:val="0"/>
              <w:keepLines w:val="0"/>
              <w:suppressLineNumbers w:val="0"/>
              <w:spacing w:before="0" w:beforeAutospacing="0" w:after="0" w:afterAutospacing="0"/>
              <w:ind w:left="0" w:right="0"/>
              <w:jc w:val="center"/>
              <w:rPr>
                <w:rFonts w:hint="default"/>
                <w:bCs w:val="0"/>
              </w:rPr>
            </w:pPr>
          </w:p>
        </w:tc>
        <w:tc>
          <w:tcPr>
            <w:tcW w:w="1877" w:type="dxa"/>
            <w:vMerge w:val="continue"/>
            <w:vAlign w:val="center"/>
          </w:tcPr>
          <w:p w14:paraId="7BDE7CC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5832" w:type="dxa"/>
            <w:vAlign w:val="top"/>
          </w:tcPr>
          <w:p w14:paraId="4FA3E6E3">
            <w:pPr>
              <w:keepNext w:val="0"/>
              <w:keepLines w:val="0"/>
              <w:widowControl/>
              <w:suppressLineNumbers w:val="0"/>
              <w:spacing w:before="0" w:beforeAutospacing="0" w:after="0" w:afterAutospacing="0" w:line="240" w:lineRule="auto"/>
              <w:ind w:left="0" w:right="0"/>
              <w:rPr>
                <w:rFonts w:hint="default" w:ascii="Times New Roman" w:hAnsi="Times New Roman" w:cs="Times New Roman"/>
                <w:szCs w:val="24"/>
              </w:rPr>
            </w:pPr>
            <w:r>
              <w:rPr>
                <w:rFonts w:hint="default" w:ascii="Times New Roman" w:hAnsi="Times New Roman" w:cs="Times New Roman"/>
                <w:szCs w:val="24"/>
                <w:lang w:val="en-US" w:eastAsia="zh-CN"/>
              </w:rPr>
              <w:t>6</w:t>
            </w:r>
            <w:r>
              <w:rPr>
                <w:rFonts w:hint="default" w:ascii="Times New Roman" w:hAnsi="Times New Roman" w:cs="Times New Roman"/>
                <w:szCs w:val="24"/>
              </w:rPr>
              <w:t>.7投标人未履行本合同项下的其他义务或违反其在投标文件中的相关承诺</w:t>
            </w:r>
            <w:r>
              <w:rPr>
                <w:rFonts w:hint="default" w:ascii="Times New Roman" w:hAnsi="Times New Roman" w:cs="Times New Roman"/>
                <w:szCs w:val="24"/>
                <w:lang w:val="hr-HR"/>
              </w:rPr>
              <w:t>/声明/保证，</w:t>
            </w:r>
            <w:r>
              <w:rPr>
                <w:rFonts w:hint="default" w:ascii="Times New Roman" w:hAnsi="Times New Roman" w:cs="Times New Roman"/>
                <w:szCs w:val="24"/>
              </w:rPr>
              <w:t>导致本合同无法继续履行的，应按合同总价款的10%向采购人承担违约责任支付违约金，该违约金未能弥补采购人所有损失的，还应承担因此造成采购人的一切损失。</w:t>
            </w:r>
            <w:r>
              <w:rPr>
                <w:rFonts w:hint="default" w:ascii="Times New Roman" w:hAnsi="Times New Roman" w:cs="Times New Roman"/>
                <w:szCs w:val="24"/>
                <w:lang w:val="hr-HR"/>
              </w:rPr>
              <w:t>出现政府采购法律法规规定的违法违规情形的，采购人应当将相关违法违规行为及时向上级部门报告。</w:t>
            </w:r>
          </w:p>
        </w:tc>
      </w:tr>
      <w:tr w14:paraId="03B8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shd w:val="clear" w:color="auto" w:fill="auto"/>
            <w:vAlign w:val="center"/>
          </w:tcPr>
          <w:p w14:paraId="5EE3626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1877" w:type="dxa"/>
            <w:vMerge w:val="continue"/>
            <w:shd w:val="clear" w:color="auto" w:fill="auto"/>
            <w:vAlign w:val="center"/>
          </w:tcPr>
          <w:p w14:paraId="066B4D2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5832" w:type="dxa"/>
            <w:vAlign w:val="top"/>
          </w:tcPr>
          <w:p w14:paraId="224C5C37">
            <w:pPr>
              <w:keepNext w:val="0"/>
              <w:keepLines w:val="0"/>
              <w:widowControl/>
              <w:suppressLineNumbers w:val="0"/>
              <w:spacing w:before="0" w:beforeAutospacing="0" w:after="0" w:afterAutospacing="0" w:line="240" w:lineRule="auto"/>
              <w:ind w:left="0" w:right="0"/>
              <w:rPr>
                <w:rFonts w:hint="default" w:ascii="Times New Roman" w:hAnsi="Times New Roman" w:cs="Times New Roman"/>
                <w:szCs w:val="24"/>
                <w:lang w:val="en-US" w:eastAsia="zh-CN"/>
              </w:rPr>
            </w:pPr>
            <w:r>
              <w:rPr>
                <w:rFonts w:hint="default" w:ascii="Times New Roman" w:hAnsi="Times New Roman" w:cs="Times New Roman"/>
                <w:b w:val="0"/>
                <w:szCs w:val="24"/>
                <w:lang w:val="en-US" w:eastAsia="zh-CN"/>
              </w:rPr>
              <w:t>6</w:t>
            </w:r>
            <w:r>
              <w:rPr>
                <w:rFonts w:hint="default" w:ascii="Times New Roman" w:hAnsi="Times New Roman" w:eastAsia="宋体" w:cs="Times New Roman"/>
                <w:b w:val="0"/>
                <w:szCs w:val="24"/>
                <w:lang w:val="en-US" w:eastAsia="zh-CN"/>
              </w:rPr>
              <w:t>.8</w:t>
            </w:r>
            <w:r>
              <w:rPr>
                <w:rFonts w:hint="default" w:ascii="Times New Roman" w:hAnsi="Times New Roman" w:eastAsia="宋体" w:cs="Times New Roman"/>
                <w:b w:val="0"/>
                <w:szCs w:val="24"/>
              </w:rPr>
              <w:t>中标人所交付产品、工程或服务不符合其投标承诺的，或在投标阶段为了中标而盲目虚假承诺、低价恶性竞争，在履约阶段则通过偷工减料、以次充好而获取利润的，将被没收履约保证金，并被履约评价工作实施机构评为履约等级“差”并按主管部门相关规定处理。</w:t>
            </w:r>
          </w:p>
        </w:tc>
      </w:tr>
      <w:tr w14:paraId="0EB3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shd w:val="clear" w:color="auto" w:fill="auto"/>
            <w:vAlign w:val="center"/>
          </w:tcPr>
          <w:p w14:paraId="21CDD3E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1877" w:type="dxa"/>
            <w:vMerge w:val="continue"/>
            <w:shd w:val="clear" w:color="auto" w:fill="auto"/>
            <w:vAlign w:val="center"/>
          </w:tcPr>
          <w:p w14:paraId="064B3FA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5832" w:type="dxa"/>
            <w:vAlign w:val="top"/>
          </w:tcPr>
          <w:p w14:paraId="06AA3975">
            <w:pPr>
              <w:keepNext w:val="0"/>
              <w:keepLines w:val="0"/>
              <w:widowControl/>
              <w:suppressLineNumbers w:val="0"/>
              <w:spacing w:before="0" w:beforeAutospacing="0" w:after="0" w:afterAutospacing="0" w:line="240" w:lineRule="auto"/>
              <w:ind w:left="0" w:right="0"/>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6.9中标人交付的产品存在采购人验收人员在验收时无法肉眼现场发现的质量问题，包括但不限于产品技术质量问题、使用后才能发现的问题、专业仪器检测才能发现的问题、假冒产品经原厂或专业部门检测后发现的问题等，采购人有权在免费保修期内向中标人主张退货或换货，并可主张中标人向采购人支付合同总价百分之三十的违约金。</w:t>
            </w:r>
          </w:p>
        </w:tc>
      </w:tr>
      <w:tr w14:paraId="612D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shd w:val="clear" w:color="auto" w:fill="auto"/>
            <w:vAlign w:val="center"/>
          </w:tcPr>
          <w:p w14:paraId="4EAEF7D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1877" w:type="dxa"/>
            <w:vMerge w:val="continue"/>
            <w:shd w:val="clear" w:color="auto" w:fill="auto"/>
            <w:vAlign w:val="center"/>
          </w:tcPr>
          <w:p w14:paraId="28C4392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5832" w:type="dxa"/>
            <w:vAlign w:val="top"/>
          </w:tcPr>
          <w:p w14:paraId="27AC8B00">
            <w:pPr>
              <w:keepNext w:val="0"/>
              <w:keepLines w:val="0"/>
              <w:widowControl/>
              <w:suppressLineNumbers w:val="0"/>
              <w:spacing w:before="0" w:beforeAutospacing="0" w:after="0" w:afterAutospacing="0" w:line="240" w:lineRule="auto"/>
              <w:ind w:left="0" w:right="0"/>
              <w:rPr>
                <w:rFonts w:hint="default" w:ascii="Times New Roman" w:hAnsi="Times New Roman" w:cs="Times New Roman"/>
                <w:szCs w:val="24"/>
              </w:rPr>
            </w:pPr>
            <w:r>
              <w:rPr>
                <w:rFonts w:hint="default" w:ascii="Times New Roman" w:hAnsi="Times New Roman" w:cs="Times New Roman"/>
                <w:szCs w:val="24"/>
                <w:lang w:val="en-US" w:eastAsia="zh-CN"/>
              </w:rPr>
              <w:t>6</w:t>
            </w:r>
            <w:r>
              <w:rPr>
                <w:rFonts w:hint="default" w:ascii="Times New Roman" w:hAnsi="Times New Roman" w:cs="Times New Roman"/>
                <w:szCs w:val="24"/>
              </w:rPr>
              <w:t>.</w:t>
            </w:r>
            <w:r>
              <w:rPr>
                <w:rFonts w:hint="default" w:ascii="Times New Roman" w:hAnsi="Times New Roman" w:cs="Times New Roman"/>
                <w:szCs w:val="24"/>
                <w:lang w:val="en-US" w:eastAsia="zh-CN"/>
              </w:rPr>
              <w:t>10</w:t>
            </w:r>
            <w:r>
              <w:rPr>
                <w:rFonts w:hint="default" w:ascii="Times New Roman" w:hAnsi="Times New Roman" w:cs="Times New Roman"/>
                <w:szCs w:val="24"/>
              </w:rPr>
              <w:t>投标人具有前述第1-</w:t>
            </w:r>
            <w:r>
              <w:rPr>
                <w:rFonts w:hint="default" w:ascii="Times New Roman" w:hAnsi="Times New Roman" w:cs="Times New Roman"/>
                <w:szCs w:val="24"/>
                <w:lang w:val="en-US" w:eastAsia="zh-CN"/>
              </w:rPr>
              <w:t>9</w:t>
            </w:r>
            <w:r>
              <w:rPr>
                <w:rFonts w:hint="default" w:ascii="Times New Roman" w:hAnsi="Times New Roman" w:cs="Times New Roman"/>
                <w:szCs w:val="24"/>
              </w:rPr>
              <w:t>款违约情形时，采购人均有权单方面解除本合同。投标人在承担上述一项或多项违约责任后，仍应继续履行合同规定的义务（采购人解除合同的除外）。采购人未能及时追究投标人的任何一项违约责任并不表明采购人放弃追究投标人该项或其他违约责任。</w:t>
            </w:r>
          </w:p>
        </w:tc>
      </w:tr>
      <w:tr w14:paraId="4509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restart"/>
            <w:shd w:val="clear" w:color="auto" w:fill="auto"/>
            <w:vAlign w:val="center"/>
          </w:tcPr>
          <w:p w14:paraId="4F899D9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szCs w:val="24"/>
                <w:lang w:val="en-US" w:eastAsia="zh-CN"/>
              </w:rPr>
            </w:pPr>
            <w:r>
              <w:rPr>
                <w:rFonts w:hint="default" w:ascii="Times New Roman" w:hAnsi="Times New Roman" w:cs="Times New Roman"/>
                <w:bCs w:val="0"/>
                <w:szCs w:val="24"/>
                <w:lang w:val="en-US" w:eastAsia="zh-CN"/>
              </w:rPr>
              <w:t>7</w:t>
            </w:r>
          </w:p>
        </w:tc>
        <w:tc>
          <w:tcPr>
            <w:tcW w:w="1877" w:type="dxa"/>
            <w:vMerge w:val="restart"/>
            <w:shd w:val="clear" w:color="auto" w:fill="auto"/>
            <w:vAlign w:val="center"/>
          </w:tcPr>
          <w:p w14:paraId="71B3A3F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szCs w:val="24"/>
              </w:rPr>
              <w:t>关于安全管理</w:t>
            </w:r>
          </w:p>
        </w:tc>
        <w:tc>
          <w:tcPr>
            <w:tcW w:w="5832" w:type="dxa"/>
            <w:shd w:val="clear" w:color="auto" w:fill="auto"/>
            <w:vAlign w:val="top"/>
          </w:tcPr>
          <w:p w14:paraId="21F6AE4B">
            <w:pPr>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b w:val="0"/>
                <w:kern w:val="2"/>
                <w:sz w:val="21"/>
                <w:szCs w:val="24"/>
                <w:lang w:val="en-US" w:eastAsia="zh-CN" w:bidi="ar-SA"/>
              </w:rPr>
            </w:pPr>
            <w:r>
              <w:rPr>
                <w:rFonts w:hint="default" w:ascii="Times New Roman" w:hAnsi="Times New Roman" w:cs="Times New Roman"/>
                <w:bCs w:val="0"/>
                <w:szCs w:val="24"/>
                <w:lang w:val="en-US" w:eastAsia="zh-CN"/>
              </w:rPr>
              <w:t>7</w:t>
            </w:r>
            <w:r>
              <w:rPr>
                <w:rFonts w:hint="default" w:ascii="Times New Roman" w:hAnsi="Times New Roman" w:eastAsia="宋体" w:cs="Times New Roman"/>
                <w:bCs w:val="0"/>
                <w:szCs w:val="24"/>
                <w:lang w:val="en-US" w:eastAsia="zh-CN"/>
              </w:rPr>
              <w:t>.1</w:t>
            </w:r>
            <w:r>
              <w:rPr>
                <w:rFonts w:hint="default" w:ascii="Times New Roman" w:hAnsi="Times New Roman" w:eastAsia="宋体" w:cs="Times New Roman"/>
                <w:bCs w:val="0"/>
                <w:szCs w:val="24"/>
              </w:rPr>
              <w:t>在项目验收前的送货期和项目验收后的免费售后服务保修期内，中标人都应严格履行安全生产工作管理制度，在送货、搬运、安装等整个服务过程中造成的任何人员和财产损失风险均由中标人全部负责。</w:t>
            </w:r>
          </w:p>
        </w:tc>
      </w:tr>
      <w:tr w14:paraId="4A60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shd w:val="clear" w:color="auto" w:fill="auto"/>
            <w:vAlign w:val="center"/>
          </w:tcPr>
          <w:p w14:paraId="03F4393F">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szCs w:val="24"/>
              </w:rPr>
            </w:pPr>
          </w:p>
        </w:tc>
        <w:tc>
          <w:tcPr>
            <w:tcW w:w="1877" w:type="dxa"/>
            <w:vMerge w:val="continue"/>
            <w:shd w:val="clear" w:color="auto" w:fill="auto"/>
            <w:vAlign w:val="center"/>
          </w:tcPr>
          <w:p w14:paraId="0974D68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5832" w:type="dxa"/>
            <w:shd w:val="clear" w:color="auto" w:fill="auto"/>
            <w:vAlign w:val="top"/>
          </w:tcPr>
          <w:p w14:paraId="36DAF4BD">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Cs w:val="0"/>
                <w:kern w:val="2"/>
                <w:sz w:val="21"/>
                <w:szCs w:val="24"/>
                <w:lang w:val="en-US" w:eastAsia="zh-CN" w:bidi="ar-SA"/>
              </w:rPr>
            </w:pPr>
            <w:r>
              <w:rPr>
                <w:rFonts w:hint="default" w:ascii="Times New Roman" w:hAnsi="Times New Roman" w:cs="Times New Roman"/>
                <w:szCs w:val="24"/>
                <w:lang w:val="en-US" w:eastAsia="zh-CN"/>
              </w:rPr>
              <w:t>7</w:t>
            </w:r>
            <w:r>
              <w:rPr>
                <w:rFonts w:hint="default" w:ascii="Times New Roman" w:hAnsi="Times New Roman" w:eastAsia="宋体" w:cs="Times New Roman"/>
                <w:szCs w:val="24"/>
              </w:rPr>
              <w:t>.</w:t>
            </w:r>
            <w:r>
              <w:rPr>
                <w:rFonts w:hint="default" w:ascii="Times New Roman" w:hAnsi="Times New Roman" w:eastAsia="宋体" w:cs="Times New Roman"/>
                <w:szCs w:val="24"/>
                <w:lang w:val="en-US" w:eastAsia="zh-CN"/>
              </w:rPr>
              <w:t>2</w:t>
            </w:r>
            <w:r>
              <w:rPr>
                <w:rFonts w:hint="default" w:ascii="Times New Roman" w:hAnsi="Times New Roman" w:eastAsia="宋体" w:cs="Times New Roman"/>
                <w:szCs w:val="24"/>
              </w:rPr>
              <w:t>本项目中所涉及产品必须满足现场户型要求，存在特殊户型，中标人应做好全面复核测量工作，并提供满足特殊户型摆放的要求，其中可能涉及部分家具拆装、搬运、再安装等作业，上述作业所涉及的配件、拆装、搬运、再安装等费用应包含在投标报价中。项目结算时，不做调整。</w:t>
            </w:r>
          </w:p>
        </w:tc>
      </w:tr>
      <w:tr w14:paraId="16B5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shd w:val="clear" w:color="auto" w:fill="auto"/>
            <w:vAlign w:val="center"/>
          </w:tcPr>
          <w:p w14:paraId="150A6236">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szCs w:val="24"/>
              </w:rPr>
            </w:pPr>
          </w:p>
        </w:tc>
        <w:tc>
          <w:tcPr>
            <w:tcW w:w="1877" w:type="dxa"/>
            <w:vMerge w:val="continue"/>
            <w:shd w:val="clear" w:color="auto" w:fill="auto"/>
            <w:vAlign w:val="center"/>
          </w:tcPr>
          <w:p w14:paraId="79D62A9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5832" w:type="dxa"/>
            <w:shd w:val="clear" w:color="auto" w:fill="auto"/>
            <w:vAlign w:val="top"/>
          </w:tcPr>
          <w:p w14:paraId="3F03A335">
            <w:pPr>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bCs w:val="0"/>
                <w:kern w:val="2"/>
                <w:sz w:val="21"/>
                <w:szCs w:val="24"/>
                <w:lang w:val="en-US" w:eastAsia="zh-CN" w:bidi="ar-SA"/>
              </w:rPr>
            </w:pPr>
            <w:r>
              <w:rPr>
                <w:rFonts w:hint="default" w:ascii="Times New Roman" w:hAnsi="Times New Roman" w:cs="Times New Roman"/>
                <w:bCs w:val="0"/>
                <w:szCs w:val="24"/>
                <w:lang w:val="en-US" w:eastAsia="zh-CN"/>
              </w:rPr>
              <w:t>7</w:t>
            </w:r>
            <w:r>
              <w:rPr>
                <w:rFonts w:hint="default" w:ascii="Times New Roman" w:hAnsi="Times New Roman" w:eastAsia="宋体" w:cs="Times New Roman"/>
                <w:bCs w:val="0"/>
                <w:szCs w:val="24"/>
              </w:rPr>
              <w:t>.</w:t>
            </w:r>
            <w:r>
              <w:rPr>
                <w:rFonts w:hint="default" w:ascii="Times New Roman" w:hAnsi="Times New Roman" w:eastAsia="宋体" w:cs="Times New Roman"/>
                <w:bCs w:val="0"/>
                <w:szCs w:val="24"/>
                <w:lang w:val="en-US" w:eastAsia="zh-CN"/>
              </w:rPr>
              <w:t>3</w:t>
            </w:r>
            <w:r>
              <w:rPr>
                <w:rFonts w:hint="default" w:ascii="Times New Roman" w:hAnsi="Times New Roman" w:eastAsia="宋体" w:cs="Times New Roman"/>
                <w:bCs w:val="0"/>
                <w:szCs w:val="24"/>
              </w:rPr>
              <w:t>安装完成后，中标人应房间整洁，设施设备无损坏。如有损坏，应及时整改修复，并对所造成的损失进行赔偿。</w:t>
            </w:r>
          </w:p>
        </w:tc>
      </w:tr>
      <w:tr w14:paraId="0A95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restart"/>
            <w:shd w:val="clear" w:color="auto" w:fill="auto"/>
            <w:vAlign w:val="center"/>
          </w:tcPr>
          <w:p w14:paraId="52494163">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szCs w:val="24"/>
                <w:lang w:val="en-US" w:eastAsia="zh-CN"/>
              </w:rPr>
            </w:pPr>
            <w:r>
              <w:rPr>
                <w:rFonts w:hint="default" w:ascii="Times New Roman" w:hAnsi="Times New Roman" w:cs="Times New Roman"/>
                <w:bCs w:val="0"/>
                <w:szCs w:val="24"/>
                <w:lang w:val="en-US" w:eastAsia="zh-CN"/>
              </w:rPr>
              <w:t>8</w:t>
            </w:r>
          </w:p>
        </w:tc>
        <w:tc>
          <w:tcPr>
            <w:tcW w:w="1877" w:type="dxa"/>
            <w:vMerge w:val="restart"/>
            <w:shd w:val="clear" w:color="auto" w:fill="auto"/>
            <w:vAlign w:val="center"/>
          </w:tcPr>
          <w:p w14:paraId="2DA4007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Cs w:val="24"/>
              </w:rPr>
            </w:pPr>
            <w:r>
              <w:rPr>
                <w:rFonts w:hint="default" w:ascii="Times New Roman" w:hAnsi="Times New Roman" w:eastAsia="宋体" w:cs="Times New Roman"/>
                <w:bCs w:val="0"/>
                <w:szCs w:val="24"/>
              </w:rPr>
              <w:t>关于产品检测</w:t>
            </w:r>
          </w:p>
        </w:tc>
        <w:tc>
          <w:tcPr>
            <w:tcW w:w="5832" w:type="dxa"/>
            <w:shd w:val="clear" w:color="auto" w:fill="auto"/>
            <w:vAlign w:val="center"/>
          </w:tcPr>
          <w:p w14:paraId="736F1D31">
            <w:pPr>
              <w:keepNext w:val="0"/>
              <w:keepLines w:val="0"/>
              <w:widowControl/>
              <w:suppressLineNumbers w:val="0"/>
              <w:adjustRightInd/>
              <w:snapToGrid/>
              <w:spacing w:before="0" w:beforeAutospacing="0" w:after="0" w:afterAutospacing="0" w:line="240" w:lineRule="auto"/>
              <w:ind w:left="0" w:right="0"/>
              <w:rPr>
                <w:rFonts w:hint="eastAsia" w:ascii="Times New Roman" w:hAnsi="Times New Roman" w:cs="Times New Roman" w:eastAsiaTheme="minorEastAsia"/>
                <w:bCs w:val="0"/>
                <w:szCs w:val="24"/>
                <w:lang w:val="en-US" w:eastAsia="zh-CN"/>
              </w:rPr>
            </w:pPr>
            <w:r>
              <w:rPr>
                <w:rFonts w:hint="default" w:ascii="Times New Roman" w:hAnsi="Times New Roman" w:eastAsia="宋体" w:cs="Times New Roman"/>
                <w:bCs w:val="0"/>
                <w:szCs w:val="24"/>
              </w:rPr>
              <w:t>本项目所使用的家具原辅材料验收要求：人造板材（刨花板、密度板、胶合板）、胶粘剂、皮革、纺织品、封边条等涉及有害物质的原材料及半成品，环保性能要求</w:t>
            </w:r>
            <w:r>
              <w:rPr>
                <w:rFonts w:hint="eastAsia" w:cs="Times New Roman"/>
                <w:bCs w:val="0"/>
                <w:szCs w:val="24"/>
                <w:lang w:val="en-US" w:eastAsia="zh-CN"/>
              </w:rPr>
              <w:t>相关政策</w:t>
            </w:r>
            <w:r>
              <w:rPr>
                <w:rFonts w:hint="default" w:ascii="Times New Roman" w:hAnsi="Times New Roman" w:eastAsia="宋体" w:cs="Times New Roman"/>
                <w:bCs w:val="0"/>
                <w:szCs w:val="24"/>
              </w:rPr>
              <w:t>进行检测,其余物理、理化性能要求按照材料所对应的国家/行业及相关标准进行检测；五金配件力学性能按照对应标准中的商用要求进行检测。采购</w:t>
            </w:r>
            <w:r>
              <w:rPr>
                <w:rFonts w:hint="eastAsia" w:cs="Times New Roman"/>
                <w:bCs w:val="0"/>
                <w:szCs w:val="24"/>
                <w:lang w:val="en-US" w:eastAsia="zh-CN"/>
              </w:rPr>
              <w:t>人</w:t>
            </w:r>
            <w:r>
              <w:rPr>
                <w:rFonts w:hint="default" w:ascii="Times New Roman" w:hAnsi="Times New Roman" w:eastAsia="宋体" w:cs="Times New Roman"/>
                <w:bCs w:val="0"/>
                <w:szCs w:val="24"/>
              </w:rPr>
              <w:t>及家具监理方有权根据实际交货的产品确定</w:t>
            </w:r>
            <w:r>
              <w:rPr>
                <w:rFonts w:hint="eastAsia" w:eastAsia="宋体" w:cs="Times New Roman"/>
                <w:bCs w:val="0"/>
                <w:szCs w:val="24"/>
                <w:lang w:val="en-US" w:eastAsia="zh-CN"/>
              </w:rPr>
              <w:t>抽样方案及</w:t>
            </w:r>
            <w:r>
              <w:rPr>
                <w:rFonts w:hint="default" w:ascii="Times New Roman" w:hAnsi="Times New Roman" w:eastAsia="宋体" w:cs="Times New Roman"/>
                <w:bCs w:val="0"/>
                <w:szCs w:val="24"/>
              </w:rPr>
              <w:t>检测标准。</w:t>
            </w:r>
            <w:r>
              <w:rPr>
                <w:rFonts w:hint="eastAsia" w:cs="宋体" w:asciiTheme="minorEastAsia" w:hAnsiTheme="minorEastAsia" w:eastAsiaTheme="minorEastAsia"/>
                <w:color w:val="000000"/>
                <w:szCs w:val="21"/>
                <w:highlight w:val="none"/>
                <w:lang w:val="en-US" w:eastAsia="zh-CN"/>
              </w:rPr>
              <w:t>为</w:t>
            </w:r>
            <w:r>
              <w:rPr>
                <w:rFonts w:hint="eastAsia" w:cs="宋体" w:asciiTheme="minorEastAsia" w:hAnsiTheme="minorEastAsia" w:eastAsiaTheme="minorEastAsia"/>
                <w:color w:val="000000"/>
                <w:szCs w:val="21"/>
                <w:highlight w:val="none"/>
              </w:rPr>
              <w:t>验证产品质量</w:t>
            </w:r>
            <w:r>
              <w:rPr>
                <w:rFonts w:hint="eastAsia" w:cs="宋体" w:asciiTheme="minorEastAsia" w:hAnsiTheme="minorEastAsia" w:eastAsiaTheme="minorEastAsia"/>
                <w:color w:val="000000"/>
                <w:szCs w:val="21"/>
                <w:highlight w:val="none"/>
                <w:lang w:eastAsia="zh-CN"/>
              </w:rPr>
              <w:t>，</w:t>
            </w:r>
            <w:r>
              <w:rPr>
                <w:rFonts w:hint="eastAsia" w:cs="宋体" w:asciiTheme="minorEastAsia" w:hAnsiTheme="minorEastAsia" w:eastAsiaTheme="minorEastAsia"/>
                <w:color w:val="000000"/>
                <w:szCs w:val="21"/>
                <w:highlight w:val="none"/>
                <w:lang w:val="en-US" w:eastAsia="zh-CN"/>
              </w:rPr>
              <w:t>对</w:t>
            </w:r>
            <w:r>
              <w:rPr>
                <w:rFonts w:hint="eastAsia" w:cs="宋体" w:asciiTheme="minorEastAsia" w:hAnsiTheme="minorEastAsia" w:eastAsiaTheme="minorEastAsia"/>
                <w:color w:val="000000"/>
                <w:szCs w:val="21"/>
                <w:highlight w:val="none"/>
              </w:rPr>
              <w:t>本项目的家具原材料或半成品、家具成品进行抽样检测，抽样检测数量不少于</w:t>
            </w:r>
            <w:r>
              <w:rPr>
                <w:rFonts w:hint="eastAsia" w:cs="宋体" w:asciiTheme="minorEastAsia" w:hAnsiTheme="minorEastAsia" w:eastAsiaTheme="minorEastAsia"/>
                <w:color w:val="000000"/>
                <w:szCs w:val="21"/>
                <w:highlight w:val="none"/>
                <w:lang w:val="en-US" w:eastAsia="zh-CN"/>
              </w:rPr>
              <w:t>8</w:t>
            </w:r>
            <w:r>
              <w:rPr>
                <w:rFonts w:hint="eastAsia" w:cs="宋体" w:asciiTheme="minorEastAsia" w:hAnsiTheme="minorEastAsia" w:eastAsiaTheme="minorEastAsia"/>
                <w:color w:val="000000"/>
                <w:szCs w:val="21"/>
                <w:highlight w:val="none"/>
              </w:rPr>
              <w:t>种原材料或半成品、不少于</w:t>
            </w:r>
            <w:r>
              <w:rPr>
                <w:rFonts w:hint="eastAsia" w:cs="宋体" w:asciiTheme="minorEastAsia" w:hAnsiTheme="minorEastAsia" w:eastAsiaTheme="minorEastAsia"/>
                <w:color w:val="000000"/>
                <w:szCs w:val="21"/>
                <w:highlight w:val="none"/>
                <w:lang w:val="en-US" w:eastAsia="zh-CN"/>
              </w:rPr>
              <w:t>8</w:t>
            </w:r>
            <w:r>
              <w:rPr>
                <w:rFonts w:hint="eastAsia" w:cs="宋体" w:asciiTheme="minorEastAsia" w:hAnsiTheme="minorEastAsia" w:eastAsiaTheme="minorEastAsia"/>
                <w:color w:val="000000"/>
                <w:szCs w:val="21"/>
                <w:highlight w:val="none"/>
              </w:rPr>
              <w:t>种家具成品</w:t>
            </w:r>
            <w:r>
              <w:rPr>
                <w:rFonts w:hint="eastAsia" w:cs="宋体" w:asciiTheme="minorEastAsia" w:hAnsiTheme="minorEastAsia" w:eastAsiaTheme="minorEastAsia"/>
                <w:color w:val="000000"/>
                <w:szCs w:val="21"/>
                <w:highlight w:val="none"/>
                <w:lang w:eastAsia="zh-CN"/>
              </w:rPr>
              <w:t>，</w:t>
            </w:r>
            <w:r>
              <w:rPr>
                <w:rFonts w:hint="eastAsia" w:cs="宋体" w:asciiTheme="minorEastAsia" w:hAnsiTheme="minorEastAsia" w:eastAsiaTheme="minorEastAsia"/>
                <w:color w:val="000000"/>
                <w:szCs w:val="21"/>
                <w:highlight w:val="none"/>
              </w:rPr>
              <w:t>中标人承担以上原材料、半成品及成品的抽样检测费（不超过中标金额的2%）</w:t>
            </w:r>
            <w:r>
              <w:rPr>
                <w:rFonts w:hint="eastAsia" w:cs="宋体" w:asciiTheme="minorEastAsia" w:hAnsiTheme="minorEastAsia" w:eastAsiaTheme="minorEastAsia"/>
                <w:color w:val="000000"/>
                <w:szCs w:val="21"/>
                <w:highlight w:val="none"/>
                <w:lang w:eastAsia="zh-CN"/>
              </w:rPr>
              <w:t>。</w:t>
            </w:r>
          </w:p>
          <w:p w14:paraId="2E98B53A">
            <w:pPr>
              <w:keepNext w:val="0"/>
              <w:keepLines w:val="0"/>
              <w:widowControl/>
              <w:suppressLineNumbers w:val="0"/>
              <w:adjustRightInd/>
              <w:snapToGrid/>
              <w:spacing w:before="0" w:beforeAutospacing="0" w:after="0" w:afterAutospacing="0" w:line="240" w:lineRule="auto"/>
              <w:ind w:left="0" w:right="0"/>
              <w:rPr>
                <w:rFonts w:hint="default" w:ascii="Times New Roman" w:hAnsi="Times New Roman" w:eastAsia="宋体" w:cs="Times New Roman"/>
                <w:bCs w:val="0"/>
                <w:szCs w:val="24"/>
              </w:rPr>
            </w:pPr>
            <w:r>
              <w:rPr>
                <w:rFonts w:hint="default" w:ascii="Times New Roman" w:hAnsi="Times New Roman" w:eastAsia="宋体" w:cs="Times New Roman"/>
                <w:bCs w:val="0"/>
                <w:szCs w:val="24"/>
              </w:rPr>
              <w:t>抽样流程及相关说明：</w:t>
            </w:r>
          </w:p>
          <w:p w14:paraId="2C312A9F">
            <w:pPr>
              <w:keepNext w:val="0"/>
              <w:keepLines w:val="0"/>
              <w:widowControl/>
              <w:suppressLineNumbers w:val="0"/>
              <w:wordWrap/>
              <w:spacing w:before="0" w:beforeAutospacing="0" w:after="0" w:afterAutospacing="0" w:line="240" w:lineRule="auto"/>
              <w:ind w:left="0" w:right="0"/>
              <w:rPr>
                <w:rFonts w:hint="default" w:ascii="Times New Roman" w:hAnsi="Times New Roman" w:eastAsia="宋体" w:cs="Times New Roman"/>
                <w:szCs w:val="24"/>
              </w:rPr>
            </w:pPr>
            <w:r>
              <w:rPr>
                <w:rFonts w:hint="default" w:ascii="Times New Roman" w:hAnsi="Times New Roman" w:cs="Times New Roman"/>
                <w:bCs w:val="0"/>
                <w:szCs w:val="24"/>
                <w:lang w:val="en-US" w:eastAsia="zh-CN"/>
              </w:rPr>
              <w:t>8</w:t>
            </w:r>
            <w:r>
              <w:rPr>
                <w:rFonts w:hint="default" w:ascii="Times New Roman" w:hAnsi="Times New Roman" w:eastAsia="宋体" w:cs="Times New Roman"/>
                <w:bCs w:val="0"/>
                <w:szCs w:val="24"/>
              </w:rPr>
              <w:t xml:space="preserve">.1 </w:t>
            </w:r>
            <w:r>
              <w:rPr>
                <w:rFonts w:hint="default" w:ascii="Times New Roman" w:hAnsi="Times New Roman" w:eastAsia="宋体" w:cs="Times New Roman"/>
                <w:szCs w:val="24"/>
              </w:rPr>
              <w:t>在</w:t>
            </w:r>
            <w:r>
              <w:rPr>
                <w:rFonts w:hint="default" w:ascii="Times New Roman" w:hAnsi="Times New Roman" w:cs="Times New Roman"/>
                <w:szCs w:val="24"/>
                <w:lang w:val="en-US" w:eastAsia="zh-CN"/>
              </w:rPr>
              <w:t>中标人</w:t>
            </w:r>
            <w:r>
              <w:rPr>
                <w:rFonts w:hint="default" w:ascii="Times New Roman" w:hAnsi="Times New Roman" w:eastAsia="宋体" w:cs="Times New Roman"/>
                <w:szCs w:val="24"/>
              </w:rPr>
              <w:t>确认中标后，</w:t>
            </w:r>
            <w:r>
              <w:rPr>
                <w:rFonts w:hint="default" w:ascii="Times New Roman" w:hAnsi="Times New Roman" w:eastAsia="宋体" w:cs="Times New Roman"/>
                <w:szCs w:val="24"/>
                <w:lang w:eastAsia="zh-CN"/>
              </w:rPr>
              <w:t>采购人</w:t>
            </w:r>
            <w:r>
              <w:rPr>
                <w:rFonts w:hint="default" w:ascii="Times New Roman" w:hAnsi="Times New Roman" w:eastAsia="宋体" w:cs="Times New Roman"/>
                <w:szCs w:val="24"/>
              </w:rPr>
              <w:t>在签订家具采购合同前，由</w:t>
            </w:r>
            <w:r>
              <w:rPr>
                <w:rFonts w:hint="default" w:ascii="Times New Roman" w:hAnsi="Times New Roman" w:eastAsia="宋体" w:cs="Times New Roman"/>
                <w:szCs w:val="24"/>
                <w:lang w:eastAsia="zh-CN"/>
              </w:rPr>
              <w:t>采购人</w:t>
            </w:r>
            <w:r>
              <w:rPr>
                <w:rFonts w:hint="default" w:ascii="Times New Roman" w:hAnsi="Times New Roman" w:eastAsia="宋体" w:cs="Times New Roman"/>
                <w:szCs w:val="24"/>
              </w:rPr>
              <w:t>组织</w:t>
            </w:r>
            <w:r>
              <w:rPr>
                <w:rFonts w:hint="default" w:ascii="Times New Roman" w:hAnsi="Times New Roman" w:eastAsia="宋体" w:cs="Times New Roman"/>
                <w:szCs w:val="24"/>
                <w:lang w:eastAsia="zh-CN"/>
              </w:rPr>
              <w:t>采购人</w:t>
            </w:r>
            <w:r>
              <w:rPr>
                <w:rFonts w:hint="default" w:ascii="Times New Roman" w:hAnsi="Times New Roman" w:eastAsia="宋体" w:cs="Times New Roman"/>
                <w:szCs w:val="24"/>
              </w:rPr>
              <w:t>、</w:t>
            </w:r>
            <w:r>
              <w:rPr>
                <w:rFonts w:hint="default" w:ascii="Times New Roman" w:hAnsi="Times New Roman" w:eastAsia="宋体" w:cs="Times New Roman"/>
                <w:szCs w:val="24"/>
                <w:lang w:eastAsia="zh-CN"/>
              </w:rPr>
              <w:t>中标人</w:t>
            </w:r>
            <w:r>
              <w:rPr>
                <w:rFonts w:hint="default" w:ascii="Times New Roman" w:hAnsi="Times New Roman" w:eastAsia="宋体" w:cs="Times New Roman"/>
                <w:szCs w:val="24"/>
              </w:rPr>
              <w:t>、监理方进行家具监理启动会议（前提是</w:t>
            </w:r>
            <w:r>
              <w:rPr>
                <w:rFonts w:hint="default" w:ascii="Times New Roman" w:hAnsi="Times New Roman" w:eastAsia="宋体" w:cs="Times New Roman"/>
                <w:szCs w:val="24"/>
                <w:lang w:eastAsia="zh-CN"/>
              </w:rPr>
              <w:t>中标人</w:t>
            </w:r>
            <w:r>
              <w:rPr>
                <w:rFonts w:hint="default" w:ascii="Times New Roman" w:hAnsi="Times New Roman" w:eastAsia="宋体" w:cs="Times New Roman"/>
                <w:szCs w:val="24"/>
              </w:rPr>
              <w:t>向监理方发送《生产进度表》、《货物外协加工明细表》）</w:t>
            </w:r>
          </w:p>
          <w:p w14:paraId="529A75CC">
            <w:pPr>
              <w:keepNext w:val="0"/>
              <w:keepLines w:val="0"/>
              <w:widowControl/>
              <w:suppressLineNumbers w:val="0"/>
              <w:adjustRightInd/>
              <w:snapToGrid/>
              <w:spacing w:before="0" w:beforeAutospacing="0" w:after="0" w:afterAutospacing="0" w:line="240" w:lineRule="auto"/>
              <w:ind w:left="0" w:right="0"/>
              <w:rPr>
                <w:rFonts w:hint="default" w:ascii="Times New Roman" w:hAnsi="Times New Roman" w:eastAsia="宋体" w:cs="Times New Roman"/>
                <w:bCs w:val="0"/>
                <w:szCs w:val="24"/>
              </w:rPr>
            </w:pPr>
            <w:r>
              <w:rPr>
                <w:rFonts w:hint="default" w:ascii="Times New Roman" w:hAnsi="Times New Roman" w:eastAsia="宋体" w:cs="Times New Roman"/>
                <w:szCs w:val="24"/>
              </w:rPr>
              <w:t>进入到家具相关抽检环节之后，由家具生产企业以书面形式通知家具监理方，前往</w:t>
            </w:r>
            <w:r>
              <w:rPr>
                <w:rFonts w:hint="default" w:ascii="Times New Roman" w:hAnsi="Times New Roman" w:eastAsia="宋体" w:cs="Times New Roman"/>
                <w:szCs w:val="24"/>
                <w:lang w:eastAsia="zh-CN"/>
              </w:rPr>
              <w:t>中标人</w:t>
            </w:r>
            <w:r>
              <w:rPr>
                <w:rFonts w:hint="default" w:ascii="Times New Roman" w:hAnsi="Times New Roman" w:eastAsia="宋体" w:cs="Times New Roman"/>
                <w:szCs w:val="24"/>
              </w:rPr>
              <w:t>进行原材料、成品的抽样检测。</w:t>
            </w:r>
          </w:p>
        </w:tc>
      </w:tr>
      <w:tr w14:paraId="17BB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shd w:val="clear" w:color="auto" w:fill="auto"/>
            <w:vAlign w:val="center"/>
          </w:tcPr>
          <w:p w14:paraId="123F2905">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szCs w:val="24"/>
                <w:lang w:val="en-US" w:eastAsia="zh-CN"/>
              </w:rPr>
            </w:pPr>
          </w:p>
        </w:tc>
        <w:tc>
          <w:tcPr>
            <w:tcW w:w="1877" w:type="dxa"/>
            <w:vMerge w:val="continue"/>
            <w:shd w:val="clear" w:color="auto" w:fill="auto"/>
            <w:vAlign w:val="center"/>
          </w:tcPr>
          <w:p w14:paraId="618E11D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Cs w:val="24"/>
              </w:rPr>
            </w:pPr>
          </w:p>
        </w:tc>
        <w:tc>
          <w:tcPr>
            <w:tcW w:w="5832" w:type="dxa"/>
            <w:shd w:val="clear" w:color="auto" w:fill="auto"/>
            <w:vAlign w:val="center"/>
          </w:tcPr>
          <w:p w14:paraId="5A032D95">
            <w:pPr>
              <w:keepNext w:val="0"/>
              <w:keepLines w:val="0"/>
              <w:widowControl/>
              <w:suppressLineNumbers w:val="0"/>
              <w:wordWrap/>
              <w:spacing w:before="0" w:beforeAutospacing="0" w:after="0" w:afterAutospacing="0" w:line="240" w:lineRule="auto"/>
              <w:ind w:left="0" w:right="0"/>
              <w:jc w:val="left"/>
              <w:rPr>
                <w:rFonts w:hint="default" w:ascii="Times New Roman" w:hAnsi="Times New Roman" w:eastAsia="宋体" w:cs="Times New Roman"/>
                <w:kern w:val="2"/>
                <w:szCs w:val="24"/>
              </w:rPr>
            </w:pPr>
            <w:r>
              <w:rPr>
                <w:rFonts w:hint="default" w:ascii="Times New Roman" w:hAnsi="Times New Roman" w:cs="Times New Roman"/>
                <w:kern w:val="2"/>
                <w:szCs w:val="24"/>
                <w:lang w:val="en-US" w:eastAsia="zh-CN"/>
              </w:rPr>
              <w:t>8</w:t>
            </w:r>
            <w:r>
              <w:rPr>
                <w:rFonts w:hint="default" w:ascii="Times New Roman" w:hAnsi="Times New Roman" w:eastAsia="宋体" w:cs="Times New Roman"/>
                <w:kern w:val="2"/>
                <w:szCs w:val="24"/>
              </w:rPr>
              <w:t>.2</w:t>
            </w:r>
            <w:r>
              <w:rPr>
                <w:rFonts w:hint="default" w:ascii="Times New Roman" w:hAnsi="Times New Roman" w:eastAsia="宋体" w:cs="Times New Roman"/>
                <w:kern w:val="2"/>
                <w:szCs w:val="24"/>
                <w:lang w:eastAsia="zh-CN"/>
              </w:rPr>
              <w:t>采购人</w:t>
            </w:r>
            <w:r>
              <w:rPr>
                <w:rFonts w:hint="default" w:ascii="Times New Roman" w:hAnsi="Times New Roman" w:eastAsia="宋体" w:cs="Times New Roman"/>
                <w:kern w:val="2"/>
                <w:szCs w:val="24"/>
              </w:rPr>
              <w:t>已确认以打样形式来确认的货物，</w:t>
            </w:r>
            <w:r>
              <w:rPr>
                <w:rFonts w:hint="default" w:ascii="Times New Roman" w:hAnsi="Times New Roman" w:eastAsia="宋体" w:cs="Times New Roman"/>
                <w:kern w:val="2"/>
                <w:szCs w:val="24"/>
                <w:lang w:eastAsia="zh-CN"/>
              </w:rPr>
              <w:t>中标人</w:t>
            </w:r>
            <w:r>
              <w:rPr>
                <w:rFonts w:hint="default" w:ascii="Times New Roman" w:hAnsi="Times New Roman" w:eastAsia="宋体" w:cs="Times New Roman"/>
                <w:kern w:val="2"/>
                <w:szCs w:val="24"/>
              </w:rPr>
              <w:t>在</w:t>
            </w:r>
            <w:r>
              <w:rPr>
                <w:rFonts w:hint="default" w:ascii="Times New Roman" w:hAnsi="Times New Roman" w:eastAsia="宋体" w:cs="Times New Roman"/>
                <w:kern w:val="2"/>
                <w:szCs w:val="24"/>
                <w:lang w:eastAsia="zh-CN"/>
              </w:rPr>
              <w:t>采购人</w:t>
            </w:r>
            <w:r>
              <w:rPr>
                <w:rFonts w:hint="default" w:ascii="Times New Roman" w:hAnsi="Times New Roman" w:eastAsia="宋体" w:cs="Times New Roman"/>
                <w:kern w:val="2"/>
                <w:szCs w:val="24"/>
              </w:rPr>
              <w:t>限定的时间内完成样品的制作，并同时通知</w:t>
            </w:r>
            <w:r>
              <w:rPr>
                <w:rFonts w:hint="default" w:ascii="Times New Roman" w:hAnsi="Times New Roman" w:eastAsia="宋体" w:cs="Times New Roman"/>
                <w:kern w:val="2"/>
                <w:szCs w:val="24"/>
                <w:lang w:eastAsia="zh-CN"/>
              </w:rPr>
              <w:t>采购人</w:t>
            </w:r>
            <w:r>
              <w:rPr>
                <w:rFonts w:hint="default" w:ascii="Times New Roman" w:hAnsi="Times New Roman" w:eastAsia="宋体" w:cs="Times New Roman"/>
                <w:kern w:val="2"/>
                <w:szCs w:val="24"/>
              </w:rPr>
              <w:t>及监理方前往查验；</w:t>
            </w:r>
            <w:r>
              <w:rPr>
                <w:rFonts w:hint="default" w:ascii="Times New Roman" w:hAnsi="Times New Roman" w:eastAsia="宋体" w:cs="Times New Roman"/>
                <w:kern w:val="2"/>
                <w:szCs w:val="24"/>
                <w:lang w:eastAsia="zh-CN"/>
              </w:rPr>
              <w:t>采购人</w:t>
            </w:r>
            <w:r>
              <w:rPr>
                <w:rFonts w:hint="default" w:ascii="Times New Roman" w:hAnsi="Times New Roman" w:eastAsia="宋体" w:cs="Times New Roman"/>
                <w:kern w:val="2"/>
                <w:szCs w:val="24"/>
              </w:rPr>
              <w:t>已确认以图纸形式来确认的货物，</w:t>
            </w:r>
            <w:r>
              <w:rPr>
                <w:rFonts w:hint="default" w:ascii="Times New Roman" w:hAnsi="Times New Roman" w:eastAsia="宋体" w:cs="Times New Roman"/>
                <w:kern w:val="2"/>
                <w:szCs w:val="24"/>
                <w:lang w:eastAsia="zh-CN"/>
              </w:rPr>
              <w:t>中标人</w:t>
            </w:r>
            <w:r>
              <w:rPr>
                <w:rFonts w:hint="default" w:ascii="Times New Roman" w:hAnsi="Times New Roman" w:eastAsia="宋体" w:cs="Times New Roman"/>
                <w:kern w:val="2"/>
                <w:szCs w:val="24"/>
              </w:rPr>
              <w:t>在</w:t>
            </w:r>
            <w:r>
              <w:rPr>
                <w:rFonts w:hint="default" w:ascii="Times New Roman" w:hAnsi="Times New Roman" w:eastAsia="宋体" w:cs="Times New Roman"/>
                <w:kern w:val="2"/>
                <w:szCs w:val="24"/>
                <w:lang w:eastAsia="zh-CN"/>
              </w:rPr>
              <w:t>采购人</w:t>
            </w:r>
            <w:r>
              <w:rPr>
                <w:rFonts w:hint="default" w:ascii="Times New Roman" w:hAnsi="Times New Roman" w:eastAsia="宋体" w:cs="Times New Roman"/>
                <w:kern w:val="2"/>
                <w:szCs w:val="24"/>
              </w:rPr>
              <w:t>限定的时间内完成图纸的绘制，并发送至监理方的指定邮箱。</w:t>
            </w:r>
          </w:p>
          <w:p w14:paraId="150EBDEE">
            <w:pPr>
              <w:keepNext w:val="0"/>
              <w:keepLines w:val="0"/>
              <w:widowControl/>
              <w:suppressLineNumbers w:val="0"/>
              <w:wordWrap/>
              <w:spacing w:before="0" w:beforeAutospacing="0" w:after="0" w:afterAutospacing="0" w:line="240" w:lineRule="auto"/>
              <w:ind w:left="0" w:right="0" w:firstLine="0" w:firstLineChars="0"/>
              <w:jc w:val="left"/>
              <w:rPr>
                <w:rFonts w:hint="default" w:ascii="Times New Roman" w:hAnsi="Times New Roman" w:eastAsia="宋体" w:cs="Times New Roman"/>
                <w:bCs w:val="0"/>
                <w:szCs w:val="24"/>
              </w:rPr>
            </w:pPr>
            <w:r>
              <w:rPr>
                <w:rFonts w:hint="default" w:ascii="Times New Roman" w:hAnsi="Times New Roman" w:eastAsia="宋体" w:cs="Times New Roman"/>
                <w:kern w:val="2"/>
                <w:szCs w:val="24"/>
              </w:rPr>
              <w:t>因</w:t>
            </w:r>
            <w:r>
              <w:rPr>
                <w:rFonts w:hint="default" w:ascii="Times New Roman" w:hAnsi="Times New Roman" w:eastAsia="宋体" w:cs="Times New Roman"/>
                <w:kern w:val="2"/>
                <w:szCs w:val="24"/>
                <w:lang w:eastAsia="zh-CN"/>
              </w:rPr>
              <w:t>中标人</w:t>
            </w:r>
            <w:r>
              <w:rPr>
                <w:rFonts w:hint="default" w:ascii="Times New Roman" w:hAnsi="Times New Roman" w:eastAsia="宋体" w:cs="Times New Roman"/>
                <w:kern w:val="2"/>
                <w:szCs w:val="24"/>
              </w:rPr>
              <w:t>原因导致的样品及图纸的审核不及时，</w:t>
            </w:r>
            <w:r>
              <w:rPr>
                <w:rFonts w:hint="default" w:ascii="Times New Roman" w:hAnsi="Times New Roman" w:eastAsia="宋体" w:cs="Times New Roman"/>
                <w:kern w:val="2"/>
                <w:szCs w:val="24"/>
                <w:lang w:eastAsia="zh-CN"/>
              </w:rPr>
              <w:t>采购人</w:t>
            </w:r>
            <w:r>
              <w:rPr>
                <w:rFonts w:hint="default" w:ascii="Times New Roman" w:hAnsi="Times New Roman" w:eastAsia="宋体" w:cs="Times New Roman"/>
                <w:kern w:val="2"/>
                <w:szCs w:val="24"/>
              </w:rPr>
              <w:t>有权对</w:t>
            </w:r>
            <w:r>
              <w:rPr>
                <w:rFonts w:hint="default" w:ascii="Times New Roman" w:hAnsi="Times New Roman" w:eastAsia="宋体" w:cs="Times New Roman"/>
                <w:kern w:val="2"/>
                <w:szCs w:val="24"/>
                <w:lang w:eastAsia="zh-CN"/>
              </w:rPr>
              <w:t>中标人</w:t>
            </w:r>
            <w:r>
              <w:rPr>
                <w:rFonts w:hint="default" w:ascii="Times New Roman" w:hAnsi="Times New Roman" w:eastAsia="宋体" w:cs="Times New Roman"/>
                <w:kern w:val="2"/>
                <w:szCs w:val="24"/>
              </w:rPr>
              <w:t>予以一定金额的处罚。</w:t>
            </w:r>
          </w:p>
        </w:tc>
      </w:tr>
      <w:tr w14:paraId="5FA8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shd w:val="clear" w:color="auto" w:fill="auto"/>
            <w:vAlign w:val="center"/>
          </w:tcPr>
          <w:p w14:paraId="35CC9AF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szCs w:val="24"/>
                <w:lang w:val="en-US" w:eastAsia="zh-CN"/>
              </w:rPr>
            </w:pPr>
          </w:p>
        </w:tc>
        <w:tc>
          <w:tcPr>
            <w:tcW w:w="1877" w:type="dxa"/>
            <w:vMerge w:val="continue"/>
            <w:shd w:val="clear" w:color="auto" w:fill="auto"/>
            <w:vAlign w:val="center"/>
          </w:tcPr>
          <w:p w14:paraId="49AE6A9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Cs w:val="24"/>
              </w:rPr>
            </w:pPr>
          </w:p>
        </w:tc>
        <w:tc>
          <w:tcPr>
            <w:tcW w:w="5832" w:type="dxa"/>
            <w:shd w:val="clear" w:color="auto" w:fill="auto"/>
            <w:vAlign w:val="center"/>
          </w:tcPr>
          <w:p w14:paraId="1C5942F6">
            <w:pPr>
              <w:keepNext w:val="0"/>
              <w:keepLines w:val="0"/>
              <w:widowControl/>
              <w:suppressLineNumbers w:val="0"/>
              <w:wordWrap/>
              <w:spacing w:before="0" w:beforeAutospacing="0" w:after="0" w:afterAutospacing="0" w:line="240" w:lineRule="auto"/>
              <w:ind w:left="0" w:right="0"/>
              <w:jc w:val="left"/>
              <w:rPr>
                <w:rFonts w:hint="default" w:ascii="Times New Roman" w:hAnsi="Times New Roman" w:eastAsia="宋体" w:cs="Times New Roman"/>
                <w:szCs w:val="24"/>
              </w:rPr>
            </w:pPr>
            <w:r>
              <w:rPr>
                <w:rFonts w:hint="default" w:ascii="Times New Roman" w:hAnsi="Times New Roman" w:cs="Times New Roman"/>
                <w:bCs w:val="0"/>
                <w:szCs w:val="24"/>
                <w:lang w:val="en-US" w:eastAsia="zh-CN"/>
              </w:rPr>
              <w:t>8</w:t>
            </w:r>
            <w:r>
              <w:rPr>
                <w:rFonts w:hint="default" w:ascii="Times New Roman" w:hAnsi="Times New Roman" w:eastAsia="宋体" w:cs="Times New Roman"/>
                <w:bCs w:val="0"/>
                <w:szCs w:val="24"/>
              </w:rPr>
              <w:t>.3抽样要求：</w:t>
            </w:r>
            <w:r>
              <w:rPr>
                <w:rFonts w:hint="default" w:ascii="Times New Roman" w:hAnsi="Times New Roman" w:eastAsia="宋体" w:cs="Times New Roman"/>
                <w:kern w:val="2"/>
                <w:szCs w:val="24"/>
              </w:rPr>
              <w:t>为保证抽样工作的公平、公正，保证检测结果的准确性，保障被抽检方的权利，</w:t>
            </w:r>
            <w:r>
              <w:rPr>
                <w:rFonts w:hint="eastAsia" w:eastAsia="宋体" w:cs="Times New Roman"/>
                <w:kern w:val="2"/>
                <w:szCs w:val="24"/>
                <w:lang w:val="en-US" w:eastAsia="zh-CN"/>
              </w:rPr>
              <w:t>抽样方案中的</w:t>
            </w:r>
            <w:r>
              <w:rPr>
                <w:rFonts w:hint="default" w:ascii="Times New Roman" w:hAnsi="Times New Roman" w:eastAsia="宋体" w:cs="Times New Roman"/>
                <w:kern w:val="2"/>
                <w:szCs w:val="24"/>
              </w:rPr>
              <w:t>每种原材料、成品的样品抽取一定数量，抽取的样品一部分用于检测，一部分用于留样。如</w:t>
            </w:r>
            <w:r>
              <w:rPr>
                <w:rFonts w:hint="default" w:ascii="Times New Roman" w:hAnsi="Times New Roman" w:eastAsia="宋体" w:cs="Times New Roman"/>
                <w:kern w:val="2"/>
                <w:szCs w:val="24"/>
                <w:lang w:eastAsia="zh-CN"/>
              </w:rPr>
              <w:t>中标人</w:t>
            </w:r>
            <w:r>
              <w:rPr>
                <w:rFonts w:hint="default" w:ascii="Times New Roman" w:hAnsi="Times New Roman" w:eastAsia="宋体" w:cs="Times New Roman"/>
                <w:kern w:val="2"/>
                <w:szCs w:val="24"/>
              </w:rPr>
              <w:t>要求不留样，视为放弃申请复议的权利，最终结果评定以实验室初次检测结果为准。如样品检测合格，</w:t>
            </w:r>
            <w:r>
              <w:rPr>
                <w:rFonts w:hint="default" w:ascii="Times New Roman" w:hAnsi="Times New Roman" w:eastAsia="宋体" w:cs="Times New Roman"/>
                <w:kern w:val="2"/>
                <w:szCs w:val="24"/>
                <w:lang w:eastAsia="zh-CN"/>
              </w:rPr>
              <w:t>中标人</w:t>
            </w:r>
            <w:r>
              <w:rPr>
                <w:rFonts w:hint="default" w:ascii="Times New Roman" w:hAnsi="Times New Roman" w:eastAsia="宋体" w:cs="Times New Roman"/>
                <w:kern w:val="2"/>
                <w:szCs w:val="24"/>
              </w:rPr>
              <w:t>可处置留样样品。</w:t>
            </w:r>
            <w:r>
              <w:rPr>
                <w:rFonts w:hint="default" w:ascii="Times New Roman" w:hAnsi="Times New Roman" w:eastAsia="宋体" w:cs="Times New Roman"/>
                <w:szCs w:val="24"/>
              </w:rPr>
              <w:t>所有抽检样品由</w:t>
            </w:r>
            <w:r>
              <w:rPr>
                <w:rFonts w:hint="default" w:ascii="Times New Roman" w:hAnsi="Times New Roman" w:eastAsia="宋体" w:cs="Times New Roman"/>
                <w:szCs w:val="24"/>
                <w:lang w:eastAsia="zh-CN"/>
              </w:rPr>
              <w:t>中标人</w:t>
            </w:r>
            <w:r>
              <w:rPr>
                <w:rFonts w:hint="default" w:ascii="Times New Roman" w:hAnsi="Times New Roman" w:eastAsia="宋体" w:cs="Times New Roman"/>
                <w:szCs w:val="24"/>
              </w:rPr>
              <w:t>负责保管及运送至质量监理指定的检测地点，成品由</w:t>
            </w:r>
            <w:r>
              <w:rPr>
                <w:rFonts w:hint="default" w:ascii="Times New Roman" w:hAnsi="Times New Roman" w:eastAsia="宋体" w:cs="Times New Roman"/>
                <w:szCs w:val="24"/>
                <w:lang w:eastAsia="zh-CN"/>
              </w:rPr>
              <w:t>中标人</w:t>
            </w:r>
            <w:r>
              <w:rPr>
                <w:rFonts w:hint="default" w:ascii="Times New Roman" w:hAnsi="Times New Roman" w:eastAsia="宋体" w:cs="Times New Roman"/>
                <w:szCs w:val="24"/>
              </w:rPr>
              <w:t>派专业技术人员至该测试地点负责安装调试。</w:t>
            </w:r>
          </w:p>
          <w:p w14:paraId="2AAD5AF9">
            <w:pPr>
              <w:keepNext w:val="0"/>
              <w:keepLines w:val="0"/>
              <w:widowControl/>
              <w:suppressLineNumbers w:val="0"/>
              <w:wordWrap/>
              <w:spacing w:before="0" w:beforeAutospacing="0" w:after="0" w:afterAutospacing="0" w:line="240" w:lineRule="auto"/>
              <w:ind w:left="0" w:right="0" w:firstLine="0" w:firstLineChars="0"/>
              <w:jc w:val="left"/>
              <w:rPr>
                <w:rFonts w:hint="default" w:ascii="Times New Roman" w:hAnsi="Times New Roman" w:eastAsia="宋体" w:cs="Times New Roman"/>
                <w:kern w:val="2"/>
                <w:szCs w:val="24"/>
              </w:rPr>
            </w:pPr>
            <w:r>
              <w:rPr>
                <w:rFonts w:hint="default" w:ascii="Times New Roman" w:hAnsi="Times New Roman" w:eastAsia="宋体" w:cs="Times New Roman"/>
                <w:kern w:val="2"/>
                <w:szCs w:val="24"/>
              </w:rPr>
              <w:t>成品抽样的地点可选在工厂现场，或在项目安装地。如选在项目安装地，则</w:t>
            </w:r>
            <w:r>
              <w:rPr>
                <w:rFonts w:hint="default" w:ascii="Times New Roman" w:hAnsi="Times New Roman" w:eastAsia="宋体" w:cs="Times New Roman"/>
                <w:kern w:val="2"/>
                <w:szCs w:val="24"/>
                <w:lang w:eastAsia="zh-CN"/>
              </w:rPr>
              <w:t>采购人</w:t>
            </w:r>
            <w:r>
              <w:rPr>
                <w:rFonts w:hint="default" w:ascii="Times New Roman" w:hAnsi="Times New Roman" w:eastAsia="宋体" w:cs="Times New Roman"/>
                <w:kern w:val="2"/>
                <w:szCs w:val="24"/>
              </w:rPr>
              <w:t>提供货物的集中暂存区，乙方前往进行抽样，满足以下条件：</w:t>
            </w:r>
          </w:p>
          <w:p w14:paraId="579B601D">
            <w:pPr>
              <w:keepNext w:val="0"/>
              <w:keepLines w:val="0"/>
              <w:widowControl/>
              <w:suppressLineNumbers w:val="0"/>
              <w:wordWrap/>
              <w:spacing w:before="0" w:beforeAutospacing="0" w:after="0" w:afterAutospacing="0" w:line="240" w:lineRule="auto"/>
              <w:ind w:left="0" w:right="0" w:firstLine="0" w:firstLineChars="0"/>
              <w:jc w:val="left"/>
              <w:rPr>
                <w:rFonts w:hint="default" w:ascii="Times New Roman" w:hAnsi="Times New Roman" w:eastAsia="宋体" w:cs="Times New Roman"/>
                <w:kern w:val="2"/>
                <w:szCs w:val="24"/>
              </w:rPr>
            </w:pPr>
            <w:r>
              <w:rPr>
                <w:rFonts w:hint="default" w:ascii="Times New Roman" w:hAnsi="Times New Roman" w:eastAsia="宋体" w:cs="Times New Roman"/>
                <w:kern w:val="2"/>
                <w:szCs w:val="24"/>
              </w:rPr>
              <w:t>所有已交货的家具数量占总数量的50%以上；在监理方前往现场抽样前2个工作日，由</w:t>
            </w:r>
            <w:r>
              <w:rPr>
                <w:rFonts w:hint="default" w:ascii="Times New Roman" w:hAnsi="Times New Roman" w:eastAsia="宋体" w:cs="Times New Roman"/>
                <w:kern w:val="2"/>
                <w:szCs w:val="24"/>
                <w:lang w:eastAsia="zh-CN"/>
              </w:rPr>
              <w:t>采购人</w:t>
            </w:r>
            <w:r>
              <w:rPr>
                <w:rFonts w:hint="default" w:ascii="Times New Roman" w:hAnsi="Times New Roman" w:eastAsia="宋体" w:cs="Times New Roman"/>
                <w:kern w:val="2"/>
                <w:szCs w:val="24"/>
              </w:rPr>
              <w:t>或由</w:t>
            </w:r>
            <w:r>
              <w:rPr>
                <w:rFonts w:hint="default" w:ascii="Times New Roman" w:hAnsi="Times New Roman" w:eastAsia="宋体" w:cs="Times New Roman"/>
                <w:kern w:val="2"/>
                <w:szCs w:val="24"/>
                <w:lang w:eastAsia="zh-CN"/>
              </w:rPr>
              <w:t>采购人</w:t>
            </w:r>
            <w:r>
              <w:rPr>
                <w:rFonts w:hint="default" w:ascii="Times New Roman" w:hAnsi="Times New Roman" w:eastAsia="宋体" w:cs="Times New Roman"/>
                <w:kern w:val="2"/>
                <w:szCs w:val="24"/>
              </w:rPr>
              <w:t>责成</w:t>
            </w:r>
            <w:r>
              <w:rPr>
                <w:rFonts w:hint="default" w:ascii="Times New Roman" w:hAnsi="Times New Roman" w:eastAsia="宋体" w:cs="Times New Roman"/>
                <w:kern w:val="2"/>
                <w:szCs w:val="24"/>
                <w:lang w:eastAsia="zh-CN"/>
              </w:rPr>
              <w:t>中标人</w:t>
            </w:r>
            <w:r>
              <w:rPr>
                <w:rFonts w:hint="default" w:ascii="Times New Roman" w:hAnsi="Times New Roman" w:eastAsia="宋体" w:cs="Times New Roman"/>
                <w:kern w:val="2"/>
                <w:szCs w:val="24"/>
              </w:rPr>
              <w:t>向监理方提供签字确认的所有家具的摆放地点清单（含楼栋名称、楼层、房间名称（或房间号）、家具名称、招标序号、数量等信息）。</w:t>
            </w:r>
          </w:p>
        </w:tc>
      </w:tr>
      <w:tr w14:paraId="5F66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shd w:val="clear" w:color="auto" w:fill="auto"/>
            <w:vAlign w:val="center"/>
          </w:tcPr>
          <w:p w14:paraId="54E42124">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szCs w:val="24"/>
                <w:lang w:val="en-US" w:eastAsia="zh-CN"/>
              </w:rPr>
            </w:pPr>
          </w:p>
        </w:tc>
        <w:tc>
          <w:tcPr>
            <w:tcW w:w="1877" w:type="dxa"/>
            <w:vMerge w:val="continue"/>
            <w:shd w:val="clear" w:color="auto" w:fill="auto"/>
            <w:vAlign w:val="center"/>
          </w:tcPr>
          <w:p w14:paraId="6EE0B4E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Cs w:val="24"/>
              </w:rPr>
            </w:pPr>
          </w:p>
        </w:tc>
        <w:tc>
          <w:tcPr>
            <w:tcW w:w="5832" w:type="dxa"/>
            <w:shd w:val="clear" w:color="auto" w:fill="auto"/>
            <w:vAlign w:val="center"/>
          </w:tcPr>
          <w:p w14:paraId="2CFD040C">
            <w:pPr>
              <w:keepNext w:val="0"/>
              <w:keepLines w:val="0"/>
              <w:widowControl/>
              <w:suppressLineNumbers w:val="0"/>
              <w:adjustRightInd/>
              <w:snapToGrid/>
              <w:spacing w:before="0" w:beforeAutospacing="0" w:after="0" w:afterAutospacing="0" w:line="240" w:lineRule="auto"/>
              <w:ind w:left="0" w:right="0"/>
              <w:jc w:val="left"/>
              <w:rPr>
                <w:rFonts w:hint="default" w:ascii="Times New Roman" w:hAnsi="Times New Roman" w:eastAsia="宋体" w:cs="Times New Roman"/>
                <w:bCs w:val="0"/>
                <w:szCs w:val="24"/>
              </w:rPr>
            </w:pPr>
            <w:r>
              <w:rPr>
                <w:rFonts w:hint="default" w:ascii="Times New Roman" w:hAnsi="Times New Roman" w:cs="Times New Roman"/>
                <w:bCs w:val="0"/>
                <w:szCs w:val="24"/>
                <w:lang w:val="en-US" w:eastAsia="zh-CN"/>
              </w:rPr>
              <w:t>8</w:t>
            </w:r>
            <w:r>
              <w:rPr>
                <w:rFonts w:hint="default" w:ascii="Times New Roman" w:hAnsi="Times New Roman" w:eastAsia="宋体" w:cs="Times New Roman"/>
                <w:bCs w:val="0"/>
                <w:szCs w:val="24"/>
              </w:rPr>
              <w:t>.4常规抽样费及抽样差旅费：</w:t>
            </w:r>
          </w:p>
          <w:p w14:paraId="6E8142A1">
            <w:pPr>
              <w:keepNext w:val="0"/>
              <w:keepLines w:val="0"/>
              <w:widowControl/>
              <w:suppressLineNumbers w:val="0"/>
              <w:wordWrap/>
              <w:spacing w:before="0" w:beforeAutospacing="0" w:after="0" w:afterAutospacing="0" w:line="240" w:lineRule="auto"/>
              <w:ind w:left="0" w:right="0" w:firstLine="0"/>
              <w:jc w:val="left"/>
              <w:rPr>
                <w:rFonts w:hint="default" w:ascii="Times New Roman" w:hAnsi="Times New Roman" w:eastAsia="宋体" w:cs="Times New Roman"/>
                <w:kern w:val="2"/>
                <w:szCs w:val="24"/>
              </w:rPr>
            </w:pPr>
            <w:r>
              <w:rPr>
                <w:rFonts w:hint="default" w:ascii="Times New Roman" w:hAnsi="Times New Roman" w:eastAsia="宋体" w:cs="Times New Roman"/>
                <w:szCs w:val="24"/>
              </w:rPr>
              <w:t>（1）如抽样地点在深圳市内，则由</w:t>
            </w:r>
            <w:r>
              <w:rPr>
                <w:rFonts w:hint="default" w:ascii="Times New Roman" w:hAnsi="Times New Roman" w:eastAsia="宋体" w:cs="Times New Roman"/>
                <w:kern w:val="2"/>
                <w:szCs w:val="24"/>
              </w:rPr>
              <w:t>家具监理方承担；</w:t>
            </w:r>
          </w:p>
          <w:p w14:paraId="605A59E4">
            <w:pPr>
              <w:keepNext w:val="0"/>
              <w:keepLines w:val="0"/>
              <w:widowControl/>
              <w:suppressLineNumbers w:val="0"/>
              <w:wordWrap/>
              <w:spacing w:before="0" w:beforeAutospacing="0" w:after="0" w:afterAutospacing="0" w:line="240" w:lineRule="auto"/>
              <w:ind w:left="0" w:right="0" w:firstLine="0"/>
              <w:jc w:val="left"/>
              <w:rPr>
                <w:rFonts w:hint="default" w:ascii="Times New Roman" w:hAnsi="Times New Roman" w:eastAsia="宋体" w:cs="Times New Roman"/>
                <w:kern w:val="2"/>
                <w:szCs w:val="24"/>
              </w:rPr>
            </w:pPr>
            <w:r>
              <w:rPr>
                <w:rFonts w:hint="default" w:ascii="Times New Roman" w:hAnsi="Times New Roman" w:eastAsia="宋体" w:cs="Times New Roman"/>
                <w:kern w:val="2"/>
                <w:szCs w:val="24"/>
              </w:rPr>
              <w:t>（2）如抽样地点在广东省内深圳市外，则两次以内（不含整改抽样）的抽样费、差旅费用由家具监理方承担，两次以外的由家具采购</w:t>
            </w:r>
            <w:r>
              <w:rPr>
                <w:rFonts w:hint="default" w:ascii="Times New Roman" w:hAnsi="Times New Roman" w:eastAsia="宋体" w:cs="Times New Roman"/>
                <w:kern w:val="2"/>
                <w:szCs w:val="24"/>
                <w:lang w:eastAsia="zh-CN"/>
              </w:rPr>
              <w:t>中标人</w:t>
            </w:r>
            <w:r>
              <w:rPr>
                <w:rFonts w:hint="default" w:ascii="Times New Roman" w:hAnsi="Times New Roman" w:eastAsia="宋体" w:cs="Times New Roman"/>
                <w:kern w:val="2"/>
                <w:szCs w:val="24"/>
              </w:rPr>
              <w:t>承担。</w:t>
            </w:r>
          </w:p>
          <w:p w14:paraId="5AFBAB18">
            <w:pPr>
              <w:keepNext w:val="0"/>
              <w:keepLines w:val="0"/>
              <w:widowControl/>
              <w:suppressLineNumbers w:val="0"/>
              <w:wordWrap/>
              <w:spacing w:before="0" w:beforeAutospacing="0" w:after="0" w:afterAutospacing="0" w:line="240" w:lineRule="auto"/>
              <w:ind w:left="0" w:right="0" w:firstLine="0"/>
              <w:jc w:val="left"/>
              <w:rPr>
                <w:rFonts w:hint="default" w:ascii="Times New Roman" w:hAnsi="Times New Roman" w:eastAsia="宋体" w:cs="Times New Roman"/>
                <w:kern w:val="2"/>
                <w:szCs w:val="24"/>
              </w:rPr>
            </w:pPr>
            <w:r>
              <w:rPr>
                <w:rFonts w:hint="default" w:ascii="Times New Roman" w:hAnsi="Times New Roman" w:eastAsia="宋体" w:cs="Times New Roman"/>
                <w:kern w:val="2"/>
                <w:szCs w:val="24"/>
              </w:rPr>
              <w:t>（3）如抽样地点在广东省外，则所有的抽样费、差旅费由家具采购</w:t>
            </w:r>
            <w:r>
              <w:rPr>
                <w:rFonts w:hint="default" w:ascii="Times New Roman" w:hAnsi="Times New Roman" w:eastAsia="宋体" w:cs="Times New Roman"/>
                <w:kern w:val="2"/>
                <w:szCs w:val="24"/>
                <w:lang w:eastAsia="zh-CN"/>
              </w:rPr>
              <w:t>中标人</w:t>
            </w:r>
            <w:r>
              <w:rPr>
                <w:rFonts w:hint="default" w:ascii="Times New Roman" w:hAnsi="Times New Roman" w:eastAsia="宋体" w:cs="Times New Roman"/>
                <w:kern w:val="2"/>
                <w:szCs w:val="24"/>
              </w:rPr>
              <w:t>承担。</w:t>
            </w:r>
          </w:p>
          <w:p w14:paraId="2BDB2084">
            <w:pPr>
              <w:keepNext w:val="0"/>
              <w:keepLines w:val="0"/>
              <w:widowControl/>
              <w:suppressLineNumbers w:val="0"/>
              <w:wordWrap/>
              <w:spacing w:before="0" w:beforeAutospacing="0" w:after="0" w:afterAutospacing="0" w:line="240" w:lineRule="auto"/>
              <w:ind w:left="0" w:right="0" w:firstLine="0" w:firstLineChars="0"/>
              <w:jc w:val="left"/>
              <w:rPr>
                <w:rFonts w:hint="default" w:ascii="Times New Roman" w:hAnsi="Times New Roman" w:eastAsia="宋体" w:cs="Times New Roman"/>
                <w:bCs w:val="0"/>
                <w:szCs w:val="24"/>
              </w:rPr>
            </w:pPr>
            <w:r>
              <w:rPr>
                <w:rFonts w:hint="default" w:ascii="Times New Roman" w:hAnsi="Times New Roman" w:eastAsia="宋体" w:cs="Times New Roman"/>
                <w:szCs w:val="24"/>
              </w:rPr>
              <w:t>（</w:t>
            </w:r>
            <w:r>
              <w:rPr>
                <w:rFonts w:hint="default" w:ascii="Times New Roman" w:hAnsi="Times New Roman" w:cs="Times New Roman"/>
                <w:szCs w:val="24"/>
                <w:lang w:val="en-US" w:eastAsia="zh-CN"/>
              </w:rPr>
              <w:t>4</w:t>
            </w:r>
            <w:r>
              <w:rPr>
                <w:rFonts w:hint="default" w:ascii="Times New Roman" w:hAnsi="Times New Roman" w:eastAsia="宋体" w:cs="Times New Roman"/>
                <w:szCs w:val="24"/>
              </w:rPr>
              <w:t>）如因</w:t>
            </w:r>
            <w:r>
              <w:rPr>
                <w:rFonts w:hint="default" w:ascii="Times New Roman" w:hAnsi="Times New Roman" w:eastAsia="宋体" w:cs="Times New Roman"/>
                <w:szCs w:val="24"/>
                <w:lang w:eastAsia="zh-CN"/>
              </w:rPr>
              <w:t>中标人</w:t>
            </w:r>
            <w:r>
              <w:rPr>
                <w:rFonts w:hint="default" w:ascii="Times New Roman" w:hAnsi="Times New Roman" w:eastAsia="宋体" w:cs="Times New Roman"/>
                <w:szCs w:val="24"/>
              </w:rPr>
              <w:t>破坏或偷换已封样样品，需要进行重新抽样，则抽样的人工费及交通费由</w:t>
            </w:r>
            <w:r>
              <w:rPr>
                <w:rFonts w:hint="default" w:ascii="Times New Roman" w:hAnsi="Times New Roman" w:eastAsia="宋体" w:cs="Times New Roman"/>
                <w:szCs w:val="24"/>
                <w:lang w:eastAsia="zh-CN"/>
              </w:rPr>
              <w:t>中标人</w:t>
            </w:r>
            <w:r>
              <w:rPr>
                <w:rFonts w:hint="default" w:ascii="Times New Roman" w:hAnsi="Times New Roman" w:eastAsia="宋体" w:cs="Times New Roman"/>
                <w:szCs w:val="24"/>
              </w:rPr>
              <w:t>承担。情节严重的，</w:t>
            </w:r>
            <w:r>
              <w:rPr>
                <w:rFonts w:hint="default" w:ascii="Times New Roman" w:hAnsi="Times New Roman" w:eastAsia="宋体" w:cs="Times New Roman"/>
                <w:kern w:val="2"/>
                <w:szCs w:val="24"/>
                <w:lang w:eastAsia="zh-CN"/>
              </w:rPr>
              <w:t>采购人</w:t>
            </w:r>
            <w:r>
              <w:rPr>
                <w:rFonts w:hint="default" w:ascii="Times New Roman" w:hAnsi="Times New Roman" w:eastAsia="宋体" w:cs="Times New Roman"/>
                <w:kern w:val="2"/>
                <w:szCs w:val="24"/>
              </w:rPr>
              <w:t>有权对</w:t>
            </w:r>
            <w:r>
              <w:rPr>
                <w:rFonts w:hint="default" w:ascii="Times New Roman" w:hAnsi="Times New Roman" w:eastAsia="宋体" w:cs="Times New Roman"/>
                <w:kern w:val="2"/>
                <w:szCs w:val="24"/>
                <w:lang w:eastAsia="zh-CN"/>
              </w:rPr>
              <w:t>中标人</w:t>
            </w:r>
            <w:r>
              <w:rPr>
                <w:rFonts w:hint="default" w:ascii="Times New Roman" w:hAnsi="Times New Roman" w:eastAsia="宋体" w:cs="Times New Roman"/>
                <w:kern w:val="2"/>
                <w:szCs w:val="24"/>
              </w:rPr>
              <w:t>予以一定金额的处罚。</w:t>
            </w:r>
          </w:p>
        </w:tc>
      </w:tr>
      <w:tr w14:paraId="6315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shd w:val="clear" w:color="auto" w:fill="auto"/>
            <w:vAlign w:val="center"/>
          </w:tcPr>
          <w:p w14:paraId="54828348">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szCs w:val="24"/>
                <w:lang w:val="en-US" w:eastAsia="zh-CN"/>
              </w:rPr>
            </w:pPr>
          </w:p>
        </w:tc>
        <w:tc>
          <w:tcPr>
            <w:tcW w:w="1877" w:type="dxa"/>
            <w:vMerge w:val="continue"/>
            <w:shd w:val="clear" w:color="auto" w:fill="auto"/>
            <w:vAlign w:val="center"/>
          </w:tcPr>
          <w:p w14:paraId="2C47589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szCs w:val="24"/>
              </w:rPr>
            </w:pPr>
          </w:p>
        </w:tc>
        <w:tc>
          <w:tcPr>
            <w:tcW w:w="5832" w:type="dxa"/>
            <w:shd w:val="clear" w:color="auto" w:fill="auto"/>
            <w:vAlign w:val="center"/>
          </w:tcPr>
          <w:p w14:paraId="0B568737">
            <w:pPr>
              <w:keepNext w:val="0"/>
              <w:keepLines w:val="0"/>
              <w:widowControl/>
              <w:suppressLineNumbers w:val="0"/>
              <w:wordWrap/>
              <w:spacing w:before="0" w:beforeAutospacing="0" w:after="0" w:afterAutospacing="0" w:line="240" w:lineRule="auto"/>
              <w:ind w:left="0" w:right="0"/>
              <w:jc w:val="left"/>
              <w:rPr>
                <w:rFonts w:hint="default" w:ascii="Times New Roman" w:hAnsi="Times New Roman" w:eastAsia="宋体" w:cs="Times New Roman"/>
                <w:bCs w:val="0"/>
                <w:szCs w:val="24"/>
              </w:rPr>
            </w:pPr>
            <w:r>
              <w:rPr>
                <w:rFonts w:hint="default" w:ascii="Times New Roman" w:hAnsi="Times New Roman" w:cs="Times New Roman"/>
                <w:bCs w:val="0"/>
                <w:szCs w:val="24"/>
                <w:lang w:val="en-US" w:eastAsia="zh-CN"/>
              </w:rPr>
              <w:t>8</w:t>
            </w:r>
            <w:r>
              <w:rPr>
                <w:rFonts w:hint="default" w:ascii="Times New Roman" w:hAnsi="Times New Roman" w:eastAsia="宋体" w:cs="Times New Roman"/>
                <w:bCs w:val="0"/>
                <w:szCs w:val="24"/>
              </w:rPr>
              <w:t>.</w:t>
            </w:r>
            <w:r>
              <w:rPr>
                <w:rFonts w:hint="default" w:ascii="Times New Roman" w:hAnsi="Times New Roman" w:cs="Times New Roman"/>
                <w:bCs w:val="0"/>
                <w:szCs w:val="24"/>
                <w:lang w:val="en-US" w:eastAsia="zh-CN"/>
              </w:rPr>
              <w:t>5</w:t>
            </w:r>
            <w:r>
              <w:rPr>
                <w:rFonts w:hint="default" w:ascii="Times New Roman" w:hAnsi="Times New Roman" w:eastAsia="宋体" w:cs="Times New Roman"/>
                <w:bCs w:val="0"/>
                <w:szCs w:val="24"/>
              </w:rPr>
              <w:t>检测时样品破坏的费用</w:t>
            </w:r>
          </w:p>
          <w:p w14:paraId="49CBC1E5">
            <w:pPr>
              <w:keepNext w:val="0"/>
              <w:keepLines w:val="0"/>
              <w:widowControl/>
              <w:suppressLineNumbers w:val="0"/>
              <w:wordWrap/>
              <w:spacing w:before="0" w:beforeAutospacing="0" w:after="0" w:afterAutospacing="0" w:line="240" w:lineRule="auto"/>
              <w:ind w:left="0" w:right="0" w:firstLine="0" w:firstLineChars="0"/>
              <w:jc w:val="left"/>
              <w:rPr>
                <w:rFonts w:hint="default" w:ascii="Times New Roman" w:hAnsi="Times New Roman" w:eastAsia="宋体" w:cs="Times New Roman"/>
                <w:bCs w:val="0"/>
                <w:szCs w:val="24"/>
              </w:rPr>
            </w:pPr>
            <w:r>
              <w:rPr>
                <w:rFonts w:hint="default" w:ascii="Times New Roman" w:hAnsi="Times New Roman" w:eastAsia="宋体" w:cs="Times New Roman"/>
                <w:szCs w:val="24"/>
              </w:rPr>
              <w:t>检测样品由</w:t>
            </w:r>
            <w:r>
              <w:rPr>
                <w:rFonts w:hint="default" w:ascii="Times New Roman" w:hAnsi="Times New Roman" w:eastAsia="宋体" w:cs="Times New Roman"/>
                <w:szCs w:val="24"/>
                <w:lang w:eastAsia="zh-CN"/>
              </w:rPr>
              <w:t>中标人</w:t>
            </w:r>
            <w:r>
              <w:rPr>
                <w:rFonts w:hint="default" w:ascii="Times New Roman" w:hAnsi="Times New Roman" w:eastAsia="宋体" w:cs="Times New Roman"/>
                <w:szCs w:val="24"/>
              </w:rPr>
              <w:t>提供，</w:t>
            </w:r>
            <w:r>
              <w:rPr>
                <w:rFonts w:hint="default" w:ascii="Times New Roman" w:hAnsi="Times New Roman" w:eastAsia="宋体" w:cs="Times New Roman"/>
                <w:szCs w:val="24"/>
                <w:lang w:eastAsia="zh-CN"/>
              </w:rPr>
              <w:t>采购人</w:t>
            </w:r>
            <w:r>
              <w:rPr>
                <w:rFonts w:hint="default" w:ascii="Times New Roman" w:hAnsi="Times New Roman" w:eastAsia="宋体" w:cs="Times New Roman"/>
                <w:szCs w:val="24"/>
              </w:rPr>
              <w:t>不增加费用。因检测而导致的样品的破坏由</w:t>
            </w:r>
            <w:r>
              <w:rPr>
                <w:rFonts w:hint="default" w:ascii="Times New Roman" w:hAnsi="Times New Roman" w:eastAsia="宋体" w:cs="Times New Roman"/>
                <w:szCs w:val="24"/>
                <w:lang w:eastAsia="zh-CN"/>
              </w:rPr>
              <w:t>中标人</w:t>
            </w:r>
            <w:r>
              <w:rPr>
                <w:rFonts w:hint="default" w:ascii="Times New Roman" w:hAnsi="Times New Roman" w:eastAsia="宋体" w:cs="Times New Roman"/>
                <w:szCs w:val="24"/>
              </w:rPr>
              <w:t>自行承担，破坏后的样品由企业免费增补并安装至</w:t>
            </w:r>
            <w:r>
              <w:rPr>
                <w:rFonts w:hint="default" w:ascii="Times New Roman" w:hAnsi="Times New Roman" w:eastAsia="宋体" w:cs="Times New Roman"/>
                <w:szCs w:val="24"/>
                <w:lang w:eastAsia="zh-CN"/>
              </w:rPr>
              <w:t>采购人</w:t>
            </w:r>
            <w:r>
              <w:rPr>
                <w:rFonts w:hint="default" w:ascii="Times New Roman" w:hAnsi="Times New Roman" w:eastAsia="宋体" w:cs="Times New Roman"/>
                <w:szCs w:val="24"/>
              </w:rPr>
              <w:t>指定地点。因监理方将成品抽样检测，暂时缺少的家具，为不影响</w:t>
            </w:r>
            <w:r>
              <w:rPr>
                <w:rFonts w:hint="default" w:ascii="Times New Roman" w:hAnsi="Times New Roman" w:eastAsia="宋体" w:cs="Times New Roman"/>
                <w:szCs w:val="24"/>
                <w:lang w:eastAsia="zh-CN"/>
              </w:rPr>
              <w:t>采购人</w:t>
            </w:r>
            <w:r>
              <w:rPr>
                <w:rFonts w:hint="default" w:ascii="Times New Roman" w:hAnsi="Times New Roman" w:eastAsia="宋体" w:cs="Times New Roman"/>
                <w:szCs w:val="24"/>
              </w:rPr>
              <w:t>正常使用，</w:t>
            </w:r>
            <w:r>
              <w:rPr>
                <w:rFonts w:hint="default" w:ascii="Times New Roman" w:hAnsi="Times New Roman" w:eastAsia="宋体" w:cs="Times New Roman"/>
                <w:szCs w:val="24"/>
                <w:lang w:eastAsia="zh-CN"/>
              </w:rPr>
              <w:t>中标人</w:t>
            </w:r>
            <w:r>
              <w:rPr>
                <w:rFonts w:hint="default" w:ascii="Times New Roman" w:hAnsi="Times New Roman" w:eastAsia="宋体" w:cs="Times New Roman"/>
                <w:szCs w:val="24"/>
              </w:rPr>
              <w:t>应提供可临时替用家具，直到新补的货物到位。</w:t>
            </w:r>
          </w:p>
        </w:tc>
      </w:tr>
      <w:tr w14:paraId="18AE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shd w:val="clear" w:color="auto" w:fill="auto"/>
            <w:vAlign w:val="center"/>
          </w:tcPr>
          <w:p w14:paraId="6F5C704A">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szCs w:val="24"/>
                <w:lang w:val="en-US" w:eastAsia="zh-CN"/>
              </w:rPr>
            </w:pPr>
          </w:p>
        </w:tc>
        <w:tc>
          <w:tcPr>
            <w:tcW w:w="1877" w:type="dxa"/>
            <w:vMerge w:val="continue"/>
            <w:shd w:val="clear" w:color="auto" w:fill="auto"/>
            <w:vAlign w:val="center"/>
          </w:tcPr>
          <w:p w14:paraId="2F8544C5">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szCs w:val="24"/>
              </w:rPr>
            </w:pPr>
          </w:p>
        </w:tc>
        <w:tc>
          <w:tcPr>
            <w:tcW w:w="5832" w:type="dxa"/>
            <w:shd w:val="clear" w:color="auto" w:fill="auto"/>
            <w:vAlign w:val="center"/>
          </w:tcPr>
          <w:p w14:paraId="0BB78C75">
            <w:pPr>
              <w:keepNext w:val="0"/>
              <w:keepLines w:val="0"/>
              <w:widowControl/>
              <w:suppressLineNumbers w:val="0"/>
              <w:wordWrap/>
              <w:spacing w:before="0" w:beforeAutospacing="0" w:after="0" w:afterAutospacing="0" w:line="240" w:lineRule="auto"/>
              <w:ind w:left="0" w:right="0"/>
              <w:jc w:val="left"/>
              <w:rPr>
                <w:rFonts w:hint="default" w:ascii="Times New Roman" w:hAnsi="Times New Roman" w:eastAsia="宋体" w:cs="Times New Roman"/>
                <w:bCs w:val="0"/>
                <w:kern w:val="2"/>
                <w:szCs w:val="24"/>
              </w:rPr>
            </w:pPr>
            <w:r>
              <w:rPr>
                <w:rFonts w:hint="default" w:ascii="Times New Roman" w:hAnsi="Times New Roman" w:cs="Times New Roman"/>
                <w:bCs w:val="0"/>
                <w:szCs w:val="24"/>
                <w:lang w:val="en-US" w:eastAsia="zh-CN"/>
              </w:rPr>
              <w:t>8.6</w:t>
            </w:r>
            <w:r>
              <w:rPr>
                <w:rFonts w:hint="default" w:ascii="Times New Roman" w:hAnsi="Times New Roman" w:eastAsia="宋体" w:cs="Times New Roman"/>
                <w:bCs w:val="0"/>
                <w:kern w:val="2"/>
                <w:szCs w:val="24"/>
              </w:rPr>
              <w:t>检测的要求</w:t>
            </w:r>
          </w:p>
          <w:p w14:paraId="49DBB234">
            <w:pPr>
              <w:keepNext w:val="0"/>
              <w:keepLines w:val="0"/>
              <w:widowControl/>
              <w:suppressLineNumbers w:val="0"/>
              <w:wordWrap/>
              <w:spacing w:before="0" w:beforeAutospacing="0" w:after="0" w:afterAutospacing="0" w:line="240" w:lineRule="auto"/>
              <w:ind w:left="0" w:right="0" w:firstLine="0" w:firstLineChars="0"/>
              <w:jc w:val="left"/>
              <w:rPr>
                <w:rFonts w:hint="default" w:ascii="Times New Roman" w:hAnsi="Times New Roman" w:eastAsia="宋体" w:cs="Times New Roman"/>
                <w:bCs w:val="0"/>
                <w:szCs w:val="24"/>
              </w:rPr>
            </w:pPr>
            <w:r>
              <w:rPr>
                <w:rFonts w:hint="default" w:ascii="Times New Roman" w:hAnsi="Times New Roman" w:eastAsia="宋体" w:cs="Times New Roman"/>
                <w:bCs w:val="0"/>
                <w:kern w:val="2"/>
                <w:szCs w:val="24"/>
              </w:rPr>
              <w:t>如检测不合格，家具监理方向</w:t>
            </w:r>
            <w:r>
              <w:rPr>
                <w:rFonts w:hint="default" w:ascii="Times New Roman" w:hAnsi="Times New Roman" w:eastAsia="宋体" w:cs="Times New Roman"/>
                <w:bCs w:val="0"/>
                <w:kern w:val="2"/>
                <w:szCs w:val="24"/>
                <w:lang w:eastAsia="zh-CN"/>
              </w:rPr>
              <w:t>中标人</w:t>
            </w:r>
            <w:r>
              <w:rPr>
                <w:rFonts w:hint="default" w:ascii="Times New Roman" w:hAnsi="Times New Roman" w:eastAsia="宋体" w:cs="Times New Roman"/>
                <w:bCs w:val="0"/>
                <w:kern w:val="2"/>
                <w:szCs w:val="24"/>
              </w:rPr>
              <w:t>开具《整改通知书》，</w:t>
            </w:r>
            <w:r>
              <w:rPr>
                <w:rFonts w:hint="default" w:ascii="Times New Roman" w:hAnsi="Times New Roman" w:eastAsia="宋体" w:cs="Times New Roman"/>
                <w:bCs w:val="0"/>
                <w:kern w:val="2"/>
                <w:szCs w:val="24"/>
                <w:lang w:eastAsia="zh-CN"/>
              </w:rPr>
              <w:t>中标人</w:t>
            </w:r>
            <w:r>
              <w:rPr>
                <w:rFonts w:hint="default" w:ascii="Times New Roman" w:hAnsi="Times New Roman" w:eastAsia="宋体" w:cs="Times New Roman"/>
                <w:bCs w:val="0"/>
                <w:kern w:val="2"/>
                <w:szCs w:val="24"/>
              </w:rPr>
              <w:t>整改完毕后通知家具监理方和</w:t>
            </w:r>
            <w:r>
              <w:rPr>
                <w:rFonts w:hint="default" w:ascii="Times New Roman" w:hAnsi="Times New Roman" w:eastAsia="宋体" w:cs="Times New Roman"/>
                <w:bCs w:val="0"/>
                <w:kern w:val="2"/>
                <w:szCs w:val="24"/>
                <w:lang w:eastAsia="zh-CN"/>
              </w:rPr>
              <w:t>采购人</w:t>
            </w:r>
            <w:r>
              <w:rPr>
                <w:rFonts w:hint="default" w:ascii="Times New Roman" w:hAnsi="Times New Roman" w:eastAsia="宋体" w:cs="Times New Roman"/>
                <w:bCs w:val="0"/>
                <w:kern w:val="2"/>
                <w:szCs w:val="24"/>
              </w:rPr>
              <w:t>，重新抽样检测。</w:t>
            </w:r>
            <w:r>
              <w:rPr>
                <w:rFonts w:hint="default" w:ascii="Times New Roman" w:hAnsi="Times New Roman" w:eastAsia="宋体" w:cs="Times New Roman"/>
                <w:bCs w:val="0"/>
                <w:szCs w:val="24"/>
              </w:rPr>
              <w:t>如原材料、成品全部或部分检测项目不合格，</w:t>
            </w:r>
            <w:r>
              <w:rPr>
                <w:rFonts w:hint="default" w:ascii="Times New Roman" w:hAnsi="Times New Roman" w:eastAsia="宋体" w:cs="Times New Roman"/>
                <w:bCs w:val="0"/>
                <w:szCs w:val="24"/>
                <w:lang w:eastAsia="zh-CN"/>
              </w:rPr>
              <w:t>中标人</w:t>
            </w:r>
            <w:r>
              <w:rPr>
                <w:rFonts w:hint="default" w:ascii="Times New Roman" w:hAnsi="Times New Roman" w:eastAsia="宋体" w:cs="Times New Roman"/>
                <w:bCs w:val="0"/>
                <w:szCs w:val="24"/>
              </w:rPr>
              <w:t>应停止相应的生产，按要求进行整改。整改并通过监理方检测合格后，方可恢复该部分货物的生产。</w:t>
            </w:r>
          </w:p>
        </w:tc>
      </w:tr>
      <w:tr w14:paraId="2554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shd w:val="clear" w:color="auto" w:fill="auto"/>
            <w:vAlign w:val="center"/>
          </w:tcPr>
          <w:p w14:paraId="70861064">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szCs w:val="24"/>
                <w:lang w:val="en-US" w:eastAsia="zh-CN"/>
              </w:rPr>
            </w:pPr>
          </w:p>
        </w:tc>
        <w:tc>
          <w:tcPr>
            <w:tcW w:w="1877" w:type="dxa"/>
            <w:vMerge w:val="continue"/>
            <w:shd w:val="clear" w:color="auto" w:fill="auto"/>
            <w:vAlign w:val="center"/>
          </w:tcPr>
          <w:p w14:paraId="770014B0">
            <w:pPr>
              <w:keepNext w:val="0"/>
              <w:keepLines w:val="0"/>
              <w:widowControl/>
              <w:suppressLineNumbers w:val="0"/>
              <w:wordWrap/>
              <w:spacing w:before="0" w:beforeAutospacing="0" w:after="0" w:afterAutospacing="0" w:line="240" w:lineRule="auto"/>
              <w:ind w:left="0" w:right="0" w:firstLine="0" w:firstLineChars="0"/>
              <w:jc w:val="center"/>
              <w:rPr>
                <w:rFonts w:hint="default" w:ascii="Times New Roman" w:hAnsi="Times New Roman" w:eastAsia="宋体" w:cs="Times New Roman"/>
                <w:szCs w:val="24"/>
              </w:rPr>
            </w:pPr>
          </w:p>
        </w:tc>
        <w:tc>
          <w:tcPr>
            <w:tcW w:w="5832" w:type="dxa"/>
            <w:shd w:val="clear" w:color="auto" w:fill="auto"/>
            <w:vAlign w:val="center"/>
          </w:tcPr>
          <w:p w14:paraId="65E4E5BD">
            <w:pPr>
              <w:keepNext w:val="0"/>
              <w:keepLines w:val="0"/>
              <w:widowControl/>
              <w:suppressLineNumbers w:val="0"/>
              <w:wordWrap/>
              <w:spacing w:before="0" w:beforeAutospacing="0" w:after="0" w:afterAutospacing="0" w:line="240" w:lineRule="auto"/>
              <w:ind w:left="0" w:right="0"/>
              <w:jc w:val="left"/>
              <w:rPr>
                <w:rFonts w:hint="eastAsia" w:ascii="Times New Roman" w:hAnsi="Times New Roman" w:eastAsia="宋体" w:cs="Times New Roman"/>
                <w:bCs w:val="0"/>
                <w:szCs w:val="24"/>
                <w:lang w:eastAsia="zh-CN"/>
              </w:rPr>
            </w:pPr>
            <w:r>
              <w:rPr>
                <w:rFonts w:hint="default" w:ascii="Times New Roman" w:hAnsi="Times New Roman" w:eastAsia="宋体" w:cs="Times New Roman"/>
                <w:bCs w:val="0"/>
                <w:szCs w:val="24"/>
              </w:rPr>
              <w:t>8</w:t>
            </w:r>
            <w:r>
              <w:rPr>
                <w:rFonts w:hint="default" w:ascii="Times New Roman" w:hAnsi="Times New Roman" w:cs="Times New Roman"/>
                <w:bCs w:val="0"/>
                <w:szCs w:val="24"/>
                <w:lang w:val="en-US" w:eastAsia="zh-CN"/>
              </w:rPr>
              <w:t>.7</w:t>
            </w:r>
            <w:r>
              <w:rPr>
                <w:rFonts w:hint="default" w:ascii="Times New Roman" w:hAnsi="Times New Roman" w:eastAsia="宋体" w:cs="Times New Roman"/>
                <w:bCs w:val="0"/>
                <w:szCs w:val="24"/>
              </w:rPr>
              <w:t>关于</w:t>
            </w:r>
            <w:r>
              <w:rPr>
                <w:rFonts w:hint="eastAsia" w:cs="Times New Roman"/>
                <w:bCs w:val="0"/>
                <w:szCs w:val="24"/>
                <w:lang w:val="en-US" w:eastAsia="zh-CN"/>
              </w:rPr>
              <w:t>检测</w:t>
            </w:r>
            <w:r>
              <w:rPr>
                <w:rFonts w:hint="default" w:ascii="Times New Roman" w:hAnsi="Times New Roman" w:eastAsia="宋体" w:cs="Times New Roman"/>
                <w:bCs w:val="0"/>
                <w:szCs w:val="24"/>
              </w:rPr>
              <w:t>样品的退样</w:t>
            </w:r>
            <w:r>
              <w:rPr>
                <w:rFonts w:hint="eastAsia" w:cs="Times New Roman"/>
                <w:bCs w:val="0"/>
                <w:szCs w:val="24"/>
                <w:lang w:eastAsia="zh-CN"/>
              </w:rPr>
              <w:t>（</w:t>
            </w:r>
            <w:r>
              <w:rPr>
                <w:rFonts w:hint="eastAsia" w:cs="Times New Roman"/>
                <w:bCs w:val="0"/>
                <w:szCs w:val="24"/>
                <w:lang w:val="en-US" w:eastAsia="zh-CN"/>
              </w:rPr>
              <w:t>非投标样品</w:t>
            </w:r>
            <w:r>
              <w:rPr>
                <w:rFonts w:hint="eastAsia" w:cs="Times New Roman"/>
                <w:bCs w:val="0"/>
                <w:szCs w:val="24"/>
                <w:lang w:eastAsia="zh-CN"/>
              </w:rPr>
              <w:t>）</w:t>
            </w:r>
          </w:p>
          <w:p w14:paraId="0A6E8D32">
            <w:pPr>
              <w:keepNext w:val="0"/>
              <w:keepLines w:val="0"/>
              <w:widowControl/>
              <w:suppressLineNumbers w:val="0"/>
              <w:wordWrap/>
              <w:spacing w:before="0" w:beforeAutospacing="0" w:after="0" w:afterAutospacing="0" w:line="240" w:lineRule="auto"/>
              <w:ind w:left="0" w:right="0" w:firstLine="0" w:firstLineChars="0"/>
              <w:jc w:val="left"/>
              <w:rPr>
                <w:rFonts w:hint="default" w:ascii="Times New Roman" w:hAnsi="Times New Roman" w:eastAsia="宋体" w:cs="Times New Roman"/>
                <w:bCs w:val="0"/>
                <w:kern w:val="2"/>
                <w:szCs w:val="24"/>
              </w:rPr>
            </w:pPr>
            <w:r>
              <w:rPr>
                <w:rFonts w:hint="default" w:ascii="Times New Roman" w:hAnsi="Times New Roman" w:eastAsia="宋体" w:cs="Times New Roman"/>
                <w:bCs w:val="0"/>
                <w:szCs w:val="24"/>
              </w:rPr>
              <w:t>本项目所有的样品检测完毕，出具《检测报告》后，由家具监理方免费保管</w:t>
            </w:r>
            <w:r>
              <w:rPr>
                <w:rFonts w:hint="default" w:ascii="Times New Roman" w:hAnsi="Times New Roman" w:eastAsia="宋体" w:cs="Times New Roman"/>
                <w:bCs w:val="0"/>
                <w:szCs w:val="24"/>
                <w:lang w:val="en-US" w:eastAsia="zh-CN"/>
              </w:rPr>
              <w:t>5</w:t>
            </w:r>
            <w:r>
              <w:rPr>
                <w:rFonts w:hint="default" w:ascii="Times New Roman" w:hAnsi="Times New Roman" w:eastAsia="宋体" w:cs="Times New Roman"/>
                <w:bCs w:val="0"/>
                <w:szCs w:val="24"/>
              </w:rPr>
              <w:t>个工作日。超过</w:t>
            </w:r>
            <w:r>
              <w:rPr>
                <w:rFonts w:hint="default" w:ascii="Times New Roman" w:hAnsi="Times New Roman" w:eastAsia="宋体" w:cs="Times New Roman"/>
                <w:bCs w:val="0"/>
                <w:szCs w:val="24"/>
                <w:lang w:val="en-US" w:eastAsia="zh-CN"/>
              </w:rPr>
              <w:t>5</w:t>
            </w:r>
            <w:r>
              <w:rPr>
                <w:rFonts w:hint="default" w:ascii="Times New Roman" w:hAnsi="Times New Roman" w:eastAsia="宋体" w:cs="Times New Roman"/>
                <w:bCs w:val="0"/>
                <w:szCs w:val="24"/>
              </w:rPr>
              <w:t>个工作日，</w:t>
            </w:r>
            <w:r>
              <w:rPr>
                <w:rFonts w:hint="default" w:ascii="Times New Roman" w:hAnsi="Times New Roman" w:eastAsia="宋体" w:cs="Times New Roman"/>
                <w:bCs w:val="0"/>
                <w:szCs w:val="24"/>
                <w:lang w:eastAsia="zh-CN"/>
              </w:rPr>
              <w:t>中标人</w:t>
            </w:r>
            <w:r>
              <w:rPr>
                <w:rFonts w:hint="default" w:ascii="Times New Roman" w:hAnsi="Times New Roman" w:eastAsia="宋体" w:cs="Times New Roman"/>
                <w:bCs w:val="0"/>
                <w:szCs w:val="24"/>
              </w:rPr>
              <w:t>或</w:t>
            </w:r>
            <w:r>
              <w:rPr>
                <w:rFonts w:hint="default" w:ascii="Times New Roman" w:hAnsi="Times New Roman" w:eastAsia="宋体" w:cs="Times New Roman"/>
                <w:bCs w:val="0"/>
                <w:szCs w:val="24"/>
                <w:lang w:eastAsia="zh-CN"/>
              </w:rPr>
              <w:t>采购人</w:t>
            </w:r>
            <w:r>
              <w:rPr>
                <w:rFonts w:hint="default" w:ascii="Times New Roman" w:hAnsi="Times New Roman" w:eastAsia="宋体" w:cs="Times New Roman"/>
                <w:bCs w:val="0"/>
                <w:szCs w:val="24"/>
              </w:rPr>
              <w:t>如未将样品取走，则家具监理方有权将样品作为废</w:t>
            </w:r>
            <w:r>
              <w:rPr>
                <w:rFonts w:hint="eastAsia" w:ascii="宋体" w:hAnsi="宋体" w:eastAsia="宋体" w:cs="宋体"/>
                <w:bCs w:val="0"/>
                <w:color w:val="auto"/>
                <w:szCs w:val="21"/>
                <w:highlight w:val="none"/>
              </w:rPr>
              <w:t>弃物，自行处理。</w:t>
            </w:r>
          </w:p>
        </w:tc>
      </w:tr>
      <w:tr w14:paraId="6287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restart"/>
            <w:shd w:val="clear" w:color="auto" w:fill="auto"/>
            <w:vAlign w:val="center"/>
          </w:tcPr>
          <w:p w14:paraId="41997C76">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szCs w:val="24"/>
                <w:lang w:val="en-US" w:eastAsia="zh-CN"/>
              </w:rPr>
            </w:pPr>
            <w:r>
              <w:rPr>
                <w:rFonts w:hint="default" w:ascii="Times New Roman" w:hAnsi="Times New Roman" w:cs="Times New Roman"/>
                <w:bCs w:val="0"/>
                <w:szCs w:val="24"/>
                <w:lang w:val="en-US" w:eastAsia="zh-CN"/>
              </w:rPr>
              <w:t>9</w:t>
            </w:r>
          </w:p>
        </w:tc>
        <w:tc>
          <w:tcPr>
            <w:tcW w:w="1877" w:type="dxa"/>
            <w:vMerge w:val="restart"/>
            <w:shd w:val="clear" w:color="auto" w:fill="auto"/>
            <w:vAlign w:val="center"/>
          </w:tcPr>
          <w:p w14:paraId="3F44DF7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r>
              <w:rPr>
                <w:rFonts w:hint="default" w:ascii="Times New Roman" w:hAnsi="Times New Roman" w:eastAsia="宋体" w:cs="Times New Roman"/>
                <w:szCs w:val="24"/>
              </w:rPr>
              <w:t>质量及知识产权要求</w:t>
            </w:r>
          </w:p>
        </w:tc>
        <w:tc>
          <w:tcPr>
            <w:tcW w:w="5832" w:type="dxa"/>
            <w:shd w:val="clear" w:color="auto" w:fill="auto"/>
            <w:vAlign w:val="top"/>
          </w:tcPr>
          <w:p w14:paraId="1C8BF796">
            <w:pPr>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bCs w:val="0"/>
                <w:szCs w:val="24"/>
                <w:lang w:val="en-US" w:eastAsia="zh-CN"/>
              </w:rPr>
            </w:pPr>
            <w:r>
              <w:rPr>
                <w:rFonts w:hint="default" w:ascii="Times New Roman" w:hAnsi="Times New Roman" w:cs="Times New Roman"/>
                <w:bCs w:val="0"/>
                <w:szCs w:val="24"/>
                <w:lang w:val="en-US" w:eastAsia="zh-CN"/>
              </w:rPr>
              <w:t>9.1中标人</w:t>
            </w:r>
            <w:r>
              <w:rPr>
                <w:rFonts w:hint="default" w:ascii="Times New Roman" w:hAnsi="Times New Roman" w:eastAsia="宋体" w:cs="Times New Roman"/>
                <w:bCs w:val="0"/>
                <w:szCs w:val="24"/>
              </w:rPr>
              <w:t>在中标后提供完好、全新的原包装产品（包括零配件），随机技术资料齐全。所提供货物产品应具有生产日期、厂名、厂址、产品合格证等，并且应符合国家标准、行业标准及合同约定的技术要求。</w:t>
            </w:r>
          </w:p>
        </w:tc>
      </w:tr>
      <w:tr w14:paraId="0CDD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vMerge w:val="continue"/>
            <w:shd w:val="clear" w:color="auto" w:fill="auto"/>
            <w:vAlign w:val="center"/>
          </w:tcPr>
          <w:p w14:paraId="46710075">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szCs w:val="24"/>
                <w:lang w:val="en-US" w:eastAsia="zh-CN"/>
              </w:rPr>
            </w:pPr>
          </w:p>
        </w:tc>
        <w:tc>
          <w:tcPr>
            <w:tcW w:w="1877" w:type="dxa"/>
            <w:vMerge w:val="continue"/>
            <w:shd w:val="clear" w:color="auto" w:fill="auto"/>
            <w:vAlign w:val="center"/>
          </w:tcPr>
          <w:p w14:paraId="14B082E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p>
        </w:tc>
        <w:tc>
          <w:tcPr>
            <w:tcW w:w="5832" w:type="dxa"/>
            <w:shd w:val="clear" w:color="auto" w:fill="auto"/>
            <w:vAlign w:val="top"/>
          </w:tcPr>
          <w:p w14:paraId="5C17EB18">
            <w:pPr>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bCs w:val="0"/>
                <w:szCs w:val="24"/>
                <w:lang w:val="en-US" w:eastAsia="zh-CN"/>
              </w:rPr>
            </w:pPr>
            <w:r>
              <w:rPr>
                <w:rFonts w:hint="default" w:ascii="Times New Roman" w:hAnsi="Times New Roman" w:cs="Times New Roman"/>
                <w:bCs w:val="0"/>
                <w:szCs w:val="24"/>
                <w:lang w:val="en-US" w:eastAsia="zh-CN"/>
              </w:rPr>
              <w:t>9.2</w:t>
            </w:r>
            <w:r>
              <w:rPr>
                <w:rFonts w:hint="default" w:ascii="Times New Roman" w:hAnsi="Times New Roman" w:eastAsia="宋体" w:cs="Times New Roman"/>
                <w:bCs w:val="0"/>
                <w:szCs w:val="24"/>
              </w:rPr>
              <w:t>采购人在中国使用该货物或货物的任何一部分时，免受第三方提出的侵犯其专利权、商标权或工业设计权等知识产权的起诉或司法干预。若因为知识产权纠纷造成的一切损害赔偿及损失由</w:t>
            </w:r>
            <w:r>
              <w:rPr>
                <w:rFonts w:hint="default" w:ascii="Times New Roman" w:hAnsi="Times New Roman" w:eastAsia="宋体" w:cs="Times New Roman"/>
                <w:bCs w:val="0"/>
                <w:szCs w:val="24"/>
                <w:lang w:eastAsia="zh-CN"/>
              </w:rPr>
              <w:t>中标人</w:t>
            </w:r>
            <w:r>
              <w:rPr>
                <w:rFonts w:hint="default" w:ascii="Times New Roman" w:hAnsi="Times New Roman" w:eastAsia="宋体" w:cs="Times New Roman"/>
                <w:bCs w:val="0"/>
                <w:szCs w:val="24"/>
              </w:rPr>
              <w:t>承担，包括但不限于实际损失、预期损失和对方要求赔偿损失及支出的律师费、交通费和差旅费等。</w:t>
            </w:r>
          </w:p>
        </w:tc>
      </w:tr>
      <w:tr w14:paraId="6594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11" w:type="dxa"/>
            <w:shd w:val="clear" w:color="auto" w:fill="auto"/>
            <w:vAlign w:val="center"/>
          </w:tcPr>
          <w:p w14:paraId="38F2BA9E">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szCs w:val="24"/>
                <w:lang w:val="en-US" w:eastAsia="zh-CN"/>
              </w:rPr>
            </w:pPr>
            <w:r>
              <w:rPr>
                <w:rFonts w:hint="eastAsia" w:cs="Times New Roman"/>
                <w:bCs w:val="0"/>
                <w:szCs w:val="24"/>
                <w:lang w:val="en-US" w:eastAsia="zh-CN"/>
              </w:rPr>
              <w:t>10</w:t>
            </w:r>
          </w:p>
        </w:tc>
        <w:tc>
          <w:tcPr>
            <w:tcW w:w="1877" w:type="dxa"/>
            <w:shd w:val="clear" w:color="auto" w:fill="auto"/>
            <w:vAlign w:val="center"/>
          </w:tcPr>
          <w:p w14:paraId="4BF75AC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Cs w:val="0"/>
                <w:kern w:val="2"/>
                <w:sz w:val="21"/>
                <w:szCs w:val="24"/>
                <w:lang w:val="en-US" w:eastAsia="zh-CN" w:bidi="ar-SA"/>
              </w:rPr>
            </w:pPr>
            <w:r>
              <w:rPr>
                <w:rFonts w:hint="eastAsia" w:cs="Times New Roman"/>
                <w:bCs w:val="0"/>
                <w:kern w:val="2"/>
                <w:sz w:val="21"/>
                <w:szCs w:val="24"/>
                <w:lang w:val="en-US" w:eastAsia="zh-CN" w:bidi="ar-SA"/>
              </w:rPr>
              <w:t>其他</w:t>
            </w:r>
          </w:p>
        </w:tc>
        <w:tc>
          <w:tcPr>
            <w:tcW w:w="5832" w:type="dxa"/>
            <w:shd w:val="clear" w:color="auto" w:fill="auto"/>
            <w:vAlign w:val="top"/>
          </w:tcPr>
          <w:p w14:paraId="57DEFEEE">
            <w:pPr>
              <w:keepNext w:val="0"/>
              <w:keepLines w:val="0"/>
              <w:widowControl/>
              <w:suppressLineNumbers w:val="0"/>
              <w:spacing w:before="0" w:beforeAutospacing="0" w:after="0" w:afterAutospacing="0" w:line="240" w:lineRule="auto"/>
              <w:ind w:left="0" w:right="0"/>
              <w:rPr>
                <w:rFonts w:hint="default" w:ascii="Times New Roman" w:hAnsi="Times New Roman" w:cs="Times New Roman"/>
                <w:bCs w:val="0"/>
                <w:szCs w:val="24"/>
                <w:lang w:val="en-US" w:eastAsia="zh-CN"/>
              </w:rPr>
            </w:pPr>
            <w:r>
              <w:rPr>
                <w:rFonts w:hint="eastAsia" w:ascii="宋体" w:hAnsi="宋体" w:cs="宋体"/>
                <w:color w:val="auto"/>
                <w:szCs w:val="21"/>
              </w:rPr>
              <w:t>为便于采购</w:t>
            </w:r>
            <w:r>
              <w:rPr>
                <w:rFonts w:hint="eastAsia" w:ascii="宋体" w:hAnsi="宋体" w:cs="宋体"/>
                <w:color w:val="auto"/>
                <w:szCs w:val="21"/>
                <w:lang w:val="en-US" w:eastAsia="zh-CN"/>
              </w:rPr>
              <w:t>人</w:t>
            </w:r>
            <w:r>
              <w:rPr>
                <w:rFonts w:hint="eastAsia" w:ascii="宋体" w:hAnsi="宋体" w:cs="宋体"/>
                <w:color w:val="auto"/>
                <w:szCs w:val="21"/>
              </w:rPr>
              <w:t>后期家具固定资产统计，中标</w:t>
            </w:r>
            <w:r>
              <w:rPr>
                <w:rFonts w:hint="eastAsia" w:ascii="宋体" w:hAnsi="宋体" w:cs="宋体"/>
                <w:color w:val="auto"/>
                <w:szCs w:val="21"/>
                <w:lang w:val="en-US" w:eastAsia="zh-CN"/>
              </w:rPr>
              <w:t>人</w:t>
            </w:r>
            <w:r>
              <w:rPr>
                <w:rFonts w:hint="eastAsia"/>
                <w:lang w:val="en-US" w:eastAsia="zh-CN"/>
              </w:rPr>
              <w:t>在中标后</w:t>
            </w:r>
            <w:r>
              <w:rPr>
                <w:rFonts w:hint="eastAsia" w:ascii="宋体" w:hAnsi="宋体" w:cs="宋体"/>
                <w:color w:val="auto"/>
                <w:szCs w:val="21"/>
              </w:rPr>
              <w:t>须</w:t>
            </w:r>
            <w:r>
              <w:rPr>
                <w:rFonts w:hint="eastAsia" w:ascii="宋体" w:hAnsi="宋体" w:cs="宋体"/>
                <w:color w:val="auto"/>
                <w:szCs w:val="21"/>
                <w:lang w:val="en-US" w:eastAsia="zh-CN"/>
              </w:rPr>
              <w:t>提供项目所有供货家具的实物图片册，</w:t>
            </w:r>
            <w:r>
              <w:rPr>
                <w:rFonts w:hint="eastAsia" w:ascii="宋体" w:hAnsi="宋体" w:cs="宋体"/>
                <w:color w:val="auto"/>
                <w:szCs w:val="21"/>
              </w:rPr>
              <w:t>根据家具名称及编号制作“单体家具铝制名片标识</w:t>
            </w:r>
            <w:r>
              <w:rPr>
                <w:rFonts w:hint="eastAsia" w:ascii="宋体" w:hAnsi="宋体" w:cs="宋体"/>
                <w:color w:val="auto"/>
                <w:szCs w:val="21"/>
                <w:lang w:eastAsia="zh-CN"/>
              </w:rPr>
              <w:t>（</w:t>
            </w:r>
            <w:r>
              <w:rPr>
                <w:rFonts w:hint="eastAsia" w:ascii="宋体" w:hAnsi="宋体" w:cs="宋体"/>
                <w:color w:val="auto"/>
                <w:szCs w:val="21"/>
                <w:lang w:val="en-US" w:eastAsia="zh-CN"/>
              </w:rPr>
              <w:t>含公司名称、产品名称</w:t>
            </w:r>
            <w:r>
              <w:rPr>
                <w:rFonts w:hint="eastAsia" w:ascii="宋体" w:hAnsi="宋体" w:cs="宋体"/>
                <w:color w:val="auto"/>
                <w:szCs w:val="21"/>
                <w:lang w:eastAsia="zh-CN"/>
              </w:rPr>
              <w:t>）</w:t>
            </w:r>
            <w:r>
              <w:rPr>
                <w:rFonts w:hint="eastAsia" w:ascii="宋体" w:hAnsi="宋体" w:cs="宋体"/>
                <w:color w:val="auto"/>
                <w:szCs w:val="21"/>
              </w:rPr>
              <w:t>”并固定于单体家具上，同时</w:t>
            </w:r>
            <w:r>
              <w:rPr>
                <w:rFonts w:hint="eastAsia" w:ascii="宋体" w:hAnsi="宋体" w:cs="宋体"/>
                <w:color w:val="auto"/>
                <w:szCs w:val="21"/>
                <w:lang w:val="en-US" w:eastAsia="zh-CN"/>
              </w:rPr>
              <w:t>按</w:t>
            </w:r>
            <w:r>
              <w:rPr>
                <w:rFonts w:hint="eastAsia" w:ascii="宋体" w:hAnsi="宋体" w:cs="宋体"/>
                <w:color w:val="auto"/>
                <w:szCs w:val="21"/>
              </w:rPr>
              <w:t>采购</w:t>
            </w:r>
            <w:r>
              <w:rPr>
                <w:rFonts w:hint="eastAsia" w:ascii="宋体" w:hAnsi="宋体" w:cs="宋体"/>
                <w:color w:val="auto"/>
                <w:szCs w:val="21"/>
                <w:lang w:val="en-US" w:eastAsia="zh-CN"/>
              </w:rPr>
              <w:t>人要求开展</w:t>
            </w:r>
            <w:r>
              <w:rPr>
                <w:rFonts w:hint="eastAsia" w:ascii="宋体" w:hAnsi="宋体" w:cs="宋体"/>
                <w:color w:val="auto"/>
                <w:szCs w:val="21"/>
              </w:rPr>
              <w:t>家具固定资产标签张贴工作</w:t>
            </w:r>
            <w:r>
              <w:rPr>
                <w:rFonts w:hint="eastAsia" w:ascii="宋体" w:hAnsi="宋体" w:cs="宋体"/>
                <w:color w:val="auto"/>
                <w:szCs w:val="21"/>
                <w:lang w:eastAsia="zh-CN"/>
              </w:rPr>
              <w:t>。</w:t>
            </w:r>
          </w:p>
        </w:tc>
      </w:tr>
    </w:tbl>
    <w:p w14:paraId="04563B48">
      <w:pPr>
        <w:pStyle w:val="9"/>
        <w:spacing w:before="60" w:beforeLines="25" w:after="60" w:afterLines="25"/>
        <w:ind w:firstLine="0"/>
        <w:jc w:val="center"/>
        <w:rPr>
          <w:sz w:val="28"/>
          <w:szCs w:val="28"/>
        </w:rPr>
      </w:pPr>
    </w:p>
    <w:p w14:paraId="3A0FFDB1">
      <w:pPr>
        <w:keepNext/>
        <w:keepLines/>
        <w:adjustRightInd w:val="0"/>
        <w:spacing w:before="120" w:beforeLines="50" w:after="120" w:afterLines="50"/>
        <w:ind w:firstLine="420"/>
        <w:jc w:val="center"/>
        <w:textAlignment w:val="baseline"/>
        <w:outlineLvl w:val="1"/>
        <w:rPr>
          <w:rFonts w:ascii="宋体" w:hAnsi="宋体"/>
          <w:b/>
          <w:bCs/>
          <w:kern w:val="0"/>
          <w:sz w:val="28"/>
          <w:szCs w:val="28"/>
        </w:rPr>
      </w:pPr>
      <w:r>
        <w:rPr>
          <w:rFonts w:hint="eastAsia" w:ascii="宋体" w:hAnsi="宋体"/>
          <w:b/>
          <w:bCs/>
          <w:kern w:val="0"/>
          <w:sz w:val="28"/>
          <w:szCs w:val="28"/>
        </w:rPr>
        <w:t>七、样品要求</w:t>
      </w:r>
    </w:p>
    <w:p w14:paraId="2E27BD44">
      <w:pPr>
        <w:ind w:firstLine="420" w:firstLineChars="200"/>
        <w:rPr>
          <w:rFonts w:ascii="宋体" w:hAnsi="宋体" w:cs="宋体"/>
          <w:kern w:val="0"/>
          <w:szCs w:val="18"/>
        </w:rPr>
      </w:pPr>
      <w:r>
        <w:rPr>
          <w:rFonts w:hint="eastAsia" w:ascii="宋体" w:hAnsi="宋体" w:cs="宋体"/>
          <w:kern w:val="0"/>
          <w:szCs w:val="18"/>
        </w:rPr>
        <w:t>（一）一般性规定和要求</w:t>
      </w:r>
    </w:p>
    <w:p w14:paraId="14186224">
      <w:pPr>
        <w:ind w:firstLine="420" w:firstLineChars="200"/>
        <w:rPr>
          <w:rFonts w:ascii="宋体" w:hAnsi="宋体" w:cs="宋体"/>
          <w:kern w:val="0"/>
          <w:szCs w:val="18"/>
        </w:rPr>
      </w:pPr>
      <w:r>
        <w:rPr>
          <w:rFonts w:hint="eastAsia" w:ascii="宋体" w:hAnsi="宋体" w:cs="宋体"/>
          <w:kern w:val="0"/>
          <w:szCs w:val="18"/>
        </w:rPr>
        <w:t>1、投标样品上需标注“项目名称及项目编号、样品编号、样品名称”等信息，但</w:t>
      </w:r>
      <w:r>
        <w:rPr>
          <w:rFonts w:ascii="宋体" w:hAnsi="宋体" w:cs="宋体"/>
          <w:kern w:val="0"/>
          <w:szCs w:val="18"/>
        </w:rPr>
        <w:t>不</w:t>
      </w:r>
      <w:r>
        <w:rPr>
          <w:rFonts w:hint="eastAsia" w:ascii="宋体" w:hAnsi="宋体" w:cs="宋体"/>
          <w:kern w:val="0"/>
          <w:szCs w:val="18"/>
        </w:rPr>
        <w:t>得显示指向</w:t>
      </w:r>
      <w:r>
        <w:rPr>
          <w:rFonts w:ascii="宋体" w:hAnsi="宋体" w:cs="宋体"/>
          <w:kern w:val="0"/>
          <w:szCs w:val="18"/>
        </w:rPr>
        <w:t>任何</w:t>
      </w:r>
      <w:r>
        <w:rPr>
          <w:rFonts w:hint="eastAsia" w:ascii="宋体" w:hAnsi="宋体" w:cs="宋体"/>
          <w:kern w:val="0"/>
          <w:szCs w:val="18"/>
        </w:rPr>
        <w:t>投标供应商的信息、</w:t>
      </w:r>
      <w:r>
        <w:rPr>
          <w:rFonts w:ascii="宋体" w:hAnsi="宋体" w:cs="宋体"/>
          <w:kern w:val="0"/>
          <w:szCs w:val="18"/>
        </w:rPr>
        <w:t>生产厂家</w:t>
      </w:r>
      <w:r>
        <w:rPr>
          <w:rFonts w:hint="eastAsia" w:ascii="宋体" w:hAnsi="宋体" w:cs="宋体"/>
          <w:kern w:val="0"/>
          <w:szCs w:val="18"/>
        </w:rPr>
        <w:t>的</w:t>
      </w:r>
      <w:r>
        <w:rPr>
          <w:rFonts w:ascii="宋体" w:hAnsi="宋体" w:cs="宋体"/>
          <w:kern w:val="0"/>
          <w:szCs w:val="18"/>
        </w:rPr>
        <w:t>商标，或者</w:t>
      </w:r>
      <w:r>
        <w:rPr>
          <w:rFonts w:hint="eastAsia" w:ascii="宋体" w:hAnsi="宋体" w:cs="宋体"/>
          <w:kern w:val="0"/>
          <w:szCs w:val="18"/>
        </w:rPr>
        <w:t>其他</w:t>
      </w:r>
      <w:r>
        <w:rPr>
          <w:rFonts w:ascii="宋体" w:hAnsi="宋体" w:cs="宋体"/>
          <w:kern w:val="0"/>
          <w:szCs w:val="18"/>
        </w:rPr>
        <w:t>的标记标识</w:t>
      </w:r>
      <w:r>
        <w:rPr>
          <w:rFonts w:hint="eastAsia" w:ascii="宋体" w:hAnsi="宋体" w:cs="宋体"/>
          <w:kern w:val="0"/>
          <w:szCs w:val="18"/>
        </w:rPr>
        <w:t>。需要安装的投标样品需为安装完整的成品，由投标供应商自行组织安装。</w:t>
      </w:r>
    </w:p>
    <w:p w14:paraId="33AECCE7">
      <w:pPr>
        <w:ind w:firstLine="420" w:firstLineChars="200"/>
        <w:rPr>
          <w:rFonts w:ascii="宋体" w:hAnsi="宋体" w:cs="宋体"/>
          <w:kern w:val="0"/>
          <w:szCs w:val="18"/>
        </w:rPr>
      </w:pPr>
      <w:r>
        <w:rPr>
          <w:rFonts w:hint="eastAsia" w:ascii="宋体" w:hAnsi="宋体" w:cs="宋体"/>
          <w:kern w:val="0"/>
          <w:szCs w:val="18"/>
        </w:rPr>
        <w:t>2、样品递交签到：</w:t>
      </w:r>
    </w:p>
    <w:p w14:paraId="1137BBB6">
      <w:pPr>
        <w:ind w:firstLine="420" w:firstLineChars="200"/>
        <w:rPr>
          <w:b/>
          <w:bCs/>
          <w:color w:val="FF0000"/>
        </w:rPr>
      </w:pPr>
      <w:r>
        <w:rPr>
          <w:rFonts w:hint="eastAsia"/>
          <w:bCs/>
          <w:szCs w:val="21"/>
        </w:rPr>
        <w:t>投标供应商授权人需在</w:t>
      </w:r>
      <w:r>
        <w:rPr>
          <w:rFonts w:ascii="宋体" w:hAnsi="宋体" w:cs="宋体"/>
          <w:b/>
          <w:bCs/>
          <w:color w:val="FF0000"/>
          <w:szCs w:val="21"/>
        </w:rPr>
        <w:t>本项目开标当日</w:t>
      </w:r>
      <w:r>
        <w:rPr>
          <w:rFonts w:hint="eastAsia" w:ascii="宋体" w:hAnsi="宋体" w:cs="宋体"/>
          <w:b/>
          <w:bCs/>
          <w:color w:val="FF0000"/>
          <w:szCs w:val="21"/>
        </w:rPr>
        <w:t>9:15-9:30（投标截止时间为上午时适用）,14:15-14:30</w:t>
      </w:r>
      <w:r>
        <w:rPr>
          <w:rFonts w:ascii="宋体" w:hAnsi="宋体" w:cs="宋体"/>
          <w:b/>
          <w:bCs/>
          <w:color w:val="FF0000"/>
          <w:szCs w:val="21"/>
        </w:rPr>
        <w:t>（投标截止时间为下午时适用）到签到地点（</w:t>
      </w:r>
      <w:r>
        <w:rPr>
          <w:rFonts w:hint="eastAsia" w:ascii="宋体" w:hAnsi="宋体" w:cs="宋体"/>
          <w:b/>
          <w:bCs/>
          <w:color w:val="FF0000"/>
          <w:szCs w:val="21"/>
        </w:rPr>
        <w:t>深圳市南山区西丽街道沙河西路3185号智谷产业园A座深圳交易集团总部大楼3楼</w:t>
      </w:r>
      <w:r>
        <w:rPr>
          <w:rFonts w:ascii="宋体" w:hAnsi="宋体" w:cs="宋体"/>
          <w:b/>
          <w:bCs/>
          <w:color w:val="FF0000"/>
          <w:szCs w:val="21"/>
        </w:rPr>
        <w:t>）</w:t>
      </w:r>
      <w:r>
        <w:rPr>
          <w:rFonts w:hint="eastAsia"/>
          <w:bCs/>
          <w:szCs w:val="21"/>
        </w:rPr>
        <w:t>，提供</w:t>
      </w:r>
      <w:r>
        <w:rPr>
          <w:rFonts w:hint="eastAsia"/>
          <w:b/>
          <w:color w:val="FF0000"/>
          <w:szCs w:val="21"/>
        </w:rPr>
        <w:t>（1）</w:t>
      </w:r>
      <w:r>
        <w:rPr>
          <w:rFonts w:hint="eastAsia" w:ascii="宋体" w:hAnsi="宋体" w:cs="仿宋_GB2312"/>
          <w:b/>
          <w:color w:val="FF0000"/>
          <w:szCs w:val="21"/>
        </w:rPr>
        <w:t>样品放置授权委托书</w:t>
      </w:r>
      <w:r>
        <w:rPr>
          <w:rFonts w:hint="eastAsia"/>
          <w:b/>
          <w:color w:val="FF0000"/>
          <w:szCs w:val="21"/>
        </w:rPr>
        <w:t>（盖公章）</w:t>
      </w:r>
      <w:r>
        <w:rPr>
          <w:rFonts w:hint="eastAsia"/>
        </w:rPr>
        <w:t>（授权委托书模板详见附件：</w:t>
      </w:r>
      <w:r>
        <w:rPr>
          <w:rFonts w:hint="eastAsia" w:ascii="宋体" w:hAnsi="宋体" w:cs="仿宋_GB2312"/>
          <w:szCs w:val="21"/>
        </w:rPr>
        <w:t>样品放置授权委托书</w:t>
      </w:r>
      <w:r>
        <w:rPr>
          <w:rFonts w:hint="eastAsia"/>
        </w:rPr>
        <w:t>）</w:t>
      </w:r>
      <w:r>
        <w:rPr>
          <w:rFonts w:hint="eastAsia"/>
          <w:bCs/>
          <w:szCs w:val="21"/>
        </w:rPr>
        <w:t>、</w:t>
      </w:r>
      <w:r>
        <w:rPr>
          <w:rFonts w:hint="eastAsia"/>
          <w:b/>
          <w:color w:val="FF0000"/>
          <w:szCs w:val="21"/>
        </w:rPr>
        <w:t>（2）身份证明材料原件和复印件</w:t>
      </w:r>
      <w:r>
        <w:rPr>
          <w:rFonts w:hint="eastAsia"/>
          <w:bCs/>
          <w:szCs w:val="21"/>
        </w:rPr>
        <w:t>（中国国籍人员，请提供代理人身份证，港澳台居民可提供来往通行证；非中国国籍人员，可提供公安部门认可的身份证明材料）、</w:t>
      </w:r>
      <w:r>
        <w:rPr>
          <w:rFonts w:hint="eastAsia"/>
          <w:b/>
          <w:color w:val="FF0000"/>
          <w:szCs w:val="21"/>
        </w:rPr>
        <w:t>（3）样品清单（盖公章）</w:t>
      </w:r>
      <w:r>
        <w:rPr>
          <w:rFonts w:hint="eastAsia"/>
          <w:bCs/>
          <w:szCs w:val="21"/>
        </w:rPr>
        <w:t>，按深圳公共资源交易中心（深圳交易集团有限公司政府采购业务分公司）工作人员指引进行样品递交签到。</w:t>
      </w:r>
    </w:p>
    <w:p w14:paraId="0253C68B">
      <w:pPr>
        <w:ind w:firstLine="422" w:firstLineChars="200"/>
        <w:rPr>
          <w:rFonts w:ascii="宋体" w:hAnsi="宋体" w:cs="宋体"/>
          <w:b/>
          <w:kern w:val="0"/>
          <w:szCs w:val="18"/>
        </w:rPr>
      </w:pPr>
      <w:r>
        <w:rPr>
          <w:rFonts w:hint="eastAsia"/>
          <w:b/>
          <w:szCs w:val="21"/>
        </w:rPr>
        <w:t>特别注意事项：（1）上述资料提供不齐全，不予签到；（2）签到时间截止后，不再受理签到；（3）未进行签到的，样品不予接收。</w:t>
      </w:r>
    </w:p>
    <w:p w14:paraId="79D5ED2E">
      <w:pPr>
        <w:ind w:firstLine="420" w:firstLineChars="200"/>
        <w:rPr>
          <w:rFonts w:ascii="宋体" w:hAnsi="宋体" w:cs="宋体"/>
          <w:kern w:val="0"/>
          <w:szCs w:val="18"/>
        </w:rPr>
      </w:pPr>
      <w:r>
        <w:rPr>
          <w:rFonts w:hint="eastAsia" w:ascii="宋体" w:hAnsi="宋体" w:cs="宋体"/>
          <w:kern w:val="0"/>
          <w:szCs w:val="18"/>
        </w:rPr>
        <w:t xml:space="preserve">3、本项目投标截止时间后进行投标样品接收。投标样品接收需进行身份核对、样品核对、登记确认、顺序编号。 </w:t>
      </w:r>
    </w:p>
    <w:p w14:paraId="75EDEBCB">
      <w:pPr>
        <w:ind w:firstLine="420" w:firstLineChars="200"/>
        <w:rPr>
          <w:rFonts w:ascii="宋体" w:hAnsi="宋体" w:cs="宋体"/>
          <w:kern w:val="0"/>
          <w:szCs w:val="18"/>
        </w:rPr>
      </w:pPr>
      <w:r>
        <w:rPr>
          <w:rFonts w:hint="eastAsia" w:ascii="宋体" w:hAnsi="宋体" w:cs="宋体"/>
          <w:kern w:val="0"/>
          <w:szCs w:val="18"/>
        </w:rPr>
        <w:t>（1）身份核对。深圳公共资源交易中心（深圳交易集团有限公司政府采购业务分公司）工作人员核对投标供应商授权委托人提供的“</w:t>
      </w:r>
      <w:r>
        <w:rPr>
          <w:rFonts w:hint="eastAsia" w:ascii="宋体" w:hAnsi="宋体" w:cs="仿宋_GB2312"/>
          <w:szCs w:val="21"/>
        </w:rPr>
        <w:t>样品放置授权委托书</w:t>
      </w:r>
      <w:r>
        <w:rPr>
          <w:rFonts w:hint="eastAsia" w:ascii="宋体" w:hAnsi="宋体" w:cs="宋体"/>
          <w:kern w:val="0"/>
          <w:szCs w:val="18"/>
        </w:rPr>
        <w:t>（盖公章）、授权委托人身份证原件和复印件”。资料不齐全的，不得接收投标样品。</w:t>
      </w:r>
    </w:p>
    <w:p w14:paraId="1BECD06C">
      <w:pPr>
        <w:ind w:firstLine="420" w:firstLineChars="200"/>
        <w:rPr>
          <w:rFonts w:ascii="宋体" w:hAnsi="宋体" w:cs="宋体"/>
          <w:kern w:val="0"/>
          <w:szCs w:val="18"/>
        </w:rPr>
      </w:pPr>
      <w:r>
        <w:rPr>
          <w:rFonts w:hint="eastAsia" w:ascii="宋体" w:hAnsi="宋体" w:cs="宋体"/>
          <w:kern w:val="0"/>
          <w:szCs w:val="18"/>
        </w:rPr>
        <w:t>（2）样品核对。深圳公共资源交易中心（深圳交易集团有限公司政府采购业务分公司）工作人员将投标样品与投标供应商提供的《样品清单》（盖公章）进行一一核对。有不一致的或损坏情况的，将要求供应商授权委托人在《样品清单》上注明。</w:t>
      </w:r>
    </w:p>
    <w:p w14:paraId="208B2745">
      <w:pPr>
        <w:ind w:firstLine="420" w:firstLineChars="200"/>
        <w:rPr>
          <w:rFonts w:ascii="宋体" w:hAnsi="宋体" w:cs="宋体"/>
          <w:kern w:val="0"/>
          <w:szCs w:val="18"/>
        </w:rPr>
      </w:pPr>
      <w:r>
        <w:rPr>
          <w:rFonts w:hint="eastAsia" w:ascii="宋体" w:hAnsi="宋体" w:cs="宋体"/>
          <w:kern w:val="0"/>
          <w:szCs w:val="18"/>
        </w:rPr>
        <w:t>（3）登记确认。在完成身份核对及样品核对后，投标供应商授权委托人需在《样品递交签到表》上登记确认。</w:t>
      </w:r>
    </w:p>
    <w:p w14:paraId="1F792C38">
      <w:pPr>
        <w:ind w:firstLine="420" w:firstLineChars="200"/>
        <w:rPr>
          <w:rFonts w:ascii="宋体" w:hAnsi="宋体" w:cs="宋体"/>
          <w:kern w:val="0"/>
          <w:szCs w:val="18"/>
        </w:rPr>
      </w:pPr>
      <w:r>
        <w:rPr>
          <w:rFonts w:hint="eastAsia" w:ascii="宋体" w:hAnsi="宋体" w:cs="宋体"/>
          <w:kern w:val="0"/>
          <w:szCs w:val="18"/>
        </w:rPr>
        <w:t>（4）顺序编号。深圳公共资源交易中心（深圳交易集团有限公司政府采购业务分公司）工作人员按投标样品接收的先后顺序进行编号。</w:t>
      </w:r>
    </w:p>
    <w:p w14:paraId="1C91E444">
      <w:pPr>
        <w:ind w:firstLine="420" w:firstLineChars="200"/>
        <w:rPr>
          <w:rFonts w:ascii="宋体" w:hAnsi="宋体" w:cs="宋体"/>
          <w:kern w:val="0"/>
          <w:szCs w:val="18"/>
        </w:rPr>
      </w:pPr>
      <w:r>
        <w:rPr>
          <w:rFonts w:hint="eastAsia" w:ascii="宋体" w:hAnsi="宋体" w:cs="宋体"/>
          <w:kern w:val="0"/>
          <w:szCs w:val="18"/>
        </w:rPr>
        <w:t>4、深圳公共资源交易中心（深圳交易集团有限公司政府采购业务分公司）工作人员负责组织投标样品摆样，指引供应商授权委托人将投标样品搬运到指定地点摆放、拆除包装，按要求摆放整齐。完成样品摆样后，供应商授权委托人应及时立场，不得在摆样现场滞留。</w:t>
      </w:r>
    </w:p>
    <w:p w14:paraId="410916FE">
      <w:pPr>
        <w:ind w:firstLine="420" w:firstLineChars="200"/>
        <w:rPr>
          <w:rFonts w:ascii="宋体" w:hAnsi="宋体" w:cs="宋体"/>
          <w:kern w:val="0"/>
          <w:szCs w:val="18"/>
        </w:rPr>
      </w:pPr>
      <w:r>
        <w:rPr>
          <w:rFonts w:hint="eastAsia" w:ascii="宋体" w:hAnsi="宋体" w:cs="宋体"/>
          <w:kern w:val="0"/>
          <w:szCs w:val="18"/>
        </w:rPr>
        <w:t>5、样品的退回：（1）未中标的供应商投标样品，</w:t>
      </w:r>
      <w:r>
        <w:rPr>
          <w:rFonts w:hint="eastAsia"/>
        </w:rPr>
        <w:t>由</w:t>
      </w:r>
      <w:r>
        <w:rPr>
          <w:rFonts w:hint="eastAsia" w:ascii="宋体" w:hAnsi="宋体" w:cs="宋体"/>
          <w:kern w:val="0"/>
          <w:szCs w:val="18"/>
        </w:rPr>
        <w:t>供应商出具授权委托书及被授权人身份证在项目结果公告发布后的三个工作日内办理退回手续。（2）中标的供应商投标样品，要求采购人代表凭中标通知书复印件及身份证在中标通知书发放后三个工作日内办理领取手续。</w:t>
      </w:r>
    </w:p>
    <w:p w14:paraId="633EA059">
      <w:pPr>
        <w:ind w:firstLine="420" w:firstLineChars="200"/>
        <w:rPr>
          <w:rFonts w:ascii="宋体" w:hAnsi="宋体" w:cs="宋体"/>
          <w:kern w:val="0"/>
          <w:szCs w:val="18"/>
        </w:rPr>
      </w:pPr>
      <w:r>
        <w:rPr>
          <w:rFonts w:hint="eastAsia" w:ascii="宋体" w:hAnsi="宋体" w:cs="宋体"/>
          <w:kern w:val="0"/>
          <w:szCs w:val="18"/>
        </w:rPr>
        <w:t>投标样品移交时，深圳公共资源交易中心（深圳交易集团有限公司政府采购业务分公司）工作人员将再次核对供应商授权委托人或采购人代表身份、核对《样品清单》，签字确认后并取走样品。</w:t>
      </w:r>
    </w:p>
    <w:p w14:paraId="27F75353">
      <w:pPr>
        <w:ind w:firstLine="420" w:firstLineChars="200"/>
        <w:rPr>
          <w:rFonts w:ascii="宋体" w:hAnsi="宋体" w:cs="宋体"/>
          <w:kern w:val="0"/>
          <w:szCs w:val="18"/>
        </w:rPr>
      </w:pPr>
      <w:r>
        <w:rPr>
          <w:rFonts w:hint="eastAsia" w:ascii="宋体" w:hAnsi="宋体" w:cs="宋体"/>
          <w:kern w:val="0"/>
          <w:szCs w:val="18"/>
        </w:rPr>
        <w:t>6、未能及时退回的样品的处理：</w:t>
      </w:r>
    </w:p>
    <w:p w14:paraId="6BA58AB0">
      <w:pPr>
        <w:ind w:firstLine="420" w:firstLineChars="200"/>
        <w:rPr>
          <w:rFonts w:ascii="宋体" w:hAnsi="宋体" w:cs="宋体"/>
          <w:kern w:val="0"/>
          <w:szCs w:val="18"/>
        </w:rPr>
      </w:pPr>
      <w:r>
        <w:rPr>
          <w:rFonts w:hint="eastAsia" w:ascii="宋体" w:hAnsi="宋体" w:cs="宋体"/>
          <w:kern w:val="0"/>
          <w:szCs w:val="18"/>
        </w:rPr>
        <w:t>（1）未中标供应商未在规定时间内（项目结果公告发布后的三个工作日内）内取回投标样品的，视为放弃取回，深圳公共资源交易中心（深圳交易集团有限公司政府采购业务分公司）将定期清理。</w:t>
      </w:r>
    </w:p>
    <w:p w14:paraId="3EE18E02">
      <w:pPr>
        <w:ind w:firstLine="420" w:firstLineChars="200"/>
        <w:rPr>
          <w:rFonts w:ascii="宋体" w:hAnsi="宋体" w:cs="宋体"/>
          <w:kern w:val="0"/>
          <w:szCs w:val="18"/>
        </w:rPr>
      </w:pPr>
      <w:r>
        <w:rPr>
          <w:rFonts w:hint="eastAsia" w:ascii="宋体" w:hAnsi="宋体" w:cs="宋体"/>
          <w:kern w:val="0"/>
          <w:szCs w:val="18"/>
        </w:rPr>
        <w:t>（2）采购人未在规定时间内（中标通知书发放后三个工作日内）内领取中标供应商投标样品的，视同采购人主动放弃取回，深圳公共资源交易中心（深圳交易集团有限公司政府采购业务分公司）将定期清理。</w:t>
      </w:r>
    </w:p>
    <w:p w14:paraId="011A844F">
      <w:pPr>
        <w:ind w:firstLine="420" w:firstLineChars="200"/>
        <w:rPr>
          <w:rFonts w:ascii="宋体" w:hAnsi="宋体" w:cs="宋体"/>
          <w:kern w:val="0"/>
          <w:szCs w:val="18"/>
        </w:rPr>
      </w:pPr>
      <w:r>
        <w:rPr>
          <w:rFonts w:hint="eastAsia" w:ascii="宋体" w:hAnsi="宋体" w:cs="宋体"/>
          <w:kern w:val="0"/>
          <w:szCs w:val="18"/>
        </w:rPr>
        <w:t>（二）样品清单：</w:t>
      </w:r>
    </w:p>
    <w:tbl>
      <w:tblPr>
        <w:tblStyle w:val="21"/>
        <w:tblW w:w="8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350"/>
        <w:gridCol w:w="773"/>
        <w:gridCol w:w="688"/>
        <w:gridCol w:w="4796"/>
      </w:tblGrid>
      <w:tr w14:paraId="6435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26367BD9">
            <w:pPr>
              <w:jc w:val="center"/>
              <w:rPr>
                <w:rFonts w:ascii="宋体" w:hAnsi="宋体" w:cs="宋体"/>
                <w:bCs/>
                <w:snapToGrid w:val="0"/>
                <w:color w:val="000000"/>
                <w:kern w:val="0"/>
                <w:szCs w:val="21"/>
              </w:rPr>
            </w:pPr>
            <w:r>
              <w:rPr>
                <w:rFonts w:hint="eastAsia" w:ascii="宋体" w:hAnsi="宋体" w:cs="宋体"/>
                <w:bCs/>
                <w:snapToGrid w:val="0"/>
                <w:color w:val="000000"/>
                <w:kern w:val="0"/>
                <w:szCs w:val="21"/>
              </w:rPr>
              <w:t>样品编号</w:t>
            </w:r>
          </w:p>
        </w:tc>
        <w:tc>
          <w:tcPr>
            <w:tcW w:w="1350" w:type="dxa"/>
            <w:vAlign w:val="center"/>
          </w:tcPr>
          <w:p w14:paraId="329910CF">
            <w:pPr>
              <w:jc w:val="center"/>
              <w:rPr>
                <w:rFonts w:ascii="宋体" w:hAnsi="宋体" w:cs="宋体"/>
                <w:bCs/>
                <w:snapToGrid w:val="0"/>
                <w:color w:val="000000"/>
                <w:kern w:val="0"/>
                <w:szCs w:val="21"/>
              </w:rPr>
            </w:pPr>
            <w:r>
              <w:rPr>
                <w:rFonts w:hint="eastAsia" w:ascii="宋体" w:hAnsi="宋体" w:cs="宋体"/>
                <w:bCs/>
                <w:snapToGrid w:val="0"/>
                <w:color w:val="000000"/>
                <w:kern w:val="0"/>
                <w:szCs w:val="21"/>
              </w:rPr>
              <w:t>样品名称</w:t>
            </w:r>
          </w:p>
        </w:tc>
        <w:tc>
          <w:tcPr>
            <w:tcW w:w="773" w:type="dxa"/>
            <w:vAlign w:val="center"/>
          </w:tcPr>
          <w:p w14:paraId="5DA06055">
            <w:pPr>
              <w:jc w:val="center"/>
              <w:rPr>
                <w:rFonts w:ascii="宋体" w:hAnsi="宋体" w:cs="宋体"/>
                <w:bCs/>
                <w:snapToGrid w:val="0"/>
                <w:color w:val="000000"/>
                <w:kern w:val="0"/>
                <w:szCs w:val="21"/>
              </w:rPr>
            </w:pPr>
            <w:r>
              <w:rPr>
                <w:rFonts w:hint="eastAsia" w:ascii="宋体" w:hAnsi="宋体" w:cs="宋体"/>
                <w:bCs/>
                <w:snapToGrid w:val="0"/>
                <w:color w:val="000000"/>
                <w:kern w:val="0"/>
                <w:szCs w:val="21"/>
              </w:rPr>
              <w:t>数量</w:t>
            </w:r>
          </w:p>
        </w:tc>
        <w:tc>
          <w:tcPr>
            <w:tcW w:w="688" w:type="dxa"/>
            <w:vAlign w:val="center"/>
          </w:tcPr>
          <w:p w14:paraId="4A95A5B1">
            <w:pPr>
              <w:jc w:val="center"/>
              <w:rPr>
                <w:rFonts w:ascii="宋体" w:hAnsi="宋体" w:cs="宋体"/>
                <w:bCs/>
                <w:snapToGrid w:val="0"/>
                <w:color w:val="000000"/>
                <w:kern w:val="0"/>
                <w:szCs w:val="21"/>
              </w:rPr>
            </w:pPr>
            <w:r>
              <w:rPr>
                <w:rFonts w:hint="eastAsia" w:ascii="宋体" w:hAnsi="宋体" w:cs="宋体"/>
                <w:bCs/>
                <w:snapToGrid w:val="0"/>
                <w:color w:val="000000"/>
                <w:kern w:val="0"/>
                <w:szCs w:val="21"/>
              </w:rPr>
              <w:t>单位</w:t>
            </w:r>
          </w:p>
        </w:tc>
        <w:tc>
          <w:tcPr>
            <w:tcW w:w="4796" w:type="dxa"/>
            <w:vAlign w:val="center"/>
          </w:tcPr>
          <w:p w14:paraId="0B3400E4">
            <w:pPr>
              <w:jc w:val="center"/>
              <w:rPr>
                <w:rFonts w:ascii="宋体" w:hAnsi="宋体" w:cs="宋体"/>
                <w:bCs/>
                <w:snapToGrid w:val="0"/>
                <w:color w:val="000000"/>
                <w:kern w:val="0"/>
                <w:szCs w:val="21"/>
              </w:rPr>
            </w:pPr>
            <w:r>
              <w:rPr>
                <w:rFonts w:hint="eastAsia" w:ascii="宋体" w:hAnsi="宋体" w:cs="宋体"/>
                <w:bCs/>
                <w:snapToGrid w:val="0"/>
                <w:color w:val="000000"/>
                <w:kern w:val="0"/>
                <w:szCs w:val="21"/>
              </w:rPr>
              <w:t>规格</w:t>
            </w:r>
          </w:p>
        </w:tc>
      </w:tr>
      <w:tr w14:paraId="2454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64" w:type="dxa"/>
            <w:vAlign w:val="center"/>
          </w:tcPr>
          <w:p w14:paraId="5957F4B2">
            <w:pPr>
              <w:jc w:val="center"/>
              <w:rPr>
                <w:rFonts w:ascii="宋体" w:hAnsi="宋体" w:cs="宋体"/>
                <w:bCs/>
                <w:snapToGrid w:val="0"/>
                <w:color w:val="000000"/>
                <w:kern w:val="0"/>
                <w:szCs w:val="21"/>
              </w:rPr>
            </w:pPr>
            <w:r>
              <w:rPr>
                <w:rFonts w:hint="eastAsia" w:ascii="宋体" w:hAnsi="宋体" w:cs="宋体"/>
                <w:snapToGrid w:val="0"/>
                <w:szCs w:val="21"/>
              </w:rPr>
              <w:t>1</w:t>
            </w:r>
          </w:p>
        </w:tc>
        <w:tc>
          <w:tcPr>
            <w:tcW w:w="1350" w:type="dxa"/>
            <w:vAlign w:val="center"/>
          </w:tcPr>
          <w:p w14:paraId="529BD95C">
            <w:pPr>
              <w:keepNext w:val="0"/>
              <w:keepLines w:val="0"/>
              <w:widowControl/>
              <w:suppressLineNumbers w:val="0"/>
              <w:jc w:val="center"/>
              <w:textAlignment w:val="center"/>
              <w:rPr>
                <w:rFonts w:ascii="宋体" w:hAnsi="宋体" w:cs="宋体"/>
                <w:bCs/>
                <w:snapToGrid w:val="0"/>
                <w:color w:val="000000"/>
                <w:kern w:val="0"/>
                <w:szCs w:val="21"/>
              </w:rPr>
            </w:pPr>
            <w:r>
              <w:rPr>
                <w:rFonts w:hint="eastAsia" w:ascii="宋体" w:hAnsi="宋体" w:eastAsia="宋体" w:cs="宋体"/>
                <w:i w:val="0"/>
                <w:iCs w:val="0"/>
                <w:color w:val="000000"/>
                <w:kern w:val="0"/>
                <w:sz w:val="20"/>
                <w:szCs w:val="20"/>
                <w:highlight w:val="none"/>
                <w:u w:val="none"/>
                <w:lang w:val="en-US" w:eastAsia="zh-CN" w:bidi="ar"/>
              </w:rPr>
              <w:t>椅子</w:t>
            </w:r>
            <w:r>
              <w:rPr>
                <w:rFonts w:hint="eastAsia" w:ascii="宋体" w:hAnsi="宋体" w:cs="宋体"/>
                <w:i w:val="0"/>
                <w:iCs w:val="0"/>
                <w:color w:val="000000"/>
                <w:kern w:val="0"/>
                <w:sz w:val="20"/>
                <w:szCs w:val="20"/>
                <w:highlight w:val="none"/>
                <w:u w:val="none"/>
                <w:lang w:val="en-US" w:eastAsia="zh-CN" w:bidi="ar"/>
              </w:rPr>
              <w:t>1</w:t>
            </w:r>
          </w:p>
        </w:tc>
        <w:tc>
          <w:tcPr>
            <w:tcW w:w="773" w:type="dxa"/>
            <w:vAlign w:val="center"/>
          </w:tcPr>
          <w:p w14:paraId="1A977A50">
            <w:pPr>
              <w:keepNext w:val="0"/>
              <w:keepLines w:val="0"/>
              <w:widowControl/>
              <w:suppressLineNumbers w:val="0"/>
              <w:jc w:val="center"/>
              <w:textAlignment w:val="center"/>
              <w:rPr>
                <w:rFonts w:ascii="宋体" w:hAnsi="宋体" w:cs="宋体"/>
                <w:bCs/>
                <w:snapToGrid w:val="0"/>
                <w:color w:val="000000"/>
                <w:kern w:val="0"/>
                <w:szCs w:val="21"/>
              </w:rPr>
            </w:pPr>
            <w:r>
              <w:rPr>
                <w:rFonts w:hint="eastAsia" w:ascii="宋体" w:hAnsi="宋体" w:eastAsia="宋体" w:cs="宋体"/>
                <w:i w:val="0"/>
                <w:iCs w:val="0"/>
                <w:color w:val="000000"/>
                <w:kern w:val="0"/>
                <w:sz w:val="20"/>
                <w:szCs w:val="20"/>
                <w:highlight w:val="none"/>
                <w:u w:val="none"/>
                <w:lang w:val="en-US" w:eastAsia="zh-CN" w:bidi="ar"/>
              </w:rPr>
              <w:t>1</w:t>
            </w:r>
          </w:p>
        </w:tc>
        <w:tc>
          <w:tcPr>
            <w:tcW w:w="688" w:type="dxa"/>
            <w:vAlign w:val="center"/>
          </w:tcPr>
          <w:p w14:paraId="7E7F02A0">
            <w:pPr>
              <w:keepNext w:val="0"/>
              <w:keepLines w:val="0"/>
              <w:widowControl/>
              <w:suppressLineNumbers w:val="0"/>
              <w:jc w:val="center"/>
              <w:textAlignment w:val="center"/>
              <w:rPr>
                <w:rFonts w:ascii="宋体" w:hAnsi="宋体" w:cs="宋体"/>
                <w:bCs/>
                <w:snapToGrid w:val="0"/>
                <w:color w:val="000000"/>
                <w:kern w:val="0"/>
                <w:szCs w:val="21"/>
              </w:rPr>
            </w:pPr>
            <w:r>
              <w:rPr>
                <w:rFonts w:hint="eastAsia" w:ascii="宋体" w:hAnsi="宋体" w:eastAsia="宋体" w:cs="宋体"/>
                <w:i w:val="0"/>
                <w:iCs w:val="0"/>
                <w:color w:val="000000"/>
                <w:kern w:val="0"/>
                <w:sz w:val="20"/>
                <w:szCs w:val="20"/>
                <w:highlight w:val="none"/>
                <w:u w:val="none"/>
                <w:lang w:val="en-US" w:eastAsia="zh-CN" w:bidi="ar"/>
              </w:rPr>
              <w:t>张</w:t>
            </w:r>
          </w:p>
        </w:tc>
        <w:tc>
          <w:tcPr>
            <w:tcW w:w="4796" w:type="dxa"/>
            <w:vAlign w:val="center"/>
          </w:tcPr>
          <w:p w14:paraId="39C3598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规格：</w:t>
            </w:r>
            <w:r>
              <w:rPr>
                <w:rFonts w:hint="eastAsia" w:ascii="宋体" w:hAnsi="宋体" w:eastAsia="宋体" w:cs="宋体"/>
                <w:i w:val="0"/>
                <w:iCs w:val="0"/>
                <w:color w:val="000000"/>
                <w:kern w:val="0"/>
                <w:sz w:val="20"/>
                <w:szCs w:val="20"/>
                <w:highlight w:val="none"/>
                <w:u w:val="none"/>
                <w:lang w:val="en-US" w:eastAsia="zh-CN" w:bidi="ar"/>
              </w:rPr>
              <w:t>W560*D590*H780（±5mm)</w:t>
            </w:r>
          </w:p>
          <w:p w14:paraId="666AE6C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2、座面与椅背框架：一体注塑成型，坐面和椅背中间连接部分无拼接。椅背顶端采用向后折弯设计，折弯部分为20-40mm,座面前端采用向下弧形设计。</w:t>
            </w:r>
          </w:p>
          <w:p w14:paraId="7F8EF6E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3、椅背最宽处＜500mm，椅背最窄处＞450mm，椅座最宽处＜500mm，椅座最窄处＞450mm。椅背最下端与椅座最后端留长度420mm（±10mm)、高度≥40mm的镂空设计。</w:t>
            </w:r>
          </w:p>
          <w:p w14:paraId="68EB78C1">
            <w:pPr>
              <w:keepNext w:val="0"/>
              <w:keepLines w:val="0"/>
              <w:widowControl/>
              <w:suppressLineNumbers w:val="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1"/>
                <w:szCs w:val="21"/>
                <w:highlight w:val="none"/>
                <w:u w:val="none"/>
                <w:lang w:val="en-US" w:eastAsia="zh-CN" w:bidi="ar"/>
              </w:rPr>
              <w:t>4、钢管脚：钢制椅架采用实心钢制弯管脚架，实心钢管直径12mm（±1mm)，表面喷涂。椅架前端增加横梁，横梁离地高度270mm（±10mm)，横梁内凹造型，保证腿部活动空间。钢制椅架与坐垫通过螺丝连接，同时后端插入椅背两端，增加椅背强度。底部带脚垫。</w:t>
            </w:r>
          </w:p>
          <w:p w14:paraId="633D5940">
            <w:pPr>
              <w:keepNext w:val="0"/>
              <w:keepLines w:val="0"/>
              <w:widowControl/>
              <w:suppressLineNumbers w:val="0"/>
              <w:jc w:val="both"/>
              <w:textAlignment w:val="center"/>
              <w:rPr>
                <w:rFonts w:ascii="宋体" w:hAnsi="宋体" w:cs="宋体"/>
                <w:szCs w:val="21"/>
              </w:rPr>
            </w:pPr>
            <w:r>
              <w:rPr>
                <w:rFonts w:hint="eastAsia" w:ascii="宋体" w:hAnsi="宋体" w:eastAsia="宋体" w:cs="宋体"/>
                <w:i w:val="0"/>
                <w:iCs w:val="0"/>
                <w:color w:val="000000"/>
                <w:kern w:val="0"/>
                <w:sz w:val="21"/>
                <w:szCs w:val="21"/>
                <w:highlight w:val="none"/>
                <w:u w:val="none"/>
                <w:lang w:val="en-US" w:eastAsia="zh-CN" w:bidi="ar"/>
              </w:rPr>
              <w:t>5</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座椅无扶手，坐垫底部配四个防刮花胶塞。</w:t>
            </w:r>
          </w:p>
        </w:tc>
      </w:tr>
      <w:tr w14:paraId="23E3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64" w:type="dxa"/>
            <w:vAlign w:val="center"/>
          </w:tcPr>
          <w:p w14:paraId="26E55475">
            <w:pPr>
              <w:jc w:val="center"/>
              <w:rPr>
                <w:rFonts w:ascii="宋体" w:hAnsi="宋体" w:cs="宋体"/>
                <w:bCs/>
                <w:snapToGrid w:val="0"/>
                <w:color w:val="000000"/>
                <w:kern w:val="0"/>
                <w:szCs w:val="21"/>
              </w:rPr>
            </w:pPr>
            <w:r>
              <w:rPr>
                <w:rFonts w:hint="eastAsia" w:ascii="宋体" w:hAnsi="宋体" w:cs="宋体"/>
                <w:snapToGrid w:val="0"/>
                <w:szCs w:val="21"/>
              </w:rPr>
              <w:t>2</w:t>
            </w:r>
          </w:p>
        </w:tc>
        <w:tc>
          <w:tcPr>
            <w:tcW w:w="1350" w:type="dxa"/>
            <w:vAlign w:val="center"/>
          </w:tcPr>
          <w:p w14:paraId="4992CD97">
            <w:pPr>
              <w:keepNext w:val="0"/>
              <w:keepLines w:val="0"/>
              <w:widowControl/>
              <w:suppressLineNumbers w:val="0"/>
              <w:jc w:val="center"/>
              <w:textAlignment w:val="center"/>
              <w:rPr>
                <w:rFonts w:ascii="宋体" w:hAnsi="宋体" w:cs="宋体"/>
                <w:bCs/>
                <w:snapToGrid w:val="0"/>
                <w:color w:val="000000"/>
                <w:kern w:val="0"/>
                <w:szCs w:val="21"/>
              </w:rPr>
            </w:pPr>
            <w:r>
              <w:rPr>
                <w:rFonts w:hint="eastAsia" w:ascii="宋体" w:hAnsi="宋体" w:eastAsia="宋体" w:cs="宋体"/>
                <w:i w:val="0"/>
                <w:iCs w:val="0"/>
                <w:color w:val="000000"/>
                <w:kern w:val="0"/>
                <w:sz w:val="20"/>
                <w:szCs w:val="20"/>
                <w:u w:val="none"/>
                <w:lang w:val="en-US" w:eastAsia="zh-CN" w:bidi="ar"/>
              </w:rPr>
              <w:t>书桌台面小样</w:t>
            </w:r>
          </w:p>
        </w:tc>
        <w:tc>
          <w:tcPr>
            <w:tcW w:w="773" w:type="dxa"/>
            <w:vAlign w:val="center"/>
          </w:tcPr>
          <w:p w14:paraId="592453A1">
            <w:pPr>
              <w:keepNext w:val="0"/>
              <w:keepLines w:val="0"/>
              <w:widowControl/>
              <w:suppressLineNumbers w:val="0"/>
              <w:jc w:val="center"/>
              <w:textAlignment w:val="center"/>
              <w:rPr>
                <w:rFonts w:ascii="宋体" w:hAnsi="宋体" w:cs="宋体"/>
                <w:bCs/>
                <w:snapToGrid w:val="0"/>
                <w:color w:val="000000"/>
                <w:kern w:val="0"/>
                <w:szCs w:val="21"/>
              </w:rPr>
            </w:pPr>
            <w:r>
              <w:rPr>
                <w:rFonts w:hint="eastAsia" w:ascii="宋体" w:hAnsi="宋体" w:eastAsia="宋体" w:cs="宋体"/>
                <w:i w:val="0"/>
                <w:iCs w:val="0"/>
                <w:color w:val="000000"/>
                <w:kern w:val="0"/>
                <w:sz w:val="20"/>
                <w:szCs w:val="20"/>
                <w:u w:val="none"/>
                <w:lang w:val="en-US" w:eastAsia="zh-CN" w:bidi="ar"/>
              </w:rPr>
              <w:t>1</w:t>
            </w:r>
          </w:p>
        </w:tc>
        <w:tc>
          <w:tcPr>
            <w:tcW w:w="688" w:type="dxa"/>
            <w:vAlign w:val="center"/>
          </w:tcPr>
          <w:p w14:paraId="1E91C6D2">
            <w:pPr>
              <w:keepNext w:val="0"/>
              <w:keepLines w:val="0"/>
              <w:widowControl/>
              <w:suppressLineNumbers w:val="0"/>
              <w:jc w:val="center"/>
              <w:textAlignment w:val="center"/>
              <w:rPr>
                <w:rFonts w:ascii="宋体" w:hAnsi="宋体" w:cs="宋体"/>
                <w:bCs/>
                <w:snapToGrid w:val="0"/>
                <w:color w:val="000000"/>
                <w:kern w:val="0"/>
                <w:szCs w:val="21"/>
              </w:rPr>
            </w:pPr>
            <w:r>
              <w:rPr>
                <w:rFonts w:hint="eastAsia" w:ascii="宋体" w:hAnsi="宋体" w:eastAsia="宋体" w:cs="宋体"/>
                <w:i w:val="0"/>
                <w:iCs w:val="0"/>
                <w:color w:val="000000"/>
                <w:kern w:val="0"/>
                <w:sz w:val="20"/>
                <w:szCs w:val="20"/>
                <w:u w:val="none"/>
                <w:lang w:val="en-US" w:eastAsia="zh-CN" w:bidi="ar"/>
              </w:rPr>
              <w:t>块</w:t>
            </w:r>
          </w:p>
        </w:tc>
        <w:tc>
          <w:tcPr>
            <w:tcW w:w="4796" w:type="dxa"/>
            <w:vAlign w:val="center"/>
          </w:tcPr>
          <w:p w14:paraId="1477C208">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w:t>
            </w:r>
            <w:r>
              <w:rPr>
                <w:rFonts w:hint="eastAsia" w:ascii="宋体" w:hAnsi="宋体" w:cs="宋体"/>
                <w:i w:val="0"/>
                <w:iCs w:val="0"/>
                <w:color w:val="000000"/>
                <w:kern w:val="0"/>
                <w:sz w:val="20"/>
                <w:szCs w:val="20"/>
                <w:u w:val="none"/>
                <w:lang w:val="en-US" w:eastAsia="zh-CN" w:bidi="ar"/>
              </w:rPr>
              <w:t>长</w:t>
            </w:r>
            <w:r>
              <w:rPr>
                <w:rFonts w:hint="eastAsia" w:ascii="宋体" w:hAnsi="宋体" w:eastAsia="宋体" w:cs="宋体"/>
                <w:i w:val="0"/>
                <w:iCs w:val="0"/>
                <w:color w:val="000000"/>
                <w:kern w:val="0"/>
                <w:sz w:val="20"/>
                <w:szCs w:val="20"/>
                <w:u w:val="none"/>
                <w:lang w:val="en-US" w:eastAsia="zh-CN" w:bidi="ar"/>
              </w:rPr>
              <w:t>500</w:t>
            </w:r>
            <w:r>
              <w:rPr>
                <w:rFonts w:hint="eastAsia" w:ascii="宋体" w:hAnsi="宋体" w:cs="宋体"/>
                <w:i w:val="0"/>
                <w:iCs w:val="0"/>
                <w:color w:val="000000"/>
                <w:kern w:val="0"/>
                <w:sz w:val="20"/>
                <w:szCs w:val="20"/>
                <w:u w:val="none"/>
                <w:lang w:val="en-US" w:eastAsia="zh-CN" w:bidi="ar"/>
              </w:rPr>
              <w:t>mm×宽</w:t>
            </w:r>
            <w:r>
              <w:rPr>
                <w:rFonts w:hint="eastAsia" w:ascii="宋体" w:hAnsi="宋体" w:eastAsia="宋体" w:cs="宋体"/>
                <w:i w:val="0"/>
                <w:iCs w:val="0"/>
                <w:color w:val="000000"/>
                <w:kern w:val="0"/>
                <w:sz w:val="20"/>
                <w:szCs w:val="20"/>
                <w:u w:val="none"/>
                <w:lang w:val="en-US" w:eastAsia="zh-CN" w:bidi="ar"/>
              </w:rPr>
              <w:t>500</w:t>
            </w:r>
            <w:r>
              <w:rPr>
                <w:rFonts w:hint="eastAsia" w:ascii="宋体" w:hAnsi="宋体" w:cs="宋体"/>
                <w:i w:val="0"/>
                <w:iCs w:val="0"/>
                <w:color w:val="000000"/>
                <w:kern w:val="0"/>
                <w:sz w:val="20"/>
                <w:szCs w:val="20"/>
                <w:u w:val="none"/>
                <w:lang w:val="en-US" w:eastAsia="zh-CN" w:bidi="ar"/>
              </w:rPr>
              <w:t>mm×高</w:t>
            </w:r>
            <w:r>
              <w:rPr>
                <w:rFonts w:hint="eastAsia" w:ascii="宋体" w:hAnsi="宋体" w:eastAsia="宋体" w:cs="宋体"/>
                <w:i w:val="0"/>
                <w:iCs w:val="0"/>
                <w:color w:val="000000"/>
                <w:kern w:val="0"/>
                <w:sz w:val="20"/>
                <w:szCs w:val="20"/>
                <w:u w:val="none"/>
                <w:lang w:val="en-US" w:eastAsia="zh-CN" w:bidi="ar"/>
              </w:rPr>
              <w:t>25mm（±</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mm）</w:t>
            </w:r>
          </w:p>
          <w:p w14:paraId="6E96D8CB">
            <w:pPr>
              <w:keepNext w:val="0"/>
              <w:keepLines w:val="0"/>
              <w:widowControl/>
              <w:suppressLineNumbers w:val="0"/>
              <w:jc w:val="both"/>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kern w:val="0"/>
                <w:sz w:val="20"/>
                <w:szCs w:val="20"/>
                <w:u w:val="none"/>
                <w:lang w:val="en-US" w:eastAsia="zh-CN" w:bidi="ar"/>
              </w:rPr>
              <w:t>2、基材：</w:t>
            </w:r>
            <w:r>
              <w:rPr>
                <w:rFonts w:hint="eastAsia" w:ascii="宋体" w:hAnsi="宋体" w:cs="宋体"/>
                <w:i w:val="0"/>
                <w:iCs w:val="0"/>
                <w:color w:val="000000"/>
                <w:kern w:val="0"/>
                <w:sz w:val="20"/>
                <w:szCs w:val="20"/>
                <w:u w:val="none"/>
                <w:lang w:val="en-US" w:eastAsia="zh-CN" w:bidi="ar"/>
              </w:rPr>
              <w:t>油漆涂饰，</w:t>
            </w:r>
            <w:r>
              <w:rPr>
                <w:rFonts w:hint="eastAsia" w:ascii="宋体" w:hAnsi="宋体" w:cs="宋体"/>
                <w:color w:val="000000"/>
                <w:kern w:val="0"/>
                <w:sz w:val="20"/>
                <w:szCs w:val="20"/>
              </w:rPr>
              <w:t>直拼木板工艺（不采用指接工艺），直拼板宽度≥</w:t>
            </w:r>
            <w:r>
              <w:rPr>
                <w:rFonts w:hint="eastAsia" w:ascii="宋体" w:hAnsi="宋体" w:cs="宋体"/>
                <w:color w:val="000000"/>
                <w:kern w:val="0"/>
                <w:sz w:val="20"/>
                <w:szCs w:val="20"/>
                <w:lang w:val="en-US" w:eastAsia="zh-CN"/>
              </w:rPr>
              <w:t>6</w:t>
            </w:r>
            <w:r>
              <w:rPr>
                <w:rFonts w:hint="eastAsia" w:ascii="宋体" w:hAnsi="宋体" w:cs="宋体"/>
                <w:color w:val="000000"/>
                <w:kern w:val="0"/>
                <w:sz w:val="20"/>
                <w:szCs w:val="20"/>
              </w:rPr>
              <w:t>0mm，长度不拼接，无任何人造板材</w:t>
            </w:r>
            <w:r>
              <w:rPr>
                <w:rFonts w:hint="eastAsia" w:ascii="宋体" w:hAnsi="宋体" w:cs="宋体"/>
                <w:color w:val="000000"/>
                <w:kern w:val="0"/>
                <w:sz w:val="20"/>
                <w:szCs w:val="20"/>
                <w:lang w:eastAsia="zh-CN"/>
              </w:rPr>
              <w:t>。</w:t>
            </w:r>
          </w:p>
          <w:p w14:paraId="21B667EB">
            <w:pPr>
              <w:keepNext w:val="0"/>
              <w:keepLines w:val="0"/>
              <w:widowControl/>
              <w:suppressLineNumbers w:val="0"/>
              <w:jc w:val="both"/>
              <w:textAlignment w:val="center"/>
              <w:rPr>
                <w:rFonts w:hint="default" w:ascii="宋体" w:hAnsi="宋体" w:cs="宋体"/>
                <w:szCs w:val="21"/>
                <w:lang w:val="en-US"/>
              </w:rPr>
            </w:pPr>
            <w:r>
              <w:rPr>
                <w:rFonts w:hint="eastAsia" w:ascii="宋体" w:hAnsi="宋体" w:eastAsia="宋体" w:cs="宋体"/>
                <w:i w:val="0"/>
                <w:iCs w:val="0"/>
                <w:color w:val="000000"/>
                <w:kern w:val="0"/>
                <w:sz w:val="20"/>
                <w:szCs w:val="20"/>
                <w:u w:val="none"/>
                <w:lang w:val="en-US" w:eastAsia="zh-CN" w:bidi="ar"/>
              </w:rPr>
              <w:t>3、要求：</w:t>
            </w:r>
            <w:r>
              <w:rPr>
                <w:rFonts w:hint="eastAsia" w:ascii="宋体" w:hAnsi="宋体" w:cs="宋体"/>
                <w:i w:val="0"/>
                <w:iCs w:val="0"/>
                <w:color w:val="000000"/>
                <w:kern w:val="0"/>
                <w:sz w:val="20"/>
                <w:szCs w:val="20"/>
                <w:u w:val="none"/>
                <w:lang w:val="en-US" w:eastAsia="zh-CN" w:bidi="ar"/>
              </w:rPr>
              <w:t>四角及边缘倒圆角工艺。</w:t>
            </w:r>
          </w:p>
        </w:tc>
      </w:tr>
      <w:tr w14:paraId="26FD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64" w:type="dxa"/>
            <w:vAlign w:val="center"/>
          </w:tcPr>
          <w:p w14:paraId="09B3D37F">
            <w:pPr>
              <w:jc w:val="center"/>
              <w:rPr>
                <w:rFonts w:ascii="宋体" w:hAnsi="宋体" w:cs="宋体"/>
                <w:bCs/>
                <w:snapToGrid w:val="0"/>
                <w:kern w:val="0"/>
                <w:szCs w:val="21"/>
              </w:rPr>
            </w:pPr>
            <w:r>
              <w:rPr>
                <w:rFonts w:hint="eastAsia" w:ascii="宋体" w:hAnsi="宋体" w:cs="宋体"/>
                <w:snapToGrid w:val="0"/>
                <w:szCs w:val="21"/>
              </w:rPr>
              <w:t>3</w:t>
            </w:r>
          </w:p>
        </w:tc>
        <w:tc>
          <w:tcPr>
            <w:tcW w:w="1350" w:type="dxa"/>
            <w:vAlign w:val="center"/>
          </w:tcPr>
          <w:p w14:paraId="199CAFC6">
            <w:pPr>
              <w:keepNext w:val="0"/>
              <w:keepLines w:val="0"/>
              <w:widowControl/>
              <w:suppressLineNumbers w:val="0"/>
              <w:jc w:val="center"/>
              <w:textAlignment w:val="center"/>
              <w:rPr>
                <w:rFonts w:ascii="宋体" w:hAnsi="宋体" w:cs="宋体"/>
                <w:bCs/>
                <w:snapToGrid w:val="0"/>
                <w:kern w:val="0"/>
                <w:szCs w:val="21"/>
              </w:rPr>
            </w:pPr>
            <w:r>
              <w:rPr>
                <w:rFonts w:hint="eastAsia" w:ascii="宋体" w:hAnsi="宋体" w:eastAsia="宋体" w:cs="宋体"/>
                <w:i w:val="0"/>
                <w:iCs w:val="0"/>
                <w:color w:val="000000"/>
                <w:kern w:val="0"/>
                <w:sz w:val="20"/>
                <w:szCs w:val="20"/>
                <w:u w:val="none"/>
                <w:lang w:val="en-US" w:eastAsia="zh-CN" w:bidi="ar"/>
              </w:rPr>
              <w:t>床架小样（缩小版）</w:t>
            </w:r>
          </w:p>
        </w:tc>
        <w:tc>
          <w:tcPr>
            <w:tcW w:w="773" w:type="dxa"/>
            <w:vAlign w:val="center"/>
          </w:tcPr>
          <w:p w14:paraId="6F3CFADD">
            <w:pPr>
              <w:keepNext w:val="0"/>
              <w:keepLines w:val="0"/>
              <w:widowControl/>
              <w:suppressLineNumbers w:val="0"/>
              <w:jc w:val="center"/>
              <w:textAlignment w:val="center"/>
              <w:rPr>
                <w:rFonts w:ascii="宋体" w:hAnsi="宋体" w:cs="宋体"/>
                <w:bCs/>
                <w:snapToGrid w:val="0"/>
                <w:kern w:val="0"/>
                <w:szCs w:val="21"/>
              </w:rPr>
            </w:pPr>
            <w:r>
              <w:rPr>
                <w:rFonts w:hint="eastAsia" w:ascii="宋体" w:hAnsi="宋体" w:eastAsia="宋体" w:cs="宋体"/>
                <w:i w:val="0"/>
                <w:iCs w:val="0"/>
                <w:color w:val="000000"/>
                <w:kern w:val="0"/>
                <w:sz w:val="20"/>
                <w:szCs w:val="20"/>
                <w:u w:val="none"/>
                <w:lang w:val="en-US" w:eastAsia="zh-CN" w:bidi="ar"/>
              </w:rPr>
              <w:t>1</w:t>
            </w:r>
          </w:p>
        </w:tc>
        <w:tc>
          <w:tcPr>
            <w:tcW w:w="688" w:type="dxa"/>
            <w:vAlign w:val="center"/>
          </w:tcPr>
          <w:p w14:paraId="6E54C43D">
            <w:pPr>
              <w:keepNext w:val="0"/>
              <w:keepLines w:val="0"/>
              <w:widowControl/>
              <w:suppressLineNumbers w:val="0"/>
              <w:jc w:val="center"/>
              <w:textAlignment w:val="center"/>
              <w:rPr>
                <w:rFonts w:ascii="宋体" w:hAnsi="宋体" w:cs="宋体"/>
                <w:bCs/>
                <w:snapToGrid w:val="0"/>
                <w:kern w:val="0"/>
                <w:szCs w:val="21"/>
              </w:rPr>
            </w:pPr>
            <w:r>
              <w:rPr>
                <w:rFonts w:hint="eastAsia" w:ascii="宋体" w:hAnsi="宋体" w:eastAsia="宋体" w:cs="宋体"/>
                <w:i w:val="0"/>
                <w:iCs w:val="0"/>
                <w:color w:val="000000"/>
                <w:kern w:val="0"/>
                <w:sz w:val="20"/>
                <w:szCs w:val="20"/>
                <w:u w:val="none"/>
                <w:lang w:val="en-US" w:eastAsia="zh-CN" w:bidi="ar"/>
              </w:rPr>
              <w:t>套</w:t>
            </w:r>
          </w:p>
        </w:tc>
        <w:tc>
          <w:tcPr>
            <w:tcW w:w="4796" w:type="dxa"/>
            <w:vAlign w:val="center"/>
          </w:tcPr>
          <w:p w14:paraId="637E1E7B">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1、规格：</w:t>
            </w:r>
            <w:r>
              <w:rPr>
                <w:rFonts w:hint="eastAsia" w:ascii="宋体" w:hAnsi="宋体" w:cs="宋体"/>
                <w:i w:val="0"/>
                <w:iCs w:val="0"/>
                <w:color w:val="000000"/>
                <w:kern w:val="0"/>
                <w:sz w:val="20"/>
                <w:szCs w:val="20"/>
                <w:u w:val="none"/>
                <w:lang w:val="en-US" w:eastAsia="zh-CN" w:bidi="ar"/>
              </w:rPr>
              <w:t>长</w:t>
            </w:r>
            <w:r>
              <w:rPr>
                <w:rFonts w:hint="eastAsia" w:ascii="宋体" w:hAnsi="宋体" w:eastAsia="宋体" w:cs="宋体"/>
                <w:i w:val="0"/>
                <w:iCs w:val="0"/>
                <w:color w:val="000000"/>
                <w:kern w:val="0"/>
                <w:sz w:val="20"/>
                <w:szCs w:val="20"/>
                <w:u w:val="none"/>
                <w:lang w:val="en-US" w:eastAsia="zh-CN" w:bidi="ar"/>
              </w:rPr>
              <w:t>950</w:t>
            </w:r>
            <w:r>
              <w:rPr>
                <w:rFonts w:hint="eastAsia" w:ascii="宋体" w:hAnsi="宋体" w:cs="宋体"/>
                <w:i w:val="0"/>
                <w:iCs w:val="0"/>
                <w:color w:val="000000"/>
                <w:kern w:val="0"/>
                <w:sz w:val="20"/>
                <w:szCs w:val="20"/>
                <w:u w:val="none"/>
                <w:lang w:val="en-US" w:eastAsia="zh-CN" w:bidi="ar"/>
              </w:rPr>
              <w:t>mm×宽</w:t>
            </w:r>
            <w:r>
              <w:rPr>
                <w:rFonts w:hint="eastAsia" w:ascii="宋体" w:hAnsi="宋体" w:eastAsia="宋体" w:cs="宋体"/>
                <w:i w:val="0"/>
                <w:iCs w:val="0"/>
                <w:color w:val="000000"/>
                <w:kern w:val="0"/>
                <w:sz w:val="20"/>
                <w:szCs w:val="20"/>
                <w:u w:val="none"/>
                <w:lang w:val="en-US" w:eastAsia="zh-CN" w:bidi="ar"/>
              </w:rPr>
              <w:t>450</w:t>
            </w:r>
            <w:r>
              <w:rPr>
                <w:rFonts w:hint="eastAsia" w:ascii="宋体" w:hAnsi="宋体" w:cs="宋体"/>
                <w:i w:val="0"/>
                <w:iCs w:val="0"/>
                <w:color w:val="000000"/>
                <w:kern w:val="0"/>
                <w:sz w:val="20"/>
                <w:szCs w:val="20"/>
                <w:u w:val="none"/>
                <w:lang w:val="en-US" w:eastAsia="zh-CN" w:bidi="ar"/>
              </w:rPr>
              <w:t>mm×高</w:t>
            </w:r>
            <w:r>
              <w:rPr>
                <w:rFonts w:hint="eastAsia" w:ascii="宋体" w:hAnsi="宋体" w:eastAsia="宋体" w:cs="宋体"/>
                <w:i w:val="0"/>
                <w:iCs w:val="0"/>
                <w:color w:val="000000"/>
                <w:kern w:val="0"/>
                <w:sz w:val="20"/>
                <w:szCs w:val="20"/>
                <w:u w:val="none"/>
                <w:lang w:val="en-US" w:eastAsia="zh-CN" w:bidi="ar"/>
              </w:rPr>
              <w:t>1000</w:t>
            </w:r>
            <w:r>
              <w:rPr>
                <w:rFonts w:hint="eastAsia" w:ascii="宋体" w:hAnsi="宋体" w:cs="宋体"/>
                <w:i w:val="0"/>
                <w:iCs w:val="0"/>
                <w:color w:val="000000"/>
                <w:kern w:val="0"/>
                <w:sz w:val="20"/>
                <w:szCs w:val="20"/>
                <w:u w:val="none"/>
                <w:lang w:val="en-US" w:eastAsia="zh-CN" w:bidi="ar"/>
              </w:rPr>
              <w:t>mm</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mm）</w:t>
            </w:r>
          </w:p>
          <w:p w14:paraId="510190D3">
            <w:pPr>
              <w:keepNext w:val="0"/>
              <w:keepLines w:val="0"/>
              <w:widowControl/>
              <w:suppressLineNumbers w:val="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床立柱：</w:t>
            </w:r>
            <w:r>
              <w:rPr>
                <w:rFonts w:hint="eastAsia" w:ascii="宋体" w:hAnsi="宋体" w:eastAsia="宋体" w:cs="宋体"/>
                <w:b w:val="0"/>
                <w:bCs w:val="0"/>
                <w:i w:val="0"/>
                <w:iCs w:val="0"/>
                <w:color w:val="auto"/>
                <w:kern w:val="0"/>
                <w:sz w:val="21"/>
                <w:szCs w:val="21"/>
                <w:highlight w:val="none"/>
                <w:u w:val="none"/>
                <w:lang w:val="en-US" w:eastAsia="zh-CN" w:bidi="ar"/>
              </w:rPr>
              <w:t>外形尺寸80mm×50mm</w:t>
            </w:r>
            <w:r>
              <w:rPr>
                <w:rFonts w:hint="eastAsia" w:ascii="宋体" w:hAnsi="宋体" w:eastAsia="宋体" w:cs="宋体"/>
                <w:b w:val="0"/>
                <w:bCs w:val="0"/>
                <w:i w:val="0"/>
                <w:iCs w:val="0"/>
                <w:color w:val="auto"/>
                <w:kern w:val="0"/>
                <w:sz w:val="20"/>
                <w:szCs w:val="20"/>
                <w:highlight w:val="none"/>
                <w:u w:val="none"/>
                <w:lang w:val="en-US" w:eastAsia="zh-CN" w:bidi="ar"/>
              </w:rPr>
              <w:t>（±</w:t>
            </w:r>
            <w:r>
              <w:rPr>
                <w:rFonts w:hint="eastAsia" w:ascii="宋体" w:hAnsi="宋体" w:cs="宋体"/>
                <w:b w:val="0"/>
                <w:bCs w:val="0"/>
                <w:i w:val="0"/>
                <w:iCs w:val="0"/>
                <w:color w:val="auto"/>
                <w:kern w:val="0"/>
                <w:sz w:val="20"/>
                <w:szCs w:val="20"/>
                <w:highlight w:val="none"/>
                <w:u w:val="none"/>
                <w:lang w:val="en-US" w:eastAsia="zh-CN" w:bidi="ar"/>
              </w:rPr>
              <w:t>2</w:t>
            </w:r>
            <w:r>
              <w:rPr>
                <w:rFonts w:hint="eastAsia" w:ascii="宋体" w:hAnsi="宋体" w:eastAsia="宋体" w:cs="宋体"/>
                <w:b w:val="0"/>
                <w:bCs w:val="0"/>
                <w:i w:val="0"/>
                <w:iCs w:val="0"/>
                <w:color w:val="auto"/>
                <w:kern w:val="0"/>
                <w:sz w:val="20"/>
                <w:szCs w:val="20"/>
                <w:highlight w:val="none"/>
                <w:u w:val="none"/>
                <w:lang w:val="en-US" w:eastAsia="zh-CN" w:bidi="ar"/>
              </w:rPr>
              <w:t>mm）</w:t>
            </w:r>
            <w:r>
              <w:rPr>
                <w:rFonts w:hint="eastAsia" w:ascii="宋体" w:hAnsi="宋体" w:eastAsia="宋体" w:cs="宋体"/>
                <w:b w:val="0"/>
                <w:bCs w:val="0"/>
                <w:i w:val="0"/>
                <w:iCs w:val="0"/>
                <w:color w:val="auto"/>
                <w:kern w:val="0"/>
                <w:sz w:val="21"/>
                <w:szCs w:val="21"/>
                <w:highlight w:val="none"/>
                <w:u w:val="none"/>
                <w:lang w:val="en-US" w:eastAsia="zh-CN" w:bidi="ar"/>
              </w:rPr>
              <w:t>，厚度不小于1.2mm，经轧压线辊压成闭口，≥</w:t>
            </w:r>
            <w:r>
              <w:rPr>
                <w:rFonts w:hint="eastAsia" w:ascii="宋体" w:hAnsi="宋体" w:cs="宋体"/>
                <w:b w:val="0"/>
                <w:bCs w:val="0"/>
                <w:i w:val="0"/>
                <w:iCs w:val="0"/>
                <w:color w:val="auto"/>
                <w:kern w:val="0"/>
                <w:sz w:val="21"/>
                <w:szCs w:val="21"/>
                <w:highlight w:val="none"/>
                <w:u w:val="none"/>
                <w:lang w:val="en-US" w:eastAsia="zh-CN" w:bidi="ar"/>
              </w:rPr>
              <w:t>8</w:t>
            </w:r>
            <w:r>
              <w:rPr>
                <w:rFonts w:hint="eastAsia" w:ascii="宋体" w:hAnsi="宋体" w:eastAsia="宋体" w:cs="宋体"/>
                <w:b w:val="0"/>
                <w:bCs w:val="0"/>
                <w:i w:val="0"/>
                <w:iCs w:val="0"/>
                <w:color w:val="auto"/>
                <w:kern w:val="0"/>
                <w:sz w:val="21"/>
                <w:szCs w:val="21"/>
                <w:highlight w:val="none"/>
                <w:u w:val="none"/>
                <w:lang w:val="en-US" w:eastAsia="zh-CN" w:bidi="ar"/>
              </w:rPr>
              <w:t>个面组成，边角为斜边设计，起到防撞作用，与床</w:t>
            </w:r>
            <w:r>
              <w:rPr>
                <w:rFonts w:hint="eastAsia" w:ascii="宋体" w:hAnsi="宋体" w:cs="宋体"/>
                <w:b w:val="0"/>
                <w:bCs w:val="0"/>
                <w:i w:val="0"/>
                <w:iCs w:val="0"/>
                <w:color w:val="auto"/>
                <w:kern w:val="0"/>
                <w:sz w:val="21"/>
                <w:szCs w:val="21"/>
                <w:highlight w:val="none"/>
                <w:u w:val="none"/>
                <w:lang w:val="en-US" w:eastAsia="zh-CN" w:bidi="ar"/>
              </w:rPr>
              <w:t>长</w:t>
            </w:r>
            <w:r>
              <w:rPr>
                <w:rFonts w:hint="eastAsia" w:ascii="宋体" w:hAnsi="宋体" w:eastAsia="宋体" w:cs="宋体"/>
                <w:b w:val="0"/>
                <w:bCs w:val="0"/>
                <w:i w:val="0"/>
                <w:iCs w:val="0"/>
                <w:color w:val="auto"/>
                <w:kern w:val="0"/>
                <w:sz w:val="21"/>
                <w:szCs w:val="21"/>
                <w:highlight w:val="none"/>
                <w:u w:val="none"/>
                <w:lang w:val="en-US" w:eastAsia="zh-CN" w:bidi="ar"/>
              </w:rPr>
              <w:t>横梁连接面宽度为</w:t>
            </w:r>
            <w:r>
              <w:rPr>
                <w:rFonts w:hint="eastAsia" w:ascii="宋体" w:hAnsi="宋体" w:cs="宋体"/>
                <w:b w:val="0"/>
                <w:bCs w:val="0"/>
                <w:i w:val="0"/>
                <w:iCs w:val="0"/>
                <w:color w:val="auto"/>
                <w:kern w:val="0"/>
                <w:sz w:val="21"/>
                <w:szCs w:val="21"/>
                <w:highlight w:val="none"/>
                <w:u w:val="none"/>
                <w:lang w:val="en-US" w:eastAsia="zh-CN" w:bidi="ar"/>
              </w:rPr>
              <w:t>28</w:t>
            </w:r>
            <w:r>
              <w:rPr>
                <w:rFonts w:hint="eastAsia" w:ascii="宋体" w:hAnsi="宋体" w:eastAsia="宋体" w:cs="宋体"/>
                <w:b w:val="0"/>
                <w:bCs w:val="0"/>
                <w:i w:val="0"/>
                <w:iCs w:val="0"/>
                <w:color w:val="auto"/>
                <w:kern w:val="0"/>
                <w:sz w:val="21"/>
                <w:szCs w:val="21"/>
                <w:highlight w:val="none"/>
                <w:u w:val="none"/>
                <w:lang w:val="en-US" w:eastAsia="zh-CN" w:bidi="ar"/>
              </w:rPr>
              <w:t>mm(±2mm);外侧为5条倒角弧形内凹加强筋，连接件内藏于管内侧。床立柱顶端配有塑制蚊帐架支撑套件</w:t>
            </w:r>
            <w:r>
              <w:rPr>
                <w:rFonts w:hint="eastAsia" w:ascii="宋体" w:hAnsi="宋体" w:cs="宋体"/>
                <w:b w:val="0"/>
                <w:bCs w:val="0"/>
                <w:i w:val="0"/>
                <w:iCs w:val="0"/>
                <w:color w:val="auto"/>
                <w:kern w:val="0"/>
                <w:sz w:val="21"/>
                <w:szCs w:val="21"/>
                <w:highlight w:val="none"/>
                <w:u w:val="none"/>
                <w:lang w:val="en-US" w:eastAsia="zh-CN" w:bidi="ar"/>
              </w:rPr>
              <w:t>，底部配有塑制防水脚套。</w:t>
            </w:r>
          </w:p>
          <w:p w14:paraId="4914D4BD">
            <w:pPr>
              <w:keepNext w:val="0"/>
              <w:keepLines w:val="0"/>
              <w:widowControl/>
              <w:suppressLineNumbers w:val="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床横梁：</w:t>
            </w:r>
            <w:r>
              <w:rPr>
                <w:rFonts w:hint="eastAsia" w:ascii="宋体" w:hAnsi="宋体" w:eastAsia="宋体" w:cs="宋体"/>
                <w:b w:val="0"/>
                <w:bCs w:val="0"/>
                <w:i w:val="0"/>
                <w:iCs w:val="0"/>
                <w:color w:val="auto"/>
                <w:kern w:val="0"/>
                <w:sz w:val="21"/>
                <w:szCs w:val="21"/>
                <w:highlight w:val="none"/>
                <w:u w:val="none"/>
                <w:lang w:val="en-US" w:eastAsia="zh-CN" w:bidi="ar"/>
              </w:rPr>
              <w:t>采用规格为90mm×30mm</w:t>
            </w:r>
            <w:r>
              <w:rPr>
                <w:rFonts w:hint="eastAsia" w:ascii="宋体" w:hAnsi="宋体" w:eastAsia="宋体" w:cs="宋体"/>
                <w:b w:val="0"/>
                <w:bCs w:val="0"/>
                <w:i w:val="0"/>
                <w:iCs w:val="0"/>
                <w:color w:val="auto"/>
                <w:kern w:val="0"/>
                <w:sz w:val="20"/>
                <w:szCs w:val="20"/>
                <w:highlight w:val="none"/>
                <w:u w:val="none"/>
                <w:lang w:val="en-US" w:eastAsia="zh-CN" w:bidi="ar"/>
              </w:rPr>
              <w:t>（±</w:t>
            </w:r>
            <w:r>
              <w:rPr>
                <w:rFonts w:hint="eastAsia" w:ascii="宋体" w:hAnsi="宋体" w:cs="宋体"/>
                <w:b w:val="0"/>
                <w:bCs w:val="0"/>
                <w:i w:val="0"/>
                <w:iCs w:val="0"/>
                <w:color w:val="auto"/>
                <w:kern w:val="0"/>
                <w:sz w:val="20"/>
                <w:szCs w:val="20"/>
                <w:highlight w:val="none"/>
                <w:u w:val="none"/>
                <w:lang w:val="en-US" w:eastAsia="zh-CN" w:bidi="ar"/>
              </w:rPr>
              <w:t>2</w:t>
            </w:r>
            <w:r>
              <w:rPr>
                <w:rFonts w:hint="eastAsia" w:ascii="宋体" w:hAnsi="宋体" w:eastAsia="宋体" w:cs="宋体"/>
                <w:b w:val="0"/>
                <w:bCs w:val="0"/>
                <w:i w:val="0"/>
                <w:iCs w:val="0"/>
                <w:color w:val="auto"/>
                <w:kern w:val="0"/>
                <w:sz w:val="20"/>
                <w:szCs w:val="20"/>
                <w:highlight w:val="none"/>
                <w:u w:val="none"/>
                <w:lang w:val="en-US" w:eastAsia="zh-CN" w:bidi="ar"/>
              </w:rPr>
              <w:t>mm）</w:t>
            </w:r>
            <w:r>
              <w:rPr>
                <w:rFonts w:hint="eastAsia" w:ascii="宋体" w:hAnsi="宋体" w:eastAsia="宋体" w:cs="宋体"/>
                <w:b w:val="0"/>
                <w:bCs w:val="0"/>
                <w:i w:val="0"/>
                <w:iCs w:val="0"/>
                <w:color w:val="auto"/>
                <w:kern w:val="0"/>
                <w:sz w:val="21"/>
                <w:szCs w:val="21"/>
                <w:highlight w:val="none"/>
                <w:u w:val="none"/>
                <w:lang w:val="en-US" w:eastAsia="zh-CN" w:bidi="ar"/>
              </w:rPr>
              <w:t>，壁厚不小于1.2mm闭口型管材，外侧面有5条倒角弧形内凹加强筋，底部圆弧形设计，加强其抗弯强度同时起到防撞作用；表面经粉末涂料塑粉处理，整体稳固美观。</w:t>
            </w:r>
          </w:p>
          <w:p w14:paraId="704782BC">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CN" w:bidi="ar"/>
              </w:rPr>
              <w:t>床头护栏：</w:t>
            </w:r>
            <w:r>
              <w:rPr>
                <w:rFonts w:hint="eastAsia" w:ascii="宋体" w:hAnsi="宋体" w:eastAsia="宋体" w:cs="宋体"/>
                <w:b w:val="0"/>
                <w:bCs w:val="0"/>
                <w:i w:val="0"/>
                <w:iCs w:val="0"/>
                <w:color w:val="auto"/>
                <w:kern w:val="0"/>
                <w:sz w:val="21"/>
                <w:szCs w:val="21"/>
                <w:highlight w:val="none"/>
                <w:u w:val="none"/>
                <w:lang w:val="en-US" w:eastAsia="zh-CN" w:bidi="ar"/>
              </w:rPr>
              <w:t>横杆采用规格为25mm×25mm</w:t>
            </w:r>
            <w:r>
              <w:rPr>
                <w:rFonts w:hint="eastAsia" w:ascii="宋体" w:hAnsi="宋体" w:eastAsia="宋体" w:cs="宋体"/>
                <w:b w:val="0"/>
                <w:bCs w:val="0"/>
                <w:i w:val="0"/>
                <w:iCs w:val="0"/>
                <w:color w:val="auto"/>
                <w:kern w:val="0"/>
                <w:sz w:val="20"/>
                <w:szCs w:val="20"/>
                <w:highlight w:val="none"/>
                <w:u w:val="none"/>
                <w:lang w:val="en-US" w:eastAsia="zh-CN" w:bidi="ar"/>
              </w:rPr>
              <w:t>（±</w:t>
            </w:r>
            <w:r>
              <w:rPr>
                <w:rFonts w:hint="eastAsia" w:ascii="宋体" w:hAnsi="宋体" w:cs="宋体"/>
                <w:b w:val="0"/>
                <w:bCs w:val="0"/>
                <w:i w:val="0"/>
                <w:iCs w:val="0"/>
                <w:color w:val="auto"/>
                <w:kern w:val="0"/>
                <w:sz w:val="20"/>
                <w:szCs w:val="20"/>
                <w:highlight w:val="none"/>
                <w:u w:val="none"/>
                <w:lang w:val="en-US" w:eastAsia="zh-CN" w:bidi="ar"/>
              </w:rPr>
              <w:t>2</w:t>
            </w:r>
            <w:r>
              <w:rPr>
                <w:rFonts w:hint="eastAsia" w:ascii="宋体" w:hAnsi="宋体" w:eastAsia="宋体" w:cs="宋体"/>
                <w:b w:val="0"/>
                <w:bCs w:val="0"/>
                <w:i w:val="0"/>
                <w:iCs w:val="0"/>
                <w:color w:val="auto"/>
                <w:kern w:val="0"/>
                <w:sz w:val="20"/>
                <w:szCs w:val="20"/>
                <w:highlight w:val="none"/>
                <w:u w:val="none"/>
                <w:lang w:val="en-US" w:eastAsia="zh-CN" w:bidi="ar"/>
              </w:rPr>
              <w:t>mm）</w:t>
            </w:r>
            <w:r>
              <w:rPr>
                <w:rFonts w:hint="eastAsia" w:ascii="宋体" w:hAnsi="宋体" w:cs="宋体"/>
                <w:b w:val="0"/>
                <w:bCs w:val="0"/>
                <w:i w:val="0"/>
                <w:iCs w:val="0"/>
                <w:color w:val="auto"/>
                <w:kern w:val="0"/>
                <w:sz w:val="21"/>
                <w:szCs w:val="21"/>
                <w:highlight w:val="none"/>
                <w:u w:val="none"/>
                <w:lang w:val="en-US" w:eastAsia="zh-CN" w:bidi="ar"/>
              </w:rPr>
              <w:t>钢管</w:t>
            </w:r>
            <w:r>
              <w:rPr>
                <w:rFonts w:hint="eastAsia" w:ascii="宋体" w:hAnsi="宋体" w:eastAsia="宋体" w:cs="宋体"/>
                <w:b w:val="0"/>
                <w:bCs w:val="0"/>
                <w:i w:val="0"/>
                <w:iCs w:val="0"/>
                <w:color w:val="auto"/>
                <w:kern w:val="0"/>
                <w:sz w:val="21"/>
                <w:szCs w:val="21"/>
                <w:highlight w:val="none"/>
                <w:u w:val="none"/>
                <w:lang w:val="en-US" w:eastAsia="zh-CN" w:bidi="ar"/>
              </w:rPr>
              <w:t>。表面经粉末涂料塑粉处理。</w:t>
            </w:r>
            <w:r>
              <w:rPr>
                <w:rFonts w:hint="eastAsia"/>
                <w:b w:val="0"/>
                <w:bCs w:val="0"/>
                <w:color w:val="auto"/>
                <w:highlight w:val="none"/>
              </w:rPr>
              <w:t>护栏镶嵌挡板，挡板厚</w:t>
            </w:r>
            <w:r>
              <w:rPr>
                <w:rFonts w:hint="eastAsia"/>
                <w:b w:val="0"/>
                <w:bCs w:val="0"/>
                <w:color w:val="auto"/>
                <w:highlight w:val="none"/>
                <w:lang w:val="en-US" w:eastAsia="zh-CN"/>
              </w:rPr>
              <w:t>≥</w:t>
            </w:r>
            <w:r>
              <w:rPr>
                <w:rFonts w:hint="eastAsia"/>
                <w:b w:val="0"/>
                <w:bCs w:val="0"/>
                <w:color w:val="auto"/>
                <w:highlight w:val="none"/>
              </w:rPr>
              <w:t>15mm</w:t>
            </w:r>
            <w:r>
              <w:rPr>
                <w:rFonts w:hint="eastAsia"/>
                <w:b w:val="0"/>
                <w:bCs w:val="0"/>
                <w:color w:val="auto"/>
                <w:highlight w:val="none"/>
                <w:lang w:eastAsia="zh-CN"/>
              </w:rPr>
              <w:t>，</w:t>
            </w:r>
            <w:r>
              <w:rPr>
                <w:rFonts w:hint="eastAsia"/>
                <w:b w:val="0"/>
                <w:bCs w:val="0"/>
                <w:color w:val="auto"/>
                <w:highlight w:val="none"/>
              </w:rPr>
              <w:t>采用饰面板。</w:t>
            </w:r>
          </w:p>
          <w:p w14:paraId="41E570AF">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5.正前护栏：</w:t>
            </w:r>
            <w:r>
              <w:rPr>
                <w:rFonts w:hint="eastAsia" w:ascii="宋体" w:hAnsi="宋体" w:eastAsia="宋体" w:cs="宋体"/>
                <w:i w:val="0"/>
                <w:iCs w:val="0"/>
                <w:color w:val="auto"/>
                <w:kern w:val="0"/>
                <w:sz w:val="21"/>
                <w:szCs w:val="21"/>
                <w:highlight w:val="none"/>
                <w:u w:val="none"/>
                <w:lang w:val="en-US" w:eastAsia="zh-CN" w:bidi="ar"/>
              </w:rPr>
              <w:t>采用规格为20mm×20mm</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mm）</w:t>
            </w:r>
            <w:r>
              <w:rPr>
                <w:rFonts w:hint="eastAsia" w:ascii="宋体" w:hAnsi="宋体" w:cs="宋体"/>
                <w:i w:val="0"/>
                <w:iCs w:val="0"/>
                <w:color w:val="auto"/>
                <w:kern w:val="0"/>
                <w:sz w:val="21"/>
                <w:szCs w:val="21"/>
                <w:highlight w:val="none"/>
                <w:u w:val="none"/>
                <w:lang w:val="en-US" w:eastAsia="zh-CN" w:bidi="ar"/>
              </w:rPr>
              <w:t>钢管</w:t>
            </w:r>
            <w:r>
              <w:rPr>
                <w:rFonts w:hint="eastAsia" w:ascii="宋体" w:hAnsi="宋体" w:eastAsia="宋体" w:cs="宋体"/>
                <w:i w:val="0"/>
                <w:iCs w:val="0"/>
                <w:color w:val="auto"/>
                <w:kern w:val="0"/>
                <w:sz w:val="21"/>
                <w:szCs w:val="21"/>
                <w:highlight w:val="none"/>
                <w:u w:val="none"/>
                <w:lang w:val="en-US" w:eastAsia="zh-CN" w:bidi="ar"/>
              </w:rPr>
              <w:t>，护栏板材采用</w:t>
            </w:r>
            <w:r>
              <w:rPr>
                <w:rFonts w:hint="eastAsia"/>
                <w:b w:val="0"/>
                <w:bCs w:val="0"/>
                <w:color w:val="auto"/>
                <w:highlight w:val="none"/>
                <w:lang w:val="en-US" w:eastAsia="zh-CN"/>
              </w:rPr>
              <w:t>≥</w:t>
            </w:r>
            <w:r>
              <w:rPr>
                <w:rFonts w:hint="eastAsia"/>
                <w:b w:val="0"/>
                <w:bCs w:val="0"/>
                <w:color w:val="auto"/>
                <w:highlight w:val="none"/>
              </w:rPr>
              <w:t>15mm</w:t>
            </w:r>
            <w:r>
              <w:rPr>
                <w:rFonts w:hint="eastAsia" w:ascii="宋体" w:hAnsi="宋体" w:eastAsia="宋体" w:cs="宋体"/>
                <w:i w:val="0"/>
                <w:iCs w:val="0"/>
                <w:color w:val="auto"/>
                <w:kern w:val="0"/>
                <w:sz w:val="21"/>
                <w:szCs w:val="21"/>
                <w:highlight w:val="none"/>
                <w:u w:val="none"/>
                <w:lang w:val="en-US" w:eastAsia="zh-CN" w:bidi="ar"/>
              </w:rPr>
              <w:t>厚</w:t>
            </w:r>
            <w:r>
              <w:rPr>
                <w:rFonts w:hint="eastAsia"/>
                <w:color w:val="auto"/>
                <w:highlight w:val="none"/>
              </w:rPr>
              <w:t>浸渍胶膜纸饰面实木多层板</w:t>
            </w:r>
            <w:r>
              <w:rPr>
                <w:rFonts w:hint="eastAsia"/>
                <w:lang w:eastAsia="zh-CN"/>
              </w:rPr>
              <w:t>（</w:t>
            </w:r>
            <w:r>
              <w:rPr>
                <w:rFonts w:hint="eastAsia"/>
                <w:lang w:val="en-US" w:eastAsia="zh-CN"/>
              </w:rPr>
              <w:t>胶合板</w:t>
            </w:r>
            <w:r>
              <w:rPr>
                <w:rFonts w:hint="eastAsia"/>
                <w:lang w:eastAsia="zh-CN"/>
              </w:rPr>
              <w:t>）</w:t>
            </w:r>
            <w:r>
              <w:rPr>
                <w:rFonts w:hint="eastAsia" w:ascii="宋体" w:hAnsi="宋体" w:eastAsia="宋体" w:cs="宋体"/>
                <w:i w:val="0"/>
                <w:iCs w:val="0"/>
                <w:color w:val="auto"/>
                <w:kern w:val="0"/>
                <w:sz w:val="21"/>
                <w:szCs w:val="21"/>
                <w:highlight w:val="none"/>
                <w:u w:val="none"/>
                <w:lang w:val="en-US" w:eastAsia="zh-CN" w:bidi="ar"/>
              </w:rPr>
              <w:t>，钢材表面经粉末涂料塑粉处理，护栏高</w:t>
            </w:r>
            <w:r>
              <w:rPr>
                <w:rFonts w:hint="eastAsia"/>
                <w:color w:val="auto"/>
                <w:highlight w:val="none"/>
              </w:rPr>
              <w:t>≥</w:t>
            </w:r>
            <w:r>
              <w:rPr>
                <w:rFonts w:hint="eastAsia" w:ascii="宋体" w:hAnsi="宋体" w:eastAsia="宋体" w:cs="宋体"/>
                <w:i w:val="0"/>
                <w:iCs w:val="0"/>
                <w:color w:val="auto"/>
                <w:kern w:val="0"/>
                <w:sz w:val="21"/>
                <w:szCs w:val="21"/>
                <w:highlight w:val="none"/>
                <w:u w:val="none"/>
                <w:lang w:val="en-US" w:eastAsia="zh-CN" w:bidi="ar"/>
              </w:rPr>
              <w:t>300MM。</w:t>
            </w:r>
          </w:p>
          <w:p w14:paraId="6FA23621">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上铺登床口护栏：</w:t>
            </w:r>
            <w:r>
              <w:rPr>
                <w:rFonts w:hint="eastAsia" w:ascii="宋体" w:hAnsi="宋体" w:eastAsia="宋体" w:cs="宋体"/>
                <w:i w:val="0"/>
                <w:iCs w:val="0"/>
                <w:color w:val="auto"/>
                <w:kern w:val="0"/>
                <w:sz w:val="21"/>
                <w:szCs w:val="21"/>
                <w:highlight w:val="none"/>
                <w:u w:val="none"/>
                <w:lang w:val="en-US" w:eastAsia="zh-CN" w:bidi="ar"/>
              </w:rPr>
              <w:t>采用规格为20mm×20mm</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mm）</w:t>
            </w:r>
            <w:r>
              <w:rPr>
                <w:rFonts w:hint="eastAsia" w:ascii="宋体" w:hAnsi="宋体" w:cs="宋体"/>
                <w:i w:val="0"/>
                <w:iCs w:val="0"/>
                <w:color w:val="auto"/>
                <w:kern w:val="0"/>
                <w:sz w:val="21"/>
                <w:szCs w:val="21"/>
                <w:highlight w:val="none"/>
                <w:u w:val="none"/>
                <w:lang w:val="en-US" w:eastAsia="zh-CN" w:bidi="ar"/>
              </w:rPr>
              <w:t>钢管</w:t>
            </w:r>
            <w:r>
              <w:rPr>
                <w:rFonts w:hint="eastAsia" w:ascii="宋体" w:hAnsi="宋体" w:eastAsia="宋体" w:cs="宋体"/>
                <w:i w:val="0"/>
                <w:iCs w:val="0"/>
                <w:color w:val="auto"/>
                <w:kern w:val="0"/>
                <w:sz w:val="21"/>
                <w:szCs w:val="21"/>
                <w:highlight w:val="none"/>
                <w:u w:val="none"/>
                <w:lang w:val="en-US" w:eastAsia="zh-CN" w:bidi="ar"/>
              </w:rPr>
              <w:t>。</w:t>
            </w:r>
          </w:p>
          <w:p w14:paraId="1C2A277A">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7.床板支撑梁：采用规格为30mm×20mm</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mm）</w:t>
            </w:r>
            <w:r>
              <w:rPr>
                <w:rFonts w:hint="eastAsia" w:ascii="宋体" w:hAnsi="宋体" w:cs="宋体"/>
                <w:i w:val="0"/>
                <w:iCs w:val="0"/>
                <w:color w:val="000000"/>
                <w:kern w:val="0"/>
                <w:sz w:val="21"/>
                <w:szCs w:val="21"/>
                <w:highlight w:val="none"/>
                <w:u w:val="none"/>
                <w:lang w:val="en-US" w:eastAsia="zh-CN" w:bidi="ar"/>
              </w:rPr>
              <w:t>钢管</w:t>
            </w:r>
            <w:r>
              <w:rPr>
                <w:rFonts w:hint="eastAsia" w:ascii="宋体" w:hAnsi="宋体" w:eastAsia="宋体" w:cs="宋体"/>
                <w:i w:val="0"/>
                <w:iCs w:val="0"/>
                <w:color w:val="000000"/>
                <w:kern w:val="0"/>
                <w:sz w:val="21"/>
                <w:szCs w:val="21"/>
                <w:highlight w:val="none"/>
                <w:u w:val="none"/>
                <w:lang w:val="en-US" w:eastAsia="zh-CN" w:bidi="ar"/>
              </w:rPr>
              <w:t>，床板支撑梁数量≥3根。</w:t>
            </w:r>
          </w:p>
          <w:p w14:paraId="25C7DCBD">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8.下拉杆：采用规格为不小于20mm×40mm</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mm）</w:t>
            </w:r>
            <w:r>
              <w:rPr>
                <w:rFonts w:hint="eastAsia" w:ascii="宋体" w:hAnsi="宋体" w:cs="宋体"/>
                <w:i w:val="0"/>
                <w:iCs w:val="0"/>
                <w:color w:val="000000"/>
                <w:kern w:val="0"/>
                <w:sz w:val="21"/>
                <w:szCs w:val="21"/>
                <w:highlight w:val="none"/>
                <w:u w:val="none"/>
                <w:lang w:val="en-US" w:eastAsia="zh-CN" w:bidi="ar"/>
              </w:rPr>
              <w:t>钢管</w:t>
            </w:r>
            <w:r>
              <w:rPr>
                <w:rFonts w:hint="eastAsia" w:ascii="宋体" w:hAnsi="宋体" w:eastAsia="宋体" w:cs="宋体"/>
                <w:i w:val="0"/>
                <w:iCs w:val="0"/>
                <w:color w:val="000000"/>
                <w:kern w:val="0"/>
                <w:sz w:val="21"/>
                <w:szCs w:val="21"/>
                <w:highlight w:val="none"/>
                <w:u w:val="none"/>
                <w:lang w:val="en-US" w:eastAsia="zh-CN" w:bidi="ar"/>
              </w:rPr>
              <w:t>。</w:t>
            </w:r>
          </w:p>
          <w:p w14:paraId="69381ED3">
            <w:pPr>
              <w:keepNext w:val="0"/>
              <w:keepLines w:val="0"/>
              <w:widowControl/>
              <w:suppressLineNumbers w:val="0"/>
              <w:jc w:val="both"/>
              <w:textAlignment w:val="center"/>
              <w:rPr>
                <w:rFonts w:ascii="宋体" w:hAnsi="宋体" w:cs="宋体"/>
                <w:szCs w:val="21"/>
              </w:rPr>
            </w:pPr>
            <w:r>
              <w:rPr>
                <w:rFonts w:hint="eastAsia" w:ascii="宋体" w:hAnsi="宋体" w:cs="宋体"/>
                <w:color w:val="000000"/>
                <w:kern w:val="0"/>
                <w:sz w:val="20"/>
                <w:szCs w:val="20"/>
                <w:highlight w:val="none"/>
                <w:u w:val="none"/>
                <w:lang w:val="en-US" w:eastAsia="zh-CN" w:bidi="ar"/>
              </w:rPr>
              <w:t>9</w:t>
            </w:r>
            <w:r>
              <w:rPr>
                <w:rFonts w:hint="eastAsia" w:ascii="宋体" w:hAnsi="宋体" w:cs="宋体"/>
                <w:color w:val="000000"/>
                <w:kern w:val="0"/>
                <w:sz w:val="20"/>
                <w:szCs w:val="20"/>
                <w:highlight w:val="none"/>
                <w:u w:val="none"/>
                <w:lang w:bidi="ar"/>
              </w:rPr>
              <w:t>.卡式连接件：床立柱与床横梁采用四卡式卡扣连接，连接件采用冷轧钢板经冲压拉伸成型，规格为不小于27mm×27mm×198mm</w:t>
            </w:r>
            <w:r>
              <w:rPr>
                <w:rFonts w:hint="eastAsia" w:ascii="宋体" w:hAnsi="宋体" w:cs="宋体"/>
                <w:color w:val="000000"/>
                <w:kern w:val="0"/>
                <w:sz w:val="20"/>
                <w:szCs w:val="20"/>
                <w:highlight w:val="none"/>
                <w:u w:val="none"/>
                <w:lang w:eastAsia="zh-CN" w:bidi="ar"/>
              </w:rPr>
              <w:t>，</w:t>
            </w:r>
            <w:r>
              <w:rPr>
                <w:rFonts w:hint="eastAsia" w:ascii="宋体" w:hAnsi="宋体" w:cs="宋体"/>
                <w:color w:val="000000"/>
                <w:kern w:val="0"/>
                <w:sz w:val="20"/>
                <w:szCs w:val="20"/>
                <w:highlight w:val="none"/>
                <w:u w:val="none"/>
                <w:lang w:val="en-US" w:eastAsia="zh-CN" w:bidi="ar"/>
              </w:rPr>
              <w:t>壁厚不小于</w:t>
            </w:r>
            <w:r>
              <w:rPr>
                <w:rFonts w:hint="eastAsia" w:ascii="宋体" w:hAnsi="宋体" w:cs="宋体"/>
                <w:color w:val="000000"/>
                <w:kern w:val="0"/>
                <w:sz w:val="20"/>
                <w:szCs w:val="20"/>
                <w:highlight w:val="none"/>
                <w:u w:val="none"/>
                <w:lang w:bidi="ar"/>
              </w:rPr>
              <w:t>2.0mm；表面经粉末涂料塑粉处理，整体无螺丝连接。</w:t>
            </w:r>
            <w:r>
              <w:rPr>
                <w:rFonts w:hint="eastAsia" w:ascii="宋体" w:hAnsi="宋体" w:cs="宋体"/>
                <w:color w:val="auto"/>
                <w:kern w:val="0"/>
                <w:sz w:val="20"/>
                <w:szCs w:val="20"/>
                <w:highlight w:val="none"/>
                <w:u w:val="none"/>
                <w:lang w:bidi="ar"/>
              </w:rPr>
              <w:t>（需提供一条300mm长喷涂</w:t>
            </w:r>
            <w:r>
              <w:rPr>
                <w:rFonts w:hint="eastAsia" w:ascii="宋体" w:hAnsi="宋体" w:cs="宋体"/>
                <w:color w:val="auto"/>
                <w:kern w:val="0"/>
                <w:sz w:val="20"/>
                <w:szCs w:val="20"/>
                <w:highlight w:val="none"/>
                <w:u w:val="none"/>
                <w:lang w:val="en-US" w:eastAsia="zh-CN" w:bidi="ar"/>
              </w:rPr>
              <w:t>带连接件</w:t>
            </w:r>
            <w:r>
              <w:rPr>
                <w:rFonts w:hint="eastAsia" w:ascii="宋体" w:hAnsi="宋体" w:eastAsia="宋体" w:cs="宋体"/>
                <w:i w:val="0"/>
                <w:iCs w:val="0"/>
                <w:color w:val="auto"/>
                <w:kern w:val="0"/>
                <w:sz w:val="21"/>
                <w:szCs w:val="21"/>
                <w:highlight w:val="none"/>
                <w:u w:val="none"/>
                <w:lang w:val="en-US" w:eastAsia="zh-CN" w:bidi="ar"/>
              </w:rPr>
              <w:t>床横梁</w:t>
            </w:r>
            <w:r>
              <w:rPr>
                <w:rFonts w:hint="eastAsia" w:ascii="宋体" w:hAnsi="宋体" w:cs="宋体"/>
                <w:color w:val="auto"/>
                <w:kern w:val="0"/>
                <w:sz w:val="20"/>
                <w:szCs w:val="20"/>
                <w:highlight w:val="none"/>
                <w:u w:val="none"/>
                <w:lang w:bidi="ar"/>
              </w:rPr>
              <w:t>小样以便评审）</w:t>
            </w:r>
          </w:p>
        </w:tc>
      </w:tr>
    </w:tbl>
    <w:p w14:paraId="75CB476E">
      <w:pPr>
        <w:rPr>
          <w:sz w:val="24"/>
        </w:rPr>
      </w:pPr>
      <w:r>
        <w:rPr>
          <w:rFonts w:hint="eastAsia"/>
          <w:color w:val="FF0000"/>
          <w:szCs w:val="21"/>
        </w:rPr>
        <w:t>备注：投标样品将作为履约验收的参考。</w:t>
      </w:r>
      <w:bookmarkStart w:id="42" w:name="_Hlk72167863"/>
      <w:bookmarkStart w:id="43" w:name="_Hlk106183334"/>
    </w:p>
    <w:p w14:paraId="5E64BDE5">
      <w:pPr>
        <w:ind w:firstLine="420" w:firstLineChars="200"/>
        <w:rPr>
          <w:rFonts w:ascii="微软雅黑" w:hAnsi="微软雅黑" w:eastAsia="微软雅黑" w:cs="微软雅黑"/>
          <w:b/>
          <w:bCs/>
        </w:rPr>
      </w:pPr>
      <w:r>
        <w:rPr>
          <w:rFonts w:hint="eastAsia" w:ascii="宋体" w:hAnsi="宋体" w:cs="仿宋_GB2312"/>
          <w:szCs w:val="21"/>
        </w:rPr>
        <w:t>（三）</w:t>
      </w:r>
      <w:bookmarkEnd w:id="42"/>
      <w:r>
        <w:rPr>
          <w:rFonts w:hint="eastAsia" w:ascii="宋体" w:hAnsi="宋体" w:cs="仿宋_GB2312"/>
          <w:szCs w:val="21"/>
        </w:rPr>
        <w:t>附件：样品放置授权委托书</w:t>
      </w:r>
    </w:p>
    <w:p w14:paraId="2AEEC784">
      <w:pPr>
        <w:jc w:val="center"/>
        <w:rPr>
          <w:rFonts w:ascii="宋体" w:hAnsi="宋体" w:cs="微软雅黑"/>
          <w:sz w:val="32"/>
          <w:szCs w:val="40"/>
        </w:rPr>
      </w:pPr>
      <w:bookmarkStart w:id="44" w:name="_Hlk106183283"/>
      <w:bookmarkStart w:id="45" w:name="_Hlk106278670"/>
      <w:r>
        <w:rPr>
          <w:rFonts w:hint="eastAsia" w:ascii="宋体" w:hAnsi="宋体" w:cs="微软雅黑"/>
          <w:sz w:val="32"/>
          <w:szCs w:val="40"/>
        </w:rPr>
        <w:t>样品放置授权委托书</w:t>
      </w:r>
    </w:p>
    <w:bookmarkEnd w:id="44"/>
    <w:p w14:paraId="479324BA">
      <w:pPr>
        <w:spacing w:line="360" w:lineRule="auto"/>
        <w:ind w:firstLine="440" w:firstLineChars="200"/>
        <w:rPr>
          <w:sz w:val="22"/>
          <w:szCs w:val="22"/>
        </w:rPr>
      </w:pPr>
      <w:r>
        <w:rPr>
          <w:rFonts w:hint="eastAsia"/>
          <w:sz w:val="22"/>
          <w:szCs w:val="22"/>
        </w:rPr>
        <w:t>本授权委托书声明：我</w:t>
      </w:r>
      <w:r>
        <w:rPr>
          <w:rFonts w:hint="eastAsia"/>
          <w:sz w:val="22"/>
          <w:szCs w:val="22"/>
          <w:u w:val="single"/>
        </w:rPr>
        <w:t xml:space="preserve">           </w:t>
      </w:r>
      <w:r>
        <w:rPr>
          <w:rFonts w:hint="eastAsia"/>
          <w:sz w:val="22"/>
          <w:szCs w:val="22"/>
        </w:rPr>
        <w:t>（姓名）系</w:t>
      </w:r>
      <w:r>
        <w:rPr>
          <w:rFonts w:hint="eastAsia"/>
          <w:sz w:val="22"/>
          <w:szCs w:val="22"/>
          <w:u w:val="single"/>
        </w:rPr>
        <w:t xml:space="preserve">             </w:t>
      </w:r>
      <w:r>
        <w:rPr>
          <w:rFonts w:hint="eastAsia"/>
          <w:sz w:val="22"/>
          <w:szCs w:val="22"/>
        </w:rPr>
        <w:t>（投标人名称）的法定代表人（负责人），现授权委托</w:t>
      </w:r>
      <w:r>
        <w:rPr>
          <w:rFonts w:hint="eastAsia"/>
          <w:sz w:val="22"/>
          <w:szCs w:val="22"/>
          <w:u w:val="single"/>
        </w:rPr>
        <w:t xml:space="preserve">            </w:t>
      </w:r>
      <w:r>
        <w:rPr>
          <w:rFonts w:hint="eastAsia"/>
          <w:sz w:val="22"/>
          <w:szCs w:val="22"/>
        </w:rPr>
        <w:t>（姓名）为我单位参与</w:t>
      </w:r>
      <w:r>
        <w:rPr>
          <w:rFonts w:hint="eastAsia"/>
          <w:sz w:val="22"/>
          <w:szCs w:val="22"/>
          <w:u w:val="single"/>
        </w:rPr>
        <w:t>（此处填写项目名称）</w:t>
      </w:r>
      <w:r>
        <w:rPr>
          <w:rFonts w:hint="eastAsia"/>
          <w:sz w:val="22"/>
          <w:szCs w:val="22"/>
        </w:rPr>
        <w:t>项目，项目编号：</w:t>
      </w:r>
      <w:r>
        <w:rPr>
          <w:sz w:val="22"/>
          <w:szCs w:val="22"/>
          <w:u w:val="single"/>
        </w:rPr>
        <w:t xml:space="preserve">   </w:t>
      </w:r>
      <w:r>
        <w:rPr>
          <w:rFonts w:hint="eastAsia"/>
          <w:sz w:val="22"/>
          <w:szCs w:val="22"/>
          <w:u w:val="single"/>
        </w:rPr>
        <w:t xml:space="preserve">      （此处填写项目编号）</w:t>
      </w:r>
      <w:r>
        <w:rPr>
          <w:rFonts w:hint="eastAsia"/>
          <w:sz w:val="22"/>
          <w:szCs w:val="22"/>
        </w:rPr>
        <w:t>样品放置工作的授权委托代理人，代理人全权代表我参与项目样品放置，样品放置的内容我均承认。</w:t>
      </w:r>
    </w:p>
    <w:p w14:paraId="6C1D4FAA">
      <w:pPr>
        <w:spacing w:line="360" w:lineRule="auto"/>
        <w:ind w:firstLine="420"/>
        <w:rPr>
          <w:sz w:val="22"/>
          <w:szCs w:val="22"/>
        </w:rPr>
      </w:pPr>
      <w:r>
        <w:rPr>
          <w:rFonts w:hint="eastAsia"/>
          <w:sz w:val="22"/>
          <w:szCs w:val="22"/>
        </w:rPr>
        <w:t>代理人无转委托权，特此委托。</w:t>
      </w:r>
    </w:p>
    <w:p w14:paraId="594D86DD">
      <w:pPr>
        <w:spacing w:line="360" w:lineRule="auto"/>
        <w:ind w:firstLine="420"/>
        <w:rPr>
          <w:sz w:val="22"/>
          <w:szCs w:val="22"/>
        </w:rPr>
      </w:pPr>
    </w:p>
    <w:p w14:paraId="0C5DC5B0">
      <w:pPr>
        <w:spacing w:line="360" w:lineRule="auto"/>
        <w:ind w:left="540" w:leftChars="257"/>
        <w:rPr>
          <w:sz w:val="22"/>
          <w:szCs w:val="22"/>
          <w:u w:val="single"/>
        </w:rPr>
      </w:pPr>
      <w:r>
        <w:rPr>
          <w:rFonts w:hint="eastAsia"/>
          <w:sz w:val="22"/>
          <w:szCs w:val="22"/>
        </w:rPr>
        <w:t>代理人：</w:t>
      </w:r>
      <w:r>
        <w:rPr>
          <w:rFonts w:hint="eastAsia"/>
          <w:sz w:val="22"/>
          <w:szCs w:val="22"/>
          <w:u w:val="single"/>
        </w:rPr>
        <w:t xml:space="preserve">            </w:t>
      </w:r>
      <w:r>
        <w:rPr>
          <w:rFonts w:hint="eastAsia"/>
          <w:sz w:val="22"/>
          <w:szCs w:val="22"/>
        </w:rPr>
        <w:t xml:space="preserve"> ；</w:t>
      </w:r>
    </w:p>
    <w:p w14:paraId="0298CAD7">
      <w:pPr>
        <w:spacing w:line="360" w:lineRule="auto"/>
        <w:ind w:left="540" w:leftChars="257"/>
        <w:rPr>
          <w:sz w:val="22"/>
          <w:szCs w:val="22"/>
        </w:rPr>
      </w:pPr>
      <w:r>
        <w:rPr>
          <w:rFonts w:hint="eastAsia"/>
          <w:sz w:val="22"/>
          <w:szCs w:val="22"/>
        </w:rPr>
        <w:t>联系电话：</w:t>
      </w:r>
      <w:r>
        <w:rPr>
          <w:rFonts w:hint="eastAsia"/>
          <w:sz w:val="22"/>
          <w:szCs w:val="22"/>
          <w:u w:val="single"/>
        </w:rPr>
        <w:t xml:space="preserve">            </w:t>
      </w:r>
      <w:r>
        <w:rPr>
          <w:rFonts w:hint="eastAsia"/>
          <w:sz w:val="22"/>
          <w:szCs w:val="22"/>
        </w:rPr>
        <w:t xml:space="preserve"> ；手机：</w:t>
      </w:r>
      <w:r>
        <w:rPr>
          <w:rFonts w:hint="eastAsia"/>
          <w:sz w:val="22"/>
          <w:szCs w:val="22"/>
          <w:u w:val="single"/>
        </w:rPr>
        <w:t xml:space="preserve">            </w:t>
      </w:r>
      <w:r>
        <w:rPr>
          <w:rFonts w:hint="eastAsia"/>
          <w:sz w:val="22"/>
          <w:szCs w:val="22"/>
        </w:rPr>
        <w:t xml:space="preserve"> ；</w:t>
      </w:r>
    </w:p>
    <w:p w14:paraId="7C47C0C8">
      <w:pPr>
        <w:spacing w:line="360" w:lineRule="auto"/>
        <w:ind w:left="540" w:leftChars="257"/>
        <w:rPr>
          <w:sz w:val="22"/>
          <w:szCs w:val="22"/>
          <w:u w:val="single"/>
        </w:rPr>
      </w:pPr>
      <w:r>
        <w:rPr>
          <w:rFonts w:hint="eastAsia"/>
          <w:sz w:val="22"/>
          <w:szCs w:val="22"/>
        </w:rPr>
        <w:t>身份证号码：</w:t>
      </w:r>
      <w:r>
        <w:rPr>
          <w:rFonts w:hint="eastAsia"/>
          <w:sz w:val="22"/>
          <w:szCs w:val="22"/>
          <w:u w:val="single"/>
        </w:rPr>
        <w:t xml:space="preserve">                        </w:t>
      </w:r>
      <w:r>
        <w:rPr>
          <w:rFonts w:hint="eastAsia"/>
          <w:sz w:val="22"/>
          <w:szCs w:val="22"/>
        </w:rPr>
        <w:t>；职务：</w:t>
      </w:r>
      <w:r>
        <w:rPr>
          <w:rFonts w:hint="eastAsia"/>
          <w:sz w:val="22"/>
          <w:szCs w:val="22"/>
          <w:u w:val="single"/>
        </w:rPr>
        <w:t xml:space="preserve">            </w:t>
      </w:r>
      <w:r>
        <w:rPr>
          <w:rFonts w:hint="eastAsia"/>
          <w:sz w:val="22"/>
          <w:szCs w:val="22"/>
        </w:rPr>
        <w:t xml:space="preserve"> ；</w:t>
      </w:r>
    </w:p>
    <w:p w14:paraId="40C5A11C">
      <w:pPr>
        <w:spacing w:line="360" w:lineRule="auto"/>
        <w:ind w:left="540" w:leftChars="257"/>
        <w:rPr>
          <w:sz w:val="22"/>
          <w:szCs w:val="22"/>
        </w:rPr>
      </w:pPr>
      <w:r>
        <w:rPr>
          <w:rFonts w:hint="eastAsia"/>
          <w:sz w:val="22"/>
          <w:szCs w:val="22"/>
        </w:rPr>
        <w:t>授权委托日期：</w:t>
      </w:r>
      <w:r>
        <w:rPr>
          <w:rFonts w:hint="eastAsia"/>
          <w:sz w:val="22"/>
          <w:szCs w:val="22"/>
          <w:u w:val="single"/>
        </w:rPr>
        <w:t xml:space="preserve">         </w:t>
      </w:r>
      <w:r>
        <w:rPr>
          <w:rFonts w:hint="eastAsia"/>
          <w:sz w:val="22"/>
          <w:szCs w:val="22"/>
        </w:rPr>
        <w:t>年</w:t>
      </w:r>
      <w:r>
        <w:rPr>
          <w:rFonts w:hint="eastAsia"/>
          <w:sz w:val="22"/>
          <w:szCs w:val="22"/>
          <w:u w:val="single"/>
        </w:rPr>
        <w:t xml:space="preserve">     </w:t>
      </w:r>
      <w:r>
        <w:rPr>
          <w:rFonts w:hint="eastAsia"/>
          <w:sz w:val="22"/>
          <w:szCs w:val="22"/>
        </w:rPr>
        <w:t xml:space="preserve">月 </w:t>
      </w:r>
      <w:r>
        <w:rPr>
          <w:rFonts w:hint="eastAsia"/>
          <w:sz w:val="22"/>
          <w:szCs w:val="22"/>
          <w:u w:val="single"/>
        </w:rPr>
        <w:t xml:space="preserve">      </w:t>
      </w:r>
      <w:r>
        <w:rPr>
          <w:rFonts w:hint="eastAsia"/>
          <w:sz w:val="22"/>
          <w:szCs w:val="22"/>
        </w:rPr>
        <w:t>日</w:t>
      </w:r>
    </w:p>
    <w:p w14:paraId="44A9BC10">
      <w:pPr>
        <w:rPr>
          <w:sz w:val="22"/>
          <w:szCs w:val="28"/>
        </w:rPr>
      </w:pPr>
    </w:p>
    <w:p w14:paraId="03742555">
      <w:pPr>
        <w:spacing w:line="360" w:lineRule="auto"/>
        <w:ind w:firstLine="442" w:firstLineChars="200"/>
        <w:rPr>
          <w:b/>
          <w:color w:val="FF0000"/>
          <w:sz w:val="22"/>
          <w:szCs w:val="22"/>
        </w:rPr>
      </w:pPr>
      <w:r>
        <w:rPr>
          <w:rFonts w:hint="eastAsia"/>
          <w:b/>
          <w:color w:val="FF0000"/>
          <w:sz w:val="22"/>
          <w:szCs w:val="22"/>
        </w:rPr>
        <w:t>附：中国国籍人员，请提供代理人身份证扫描件（正反两面），港澳台居民可提供来往通行证扫描件；非中国国籍人员，可提供公安部门认可的身份证明材料扫描件。要求投标供应商同时提供上述身份证明材料扫描件作为附件方为有效。</w:t>
      </w:r>
    </w:p>
    <w:p w14:paraId="23D39FF3">
      <w:pPr>
        <w:spacing w:line="360" w:lineRule="auto"/>
        <w:ind w:firstLine="420"/>
        <w:jc w:val="right"/>
        <w:rPr>
          <w:sz w:val="22"/>
          <w:szCs w:val="22"/>
        </w:rPr>
      </w:pPr>
    </w:p>
    <w:p w14:paraId="51BD5424">
      <w:pPr>
        <w:spacing w:line="360" w:lineRule="auto"/>
        <w:ind w:firstLine="420"/>
        <w:jc w:val="right"/>
        <w:rPr>
          <w:sz w:val="22"/>
          <w:szCs w:val="22"/>
        </w:rPr>
      </w:pPr>
      <w:r>
        <w:rPr>
          <w:rFonts w:hint="eastAsia"/>
          <w:sz w:val="22"/>
          <w:szCs w:val="22"/>
        </w:rPr>
        <w:t>（此处填写投标人名称）公司（加盖投标人公章）</w:t>
      </w:r>
    </w:p>
    <w:p w14:paraId="4029B9BD">
      <w:pPr>
        <w:spacing w:line="360" w:lineRule="auto"/>
        <w:ind w:firstLine="420"/>
        <w:jc w:val="right"/>
        <w:rPr>
          <w:sz w:val="22"/>
          <w:szCs w:val="22"/>
        </w:rPr>
      </w:pPr>
      <w:r>
        <w:rPr>
          <w:rFonts w:hint="eastAsia"/>
          <w:sz w:val="22"/>
          <w:szCs w:val="22"/>
        </w:rPr>
        <w:t>XX年XX月XX日</w:t>
      </w:r>
      <w:bookmarkEnd w:id="43"/>
      <w:bookmarkEnd w:id="45"/>
    </w:p>
    <w:p w14:paraId="48705660">
      <w:pPr>
        <w:pStyle w:val="12"/>
        <w:rPr>
          <w:rFonts w:ascii="宋体" w:hAnsi="宋体"/>
        </w:rPr>
        <w:sectPr>
          <w:pgSz w:w="11907" w:h="16840"/>
          <w:pgMar w:top="1440" w:right="1797" w:bottom="1440" w:left="1797" w:header="851" w:footer="992" w:gutter="0"/>
          <w:cols w:space="425" w:num="1"/>
          <w:titlePg/>
          <w:docGrid w:linePitch="462" w:charSpace="0"/>
        </w:sectPr>
      </w:pPr>
    </w:p>
    <w:p w14:paraId="71796CC4">
      <w:pPr>
        <w:pStyle w:val="8"/>
        <w:rPr>
          <w:rFonts w:hint="eastAsia" w:ascii="宋体" w:hAnsi="宋体" w:cs="Times New Roman"/>
          <w:lang w:val="en-US" w:eastAsia="zh-CN"/>
        </w:rPr>
      </w:pPr>
      <w:r>
        <w:rPr>
          <w:rFonts w:hint="eastAsia" w:ascii="宋体" w:hAnsi="宋体" w:cs="Times New Roman"/>
          <w:lang w:val="en-US" w:eastAsia="zh-CN"/>
        </w:rPr>
        <w:t>八、图纸与深化设计需求表</w:t>
      </w:r>
    </w:p>
    <w:tbl>
      <w:tblPr>
        <w:tblStyle w:val="2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2"/>
        <w:gridCol w:w="1396"/>
        <w:gridCol w:w="1750"/>
        <w:gridCol w:w="2891"/>
        <w:gridCol w:w="2056"/>
      </w:tblGrid>
      <w:tr w14:paraId="58732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94AC7">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rPr>
              <w:t>序号</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4D35">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sz w:val="18"/>
                <w:szCs w:val="18"/>
                <w:highlight w:val="none"/>
                <w:u w:val="none"/>
                <w:lang w:val="en-US"/>
              </w:rPr>
            </w:pPr>
            <w:r>
              <w:rPr>
                <w:rFonts w:hint="eastAsia" w:asciiTheme="minorEastAsia" w:hAnsiTheme="minorEastAsia" w:eastAsiaTheme="minorEastAsia" w:cstheme="minorEastAsia"/>
                <w:i w:val="0"/>
                <w:iCs w:val="0"/>
                <w:color w:val="000000"/>
                <w:kern w:val="0"/>
                <w:sz w:val="18"/>
                <w:szCs w:val="18"/>
                <w:highlight w:val="none"/>
                <w:u w:val="none"/>
                <w:lang w:val="en-US" w:eastAsia="zh-CN"/>
              </w:rPr>
              <w:t>货物需求明细表相对应序号</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97D8">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eastAsiaTheme="minorEastAsia" w:cstheme="minorEastAsia"/>
                <w:i w:val="0"/>
                <w:iCs w:val="0"/>
                <w:color w:val="000000"/>
                <w:kern w:val="0"/>
                <w:sz w:val="18"/>
                <w:szCs w:val="18"/>
                <w:highlight w:val="none"/>
                <w:u w:val="none"/>
                <w:lang w:val="en-US" w:eastAsia="zh-CN"/>
              </w:rPr>
              <w:t>货物名称</w:t>
            </w:r>
          </w:p>
          <w:p w14:paraId="78C0B890">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sz w:val="18"/>
                <w:szCs w:val="18"/>
                <w:highlight w:val="none"/>
                <w:u w:val="none"/>
                <w:lang w:val="en-US"/>
              </w:rPr>
            </w:pPr>
            <w:r>
              <w:rPr>
                <w:rFonts w:hint="eastAsia" w:asciiTheme="minorEastAsia" w:hAnsiTheme="minorEastAsia" w:eastAsiaTheme="minorEastAsia" w:cstheme="minorEastAsia"/>
                <w:i w:val="0"/>
                <w:iCs w:val="0"/>
                <w:color w:val="000000"/>
                <w:kern w:val="0"/>
                <w:sz w:val="18"/>
                <w:szCs w:val="18"/>
                <w:highlight w:val="none"/>
                <w:u w:val="none"/>
                <w:lang w:val="en-US" w:eastAsia="zh-CN"/>
              </w:rPr>
              <w:t>（标的名称）</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6F23">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规格（mm）</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DDA6">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适用区域</w:t>
            </w:r>
          </w:p>
        </w:tc>
      </w:tr>
      <w:tr w14:paraId="696DA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238D">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both"/>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809A">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0263">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床架</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5829">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长2050*宽1000*高2200(±50)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5DD4">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四人间</w:t>
            </w:r>
          </w:p>
        </w:tc>
      </w:tr>
      <w:tr w14:paraId="53A2F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A2C1E">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9B68">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25</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F3DD">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梯柜</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0AFF">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长500*宽1000高2150(±50)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D5FC0">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四人间</w:t>
            </w:r>
          </w:p>
        </w:tc>
      </w:tr>
      <w:tr w14:paraId="10231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F603">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9CAF">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3</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61AB">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床垫1</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56D7">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长2000*宽950厚度≥50mm</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2A71">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四人间</w:t>
            </w:r>
          </w:p>
        </w:tc>
      </w:tr>
      <w:tr w14:paraId="3F811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7020E">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F9C4">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7</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A596">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书桌+书架1</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D9C6">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长1200*宽600*高1800(±50)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4EBF">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四人间</w:t>
            </w:r>
          </w:p>
        </w:tc>
      </w:tr>
      <w:tr w14:paraId="07242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55E3">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02E6">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10</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73B5">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t>椅子1</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009C5">
            <w:pPr>
              <w:keepNext w:val="0"/>
              <w:keepLines w:val="0"/>
              <w:widowControl/>
              <w:suppressLineNumbers w:val="0"/>
              <w:spacing w:before="0" w:beforeAutospacing="0" w:after="0" w:afterAutospacing="0" w:line="240" w:lineRule="auto"/>
              <w:ind w:left="0" w:right="0"/>
              <w:jc w:val="left"/>
              <w:textAlignment w:val="center"/>
              <w:rPr>
                <w:rFonts w:hint="default" w:asciiTheme="minorEastAsia" w:hAnsiTheme="minorEastAsia" w:eastAsiaTheme="minorEastAsia" w:cstheme="minorEastAsia"/>
                <w:i w:val="0"/>
                <w:iCs w:val="0"/>
                <w:color w:val="auto"/>
                <w:sz w:val="18"/>
                <w:szCs w:val="18"/>
                <w:highlight w:val="none"/>
                <w:u w:val="none"/>
                <w:lang w:val="en-US" w:eastAsia="zh-CN"/>
              </w:rPr>
            </w:pPr>
            <w:r>
              <w:rPr>
                <w:rFonts w:hint="eastAsia" w:asciiTheme="minorEastAsia" w:hAnsiTheme="minorEastAsia" w:eastAsiaTheme="minorEastAsia" w:cstheme="minorEastAsia"/>
                <w:color w:val="auto"/>
                <w:sz w:val="18"/>
                <w:szCs w:val="18"/>
                <w:highlight w:val="none"/>
                <w:u w:val="none"/>
                <w:lang w:val="en-US" w:eastAsia="zh-CN"/>
              </w:rPr>
              <w:t>长</w:t>
            </w:r>
            <w:r>
              <w:rPr>
                <w:rFonts w:hint="eastAsia" w:asciiTheme="minorEastAsia" w:hAnsiTheme="minorEastAsia" w:eastAsiaTheme="minorEastAsia" w:cstheme="minorEastAsia"/>
                <w:color w:val="auto"/>
                <w:sz w:val="18"/>
                <w:szCs w:val="18"/>
                <w:highlight w:val="none"/>
                <w:u w:val="none"/>
              </w:rPr>
              <w:t>560*</w:t>
            </w:r>
            <w:r>
              <w:rPr>
                <w:rFonts w:hint="eastAsia" w:asciiTheme="minorEastAsia" w:hAnsiTheme="minorEastAsia" w:eastAsiaTheme="minorEastAsia" w:cstheme="minorEastAsia"/>
                <w:color w:val="auto"/>
                <w:sz w:val="18"/>
                <w:szCs w:val="18"/>
                <w:highlight w:val="none"/>
                <w:u w:val="none"/>
                <w:lang w:val="en-US" w:eastAsia="zh-CN"/>
              </w:rPr>
              <w:t>宽</w:t>
            </w:r>
            <w:r>
              <w:rPr>
                <w:rFonts w:hint="eastAsia" w:asciiTheme="minorEastAsia" w:hAnsiTheme="minorEastAsia" w:eastAsiaTheme="minorEastAsia" w:cstheme="minorEastAsia"/>
                <w:color w:val="auto"/>
                <w:sz w:val="18"/>
                <w:szCs w:val="18"/>
                <w:highlight w:val="none"/>
                <w:u w:val="none"/>
              </w:rPr>
              <w:t>590*</w:t>
            </w:r>
            <w:r>
              <w:rPr>
                <w:rFonts w:hint="eastAsia" w:asciiTheme="minorEastAsia" w:hAnsiTheme="minorEastAsia" w:eastAsiaTheme="minorEastAsia" w:cstheme="minorEastAsia"/>
                <w:color w:val="auto"/>
                <w:sz w:val="18"/>
                <w:szCs w:val="18"/>
                <w:highlight w:val="none"/>
                <w:u w:val="none"/>
                <w:lang w:val="en-US" w:eastAsia="zh-CN"/>
              </w:rPr>
              <w:t>高</w:t>
            </w:r>
            <w:r>
              <w:rPr>
                <w:rFonts w:hint="eastAsia" w:asciiTheme="minorEastAsia" w:hAnsiTheme="minorEastAsia" w:eastAsiaTheme="minorEastAsia" w:cstheme="minorEastAsia"/>
                <w:color w:val="auto"/>
                <w:sz w:val="18"/>
                <w:szCs w:val="18"/>
                <w:highlight w:val="none"/>
                <w:u w:val="none"/>
              </w:rPr>
              <w:t>780（±5mm)</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76FA">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四人间</w:t>
            </w:r>
          </w:p>
        </w:tc>
      </w:tr>
      <w:tr w14:paraId="24B7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1438">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E9BC">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12</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7070">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t>衣柜1</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0B1F">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长800*宽500*高1800(±50)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9876">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四人间</w:t>
            </w:r>
          </w:p>
        </w:tc>
      </w:tr>
      <w:tr w14:paraId="50766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20CD">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7</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154A">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15</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C104">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t>行李架</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801A">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长800*宽500*高1800(±50)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B15D">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四人间</w:t>
            </w:r>
          </w:p>
        </w:tc>
      </w:tr>
      <w:tr w14:paraId="4FBB7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D380">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7B00">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16</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DF68">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t>单人床1</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D512">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长2050*宽1200*高900(±50)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8B6F">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双人间</w:t>
            </w:r>
          </w:p>
        </w:tc>
      </w:tr>
      <w:tr w14:paraId="41D5E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7601">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9</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206DA">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4</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EBD8">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t>床垫2</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41358">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长2000*宽1200*高200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FC4A">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双人间</w:t>
            </w:r>
          </w:p>
        </w:tc>
      </w:tr>
      <w:tr w14:paraId="77928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1A89">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2154">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8</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4537">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t>书桌+书架2</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C8FC">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长1000*宽600*高1800(±50)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EAB8">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双人间</w:t>
            </w:r>
          </w:p>
        </w:tc>
      </w:tr>
      <w:tr w14:paraId="091E8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F29F">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11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0D63">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10</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649F">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t>椅子1</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E5AD">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auto"/>
                <w:sz w:val="18"/>
                <w:szCs w:val="18"/>
                <w:highlight w:val="none"/>
                <w:u w:val="none"/>
                <w:lang w:val="en-US" w:eastAsia="zh-CN"/>
              </w:rPr>
              <w:t>长575mm*宽510mm*高860mm</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A272">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双人间</w:t>
            </w:r>
          </w:p>
        </w:tc>
      </w:tr>
      <w:tr w14:paraId="3CBE9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A34C">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12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C9FA">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13</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7373">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t>衣柜2</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611A">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长900*宽600*高1800(±50)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73B4">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双人间</w:t>
            </w:r>
          </w:p>
        </w:tc>
      </w:tr>
      <w:tr w14:paraId="41178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EE476">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13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57147">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15</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DAA5">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t>行李架</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0A20">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长800*宽500*高1800(±50)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658E">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双人间</w:t>
            </w:r>
          </w:p>
        </w:tc>
      </w:tr>
      <w:tr w14:paraId="5E030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1E1F">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14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1DB5">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17</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F3C47">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t>单人床2</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F8AC">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长2050*宽1500*高900(±50)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ACB4">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单人间</w:t>
            </w:r>
          </w:p>
        </w:tc>
      </w:tr>
      <w:tr w14:paraId="2C83C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6A08">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2002">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5</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8007">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t>床垫3</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0028">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长2000*宽1500*高200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4258">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单人间</w:t>
            </w:r>
          </w:p>
        </w:tc>
      </w:tr>
      <w:tr w14:paraId="0EA39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FEBA7">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16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4751">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18</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602D">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t>床头柜</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EE8D">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长500*宽400*高450(±50)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197E">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单人间</w:t>
            </w:r>
          </w:p>
        </w:tc>
      </w:tr>
      <w:tr w14:paraId="1A110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CFD7">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17</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91E2">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14</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6926">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18"/>
                <w:szCs w:val="18"/>
                <w:highlight w:val="none"/>
                <w:u w:val="none"/>
                <w:lang w:val="en-US" w:eastAsia="zh-CN"/>
                <w14:textFill>
                  <w14:solidFill>
                    <w14:schemeClr w14:val="tx1"/>
                  </w14:solidFill>
                </w14:textFill>
              </w:rPr>
              <w:t>衣柜3</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BD7A">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长2000*宽600*高2000(±50)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30EE7">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单人间</w:t>
            </w:r>
          </w:p>
        </w:tc>
      </w:tr>
      <w:tr w14:paraId="1A985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2C52">
            <w:pPr>
              <w:keepNext w:val="0"/>
              <w:keepLines w:val="0"/>
              <w:widowControl/>
              <w:numPr>
                <w:ilvl w:val="0"/>
                <w:numId w:val="0"/>
              </w:numPr>
              <w:suppressLineNumbers w:val="0"/>
              <w:spacing w:before="0" w:beforeAutospacing="0" w:after="0" w:afterAutospacing="0" w:line="240" w:lineRule="auto"/>
              <w:ind w:left="425" w:leftChars="0" w:right="0" w:rightChars="0" w:hanging="425" w:firstLineChars="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rPr>
            </w:pPr>
            <w:r>
              <w:rPr>
                <w:rFonts w:hint="default" w:asciiTheme="minorEastAsia" w:hAnsiTheme="minorEastAsia" w:eastAsiaTheme="minorEastAsia" w:cstheme="minorEastAsia"/>
                <w:i w:val="0"/>
                <w:iCs w:val="0"/>
                <w:color w:val="000000"/>
                <w:kern w:val="0"/>
                <w:sz w:val="18"/>
                <w:szCs w:val="18"/>
                <w:lang w:val="en-US" w:eastAsia="zh-CN" w:bidi="ar-SA"/>
              </w:rPr>
              <w:t>18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33FE">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19</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7B17">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书桌</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71ED">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长1400*宽1200*高760(±50)</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289A">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单人间</w:t>
            </w:r>
          </w:p>
        </w:tc>
      </w:tr>
      <w:tr w14:paraId="53C26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jc w:val="center"/>
        </w:trPr>
        <w:tc>
          <w:tcPr>
            <w:tcW w:w="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3B20">
            <w:pPr>
              <w:keepNext w:val="0"/>
              <w:keepLines w:val="0"/>
              <w:widowControl/>
              <w:numPr>
                <w:ilvl w:val="0"/>
                <w:numId w:val="0"/>
              </w:numPr>
              <w:suppressLineNumbers w:val="0"/>
              <w:spacing w:before="0" w:beforeAutospacing="0" w:after="0" w:afterAutospacing="0" w:line="240" w:lineRule="auto"/>
              <w:ind w:leftChars="0" w:right="0" w:rightChars="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19</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BF34">
            <w:pPr>
              <w:keepNext w:val="0"/>
              <w:keepLines w:val="0"/>
              <w:widowControl/>
              <w:suppressLineNumbers w:val="0"/>
              <w:spacing w:before="0" w:beforeAutospacing="0" w:after="0" w:afterAutospacing="0" w:line="240" w:lineRule="auto"/>
              <w:ind w:left="0" w:right="0"/>
              <w:jc w:val="center"/>
              <w:textAlignment w:val="center"/>
              <w:rPr>
                <w:rFonts w:hint="default" w:asciiTheme="minorEastAsia" w:hAnsiTheme="minorEastAsia" w:eastAsiaTheme="minorEastAsia" w:cstheme="minorEastAsia"/>
                <w:i w:val="0"/>
                <w:iCs w:val="0"/>
                <w:color w:val="000000"/>
                <w:kern w:val="0"/>
                <w:sz w:val="18"/>
                <w:szCs w:val="18"/>
                <w:highlight w:val="none"/>
                <w:u w:val="none"/>
                <w:lang w:val="en-US" w:eastAsia="zh-CN"/>
              </w:rPr>
            </w:pPr>
            <w:r>
              <w:rPr>
                <w:rFonts w:hint="eastAsia" w:asciiTheme="minorEastAsia" w:hAnsiTheme="minorEastAsia" w:cstheme="minorEastAsia"/>
                <w:i w:val="0"/>
                <w:iCs w:val="0"/>
                <w:color w:val="000000"/>
                <w:kern w:val="0"/>
                <w:sz w:val="18"/>
                <w:szCs w:val="18"/>
                <w:highlight w:val="none"/>
                <w:u w:val="none"/>
                <w:lang w:val="en-US" w:eastAsia="zh-CN"/>
              </w:rPr>
              <w:t>11</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FB5A">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椅子2</w:t>
            </w:r>
          </w:p>
        </w:tc>
        <w:tc>
          <w:tcPr>
            <w:tcW w:w="2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4125">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常规</w:t>
            </w:r>
          </w:p>
        </w:tc>
        <w:tc>
          <w:tcPr>
            <w:tcW w:w="2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677E">
            <w:pPr>
              <w:keepNext w:val="0"/>
              <w:keepLines w:val="0"/>
              <w:widowControl/>
              <w:suppressLineNumbers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eastAsia="zh-CN"/>
              </w:rPr>
            </w:pPr>
            <w:r>
              <w:rPr>
                <w:rFonts w:hint="eastAsia" w:asciiTheme="minorEastAsia" w:hAnsiTheme="minorEastAsia" w:eastAsiaTheme="minorEastAsia" w:cstheme="minorEastAsia"/>
                <w:i w:val="0"/>
                <w:iCs w:val="0"/>
                <w:color w:val="000000"/>
                <w:sz w:val="18"/>
                <w:szCs w:val="18"/>
                <w:highlight w:val="none"/>
                <w:u w:val="none"/>
                <w:lang w:val="en-US" w:eastAsia="zh-CN"/>
              </w:rPr>
              <w:t>单人间</w:t>
            </w:r>
          </w:p>
        </w:tc>
      </w:tr>
    </w:tbl>
    <w:p w14:paraId="70236494">
      <w:r>
        <w:drawing>
          <wp:inline distT="0" distB="0" distL="114300" distR="114300">
            <wp:extent cx="1235710" cy="3282315"/>
            <wp:effectExtent l="0" t="0" r="1397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1235710" cy="32823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97000" cy="3267075"/>
            <wp:effectExtent l="0" t="0" r="5080"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1397000" cy="32670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96365" cy="3632200"/>
            <wp:effectExtent l="0" t="0" r="5715"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1396365" cy="3632200"/>
                    </a:xfrm>
                    <a:prstGeom prst="rect">
                      <a:avLst/>
                    </a:prstGeom>
                    <a:noFill/>
                    <a:ln>
                      <a:noFill/>
                    </a:ln>
                  </pic:spPr>
                </pic:pic>
              </a:graphicData>
            </a:graphic>
          </wp:inline>
        </w:drawing>
      </w:r>
    </w:p>
    <w:p w14:paraId="192A447C">
      <w:pPr>
        <w:pStyle w:val="8"/>
        <w:rPr>
          <w:rFonts w:hint="eastAsia"/>
        </w:rPr>
      </w:pPr>
      <w:r>
        <w:rPr>
          <w:rFonts w:hint="eastAsia"/>
          <w:lang w:val="en-US" w:eastAsia="zh-CN"/>
        </w:rPr>
        <w:t>九</w:t>
      </w:r>
      <w:r>
        <w:rPr>
          <w:rFonts w:hint="eastAsia"/>
        </w:rPr>
        <w:t>、其他重要条款</w:t>
      </w:r>
    </w:p>
    <w:p w14:paraId="1684742A">
      <w:pPr>
        <w:ind w:firstLine="420" w:firstLineChars="200"/>
        <w:rPr>
          <w:bCs/>
          <w:szCs w:val="21"/>
        </w:rPr>
      </w:pPr>
      <w:r>
        <w:rPr>
          <w:rFonts w:hint="eastAsia"/>
          <w:bCs/>
          <w:szCs w:val="21"/>
        </w:rPr>
        <w:t>1、本项目投标</w:t>
      </w:r>
      <w:r>
        <w:rPr>
          <w:rFonts w:hint="default"/>
          <w:bCs/>
          <w:szCs w:val="21"/>
          <w:lang w:val="en-US"/>
        </w:rPr>
        <w:t>报价应</w:t>
      </w:r>
      <w:r>
        <w:rPr>
          <w:rFonts w:hint="eastAsia"/>
          <w:bCs/>
          <w:szCs w:val="21"/>
        </w:rPr>
        <w:t>包括成本、法定税费和相应的利润，应涵盖本项目招标范围和招标文件所列的各项内容中所述的全部。由投标人根据招标需求自行测算投标报价；</w:t>
      </w:r>
      <w:r>
        <w:rPr>
          <w:rFonts w:hint="eastAsia" w:ascii="宋体" w:hAnsi="宋体"/>
        </w:rPr>
        <w:t>本项目产品按实际交付数量据实结算，结算总价=中标单价*实际安装交付数量。</w:t>
      </w:r>
    </w:p>
    <w:p w14:paraId="3AF66843">
      <w:pPr>
        <w:pStyle w:val="9"/>
        <w:spacing w:before="60" w:beforeLines="25" w:after="60" w:afterLines="25"/>
        <w:ind w:firstLine="392" w:firstLineChars="187"/>
        <w:rPr>
          <w:rFonts w:hint="eastAsia"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623613CF">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78DBBCC3">
      <w:pPr>
        <w:ind w:firstLine="420" w:firstLineChars="200"/>
        <w:rPr>
          <w:bCs/>
          <w:szCs w:val="21"/>
        </w:rPr>
      </w:pPr>
      <w:r>
        <w:rPr>
          <w:rFonts w:hint="eastAsia"/>
          <w:bCs/>
          <w:szCs w:val="21"/>
        </w:rPr>
        <w:t>4、除政府采购合同继续履行将损害国家利益和社会公共利益外，双方当事人不得擅自变更、中止或者终止合同。</w:t>
      </w:r>
    </w:p>
    <w:p w14:paraId="03F02398">
      <w:pPr>
        <w:ind w:firstLine="420" w:firstLineChars="200"/>
        <w:rPr>
          <w:bCs/>
          <w:szCs w:val="21"/>
        </w:rPr>
      </w:pPr>
      <w:r>
        <w:rPr>
          <w:rFonts w:hint="eastAsia"/>
          <w:bCs/>
          <w:szCs w:val="21"/>
        </w:rPr>
        <w:t>5、“信用中国”中“信用服务”栏的“重大税收违法失信主体”“失信被执行人”，“中国政府采购网”中的“政府采购严重违法失信行为记录名单”，“深圳市政府采购监管网”以及财政部门认可的“供应商诚信档案库”为供应商信用信息的查询渠道，相关信息以开标当日的查询结果为准。</w:t>
      </w:r>
    </w:p>
    <w:p w14:paraId="7491B19A">
      <w:pPr>
        <w:spacing w:line="360" w:lineRule="auto"/>
        <w:ind w:firstLine="420"/>
        <w:jc w:val="right"/>
        <w:rPr>
          <w:sz w:val="22"/>
          <w:szCs w:val="22"/>
        </w:rPr>
      </w:pPr>
    </w:p>
    <w:p w14:paraId="451B7497"/>
    <w:p w14:paraId="090E78EB">
      <w:r>
        <w:rPr>
          <w:rFonts w:hint="eastAsia"/>
        </w:rPr>
        <w:br w:type="page"/>
      </w:r>
    </w:p>
    <w:p w14:paraId="17B7B4A8">
      <w:pPr>
        <w:pStyle w:val="8"/>
        <w:rPr>
          <w:rFonts w:hint="eastAsia"/>
          <w:kern w:val="2"/>
        </w:rPr>
      </w:pPr>
      <w:r>
        <w:rPr>
          <w:rFonts w:hint="eastAsia"/>
          <w:kern w:val="2"/>
        </w:rPr>
        <w:t>第四章</w:t>
      </w:r>
      <w:r>
        <w:rPr>
          <w:kern w:val="2"/>
        </w:rPr>
        <w:t xml:space="preserve"> </w:t>
      </w:r>
      <w:r>
        <w:rPr>
          <w:rFonts w:hint="eastAsia"/>
          <w:kern w:val="2"/>
        </w:rPr>
        <w:t xml:space="preserve"> 投标文件组成要求及格式</w:t>
      </w:r>
    </w:p>
    <w:p w14:paraId="784AFD99">
      <w:pPr>
        <w:rPr>
          <w:rStyle w:val="43"/>
          <w:sz w:val="24"/>
        </w:rPr>
      </w:pPr>
      <w:r>
        <w:rPr>
          <w:rStyle w:val="43"/>
          <w:rFonts w:hint="eastAsia"/>
          <w:sz w:val="24"/>
        </w:rPr>
        <w:t>特别提醒：</w:t>
      </w:r>
    </w:p>
    <w:p w14:paraId="3E2C3D28">
      <w:pPr>
        <w:ind w:firstLine="480" w:firstLineChars="200"/>
        <w:rPr>
          <w:rFonts w:ascii="仿宋_GB2312" w:eastAsia="仿宋_GB2312"/>
          <w:sz w:val="24"/>
        </w:rPr>
      </w:pPr>
      <w:r>
        <w:rPr>
          <w:rFonts w:hint="eastAsia" w:ascii="仿宋_GB2312" w:eastAsia="仿宋_GB2312"/>
          <w:sz w:val="24"/>
        </w:rPr>
        <w:t>中标（成交）供应商的投标文件正文将对外公开，投标文件附件不公开；未中标（成交）供应商的投标文件一律不公开。投标人在编辑投标文件时，在投标文件目录中属于本节点内容的必须在本节点中填写，填写到其他节点或附件的将可能导致投标无效，一切后果由供应商自行承担。</w:t>
      </w:r>
    </w:p>
    <w:p w14:paraId="4FF4908B">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60B6854">
      <w:pPr>
        <w:widowControl/>
        <w:jc w:val="left"/>
        <w:rPr>
          <w:rFonts w:hint="eastAsia"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4"/>
                    <a:stretch>
                      <a:fillRect/>
                    </a:stretch>
                  </pic:blipFill>
                  <pic:spPr>
                    <a:xfrm>
                      <a:off x="0" y="0"/>
                      <a:ext cx="5162550" cy="4011295"/>
                    </a:xfrm>
                    <a:prstGeom prst="rect">
                      <a:avLst/>
                    </a:prstGeom>
                  </pic:spPr>
                </pic:pic>
              </a:graphicData>
            </a:graphic>
          </wp:inline>
        </w:drawing>
      </w:r>
    </w:p>
    <w:p w14:paraId="16632FAC">
      <w:pPr>
        <w:ind w:firstLine="480" w:firstLineChars="200"/>
        <w:rPr>
          <w:rFonts w:ascii="仿宋_GB2312" w:eastAsia="仿宋_GB2312"/>
          <w:sz w:val="24"/>
        </w:rPr>
      </w:pPr>
      <w:bookmarkStart w:id="46" w:name="_Hlk72257167"/>
      <w:r>
        <w:rPr>
          <w:rFonts w:hint="eastAsia" w:ascii="仿宋_GB2312" w:eastAsia="仿宋_GB2312"/>
          <w:sz w:val="24"/>
        </w:rPr>
        <w:t>政府集中采购机构公布投标文件正文（信息公开部分）时为计算机截取信息自动公布，供应商登录深圳政府采购智慧平台后下载附件。</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b/>
          <w:bCs/>
          <w:color w:val="FF0000"/>
          <w:sz w:val="24"/>
        </w:rPr>
        <w:t>如投标人将必须放于投标文件正文（信息公开部分）的内容放入投标文件附件（非信息公开部分），将作投标无效处理。</w:t>
      </w:r>
    </w:p>
    <w:bookmarkEnd w:id="46"/>
    <w:p w14:paraId="2ED9BF39">
      <w:pPr>
        <w:rPr>
          <w:rFonts w:ascii="仿宋_GB2312" w:eastAsia="仿宋_GB2312"/>
          <w:sz w:val="24"/>
        </w:rPr>
      </w:pPr>
      <w:r>
        <w:rPr>
          <w:rFonts w:ascii="仿宋_GB2312" w:eastAsia="仿宋_GB2312"/>
          <w:sz w:val="24"/>
        </w:rPr>
        <w:br w:type="page"/>
      </w:r>
    </w:p>
    <w:p w14:paraId="2A92A719">
      <w:pPr>
        <w:outlineLvl w:val="0"/>
        <w:rPr>
          <w:rStyle w:val="43"/>
          <w:sz w:val="28"/>
          <w:szCs w:val="28"/>
        </w:rPr>
      </w:pPr>
      <w:r>
        <w:rPr>
          <w:rStyle w:val="43"/>
          <w:rFonts w:hint="eastAsia"/>
          <w:sz w:val="28"/>
          <w:szCs w:val="28"/>
        </w:rPr>
        <w:t>投标文件组成：</w:t>
      </w:r>
    </w:p>
    <w:p w14:paraId="45153CDE">
      <w:pPr>
        <w:ind w:firstLine="1200" w:firstLineChars="500"/>
        <w:outlineLvl w:val="0"/>
        <w:rPr>
          <w:rFonts w:hint="eastAsia" w:ascii="宋体" w:hAnsi="宋体"/>
          <w:sz w:val="24"/>
        </w:rPr>
      </w:pPr>
      <w:bookmarkStart w:id="47" w:name="_Hlk72257253"/>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0D7BA961">
      <w:pPr>
        <w:ind w:left="718" w:leftChars="342" w:firstLine="1417" w:firstLineChars="675"/>
        <w:rPr>
          <w:szCs w:val="21"/>
        </w:rPr>
      </w:pPr>
      <w:r>
        <w:rPr>
          <w:rFonts w:hint="eastAsia"/>
          <w:szCs w:val="21"/>
        </w:rPr>
        <w:t>（1）</w:t>
      </w:r>
      <w:bookmarkStart w:id="48" w:name="_Hlk72070784"/>
      <w:r>
        <w:rPr>
          <w:rFonts w:hint="eastAsia"/>
          <w:szCs w:val="21"/>
        </w:rPr>
        <w:t>投标函</w:t>
      </w:r>
      <w:bookmarkEnd w:id="48"/>
    </w:p>
    <w:p w14:paraId="4EC846D3">
      <w:pPr>
        <w:ind w:left="718" w:leftChars="342" w:firstLine="1417" w:firstLineChars="675"/>
        <w:rPr>
          <w:szCs w:val="21"/>
        </w:rPr>
      </w:pPr>
      <w:r>
        <w:rPr>
          <w:rFonts w:hint="eastAsia"/>
          <w:szCs w:val="21"/>
        </w:rPr>
        <w:t>（2）</w:t>
      </w:r>
      <w:bookmarkStart w:id="49" w:name="_Hlk72062521"/>
      <w:r>
        <w:rPr>
          <w:rFonts w:hint="eastAsia"/>
          <w:szCs w:val="21"/>
        </w:rPr>
        <w:t>政府采购投标及履约承诺函</w:t>
      </w:r>
      <w:bookmarkEnd w:id="49"/>
    </w:p>
    <w:p w14:paraId="5B99AB83">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6E95FE17">
      <w:pPr>
        <w:ind w:left="718" w:leftChars="342" w:firstLine="1417" w:firstLineChars="675"/>
        <w:rPr>
          <w:szCs w:val="21"/>
        </w:rPr>
      </w:pPr>
      <w:r>
        <w:rPr>
          <w:rFonts w:hint="eastAsia"/>
          <w:szCs w:val="21"/>
        </w:rPr>
        <w:t>（</w:t>
      </w:r>
      <w:r>
        <w:rPr>
          <w:rFonts w:hint="eastAsia"/>
          <w:szCs w:val="21"/>
          <w:lang w:val="en-US" w:eastAsia="zh-CN"/>
        </w:rPr>
        <w:t>4</w:t>
      </w:r>
      <w:r>
        <w:rPr>
          <w:rFonts w:hint="eastAsia"/>
          <w:szCs w:val="21"/>
        </w:rPr>
        <w:t>）认证情况（格式自定）</w:t>
      </w:r>
    </w:p>
    <w:p w14:paraId="148C8B23">
      <w:pPr>
        <w:ind w:firstLine="1200" w:firstLineChars="500"/>
        <w:outlineLvl w:val="0"/>
        <w:rPr>
          <w:rFonts w:hint="eastAsia" w:ascii="宋体" w:hAnsi="宋体"/>
          <w:sz w:val="24"/>
          <w:lang w:eastAsia="zh-CN"/>
        </w:rPr>
      </w:pPr>
    </w:p>
    <w:p w14:paraId="5B380DBD">
      <w:pPr>
        <w:ind w:firstLine="1200" w:firstLineChars="500"/>
        <w:outlineLvl w:val="0"/>
        <w:rPr>
          <w:rFonts w:hint="eastAsia" w:ascii="宋体" w:hAnsi="宋体"/>
          <w:sz w:val="24"/>
          <w:lang w:eastAsia="zh-CN"/>
        </w:rPr>
      </w:pPr>
    </w:p>
    <w:p w14:paraId="2E93518E">
      <w:pPr>
        <w:ind w:firstLine="1200" w:firstLineChars="500"/>
        <w:outlineLvl w:val="0"/>
        <w:rPr>
          <w:rFonts w:hint="eastAsia" w:ascii="宋体" w:hAnsi="宋体"/>
          <w:sz w:val="24"/>
          <w:lang w:eastAsia="zh-CN"/>
        </w:rPr>
      </w:pPr>
    </w:p>
    <w:p w14:paraId="2FF21EB5">
      <w:pPr>
        <w:ind w:firstLine="1200" w:firstLineChars="500"/>
        <w:outlineLvl w:val="0"/>
        <w:rPr>
          <w:rFonts w:hint="eastAsia"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1A937437">
      <w:pPr>
        <w:ind w:firstLine="2100" w:firstLineChars="1000"/>
        <w:rPr>
          <w:szCs w:val="21"/>
        </w:rPr>
      </w:pPr>
      <w:r>
        <w:rPr>
          <w:rFonts w:hint="eastAsia"/>
          <w:szCs w:val="21"/>
        </w:rPr>
        <w:t>（1）供应商基本情况表</w:t>
      </w:r>
    </w:p>
    <w:p w14:paraId="48229E5A">
      <w:pPr>
        <w:ind w:firstLine="2100" w:firstLineChars="1000"/>
        <w:rPr>
          <w:szCs w:val="21"/>
        </w:rPr>
      </w:pPr>
      <w:r>
        <w:rPr>
          <w:rFonts w:hint="eastAsia"/>
          <w:szCs w:val="21"/>
        </w:rPr>
        <w:t>（2）法定代表人（负责人）证明书</w:t>
      </w:r>
    </w:p>
    <w:p w14:paraId="3F826341">
      <w:pPr>
        <w:ind w:left="718" w:leftChars="342" w:firstLine="1417" w:firstLineChars="675"/>
        <w:rPr>
          <w:szCs w:val="21"/>
        </w:rPr>
      </w:pPr>
      <w:r>
        <w:rPr>
          <w:rFonts w:hint="eastAsia"/>
          <w:szCs w:val="21"/>
        </w:rPr>
        <w:t>（3）投标文件签署授权委托书</w:t>
      </w:r>
    </w:p>
    <w:p w14:paraId="367607ED">
      <w:pPr>
        <w:ind w:left="718" w:leftChars="342" w:firstLine="1417" w:firstLineChars="675"/>
        <w:rPr>
          <w:szCs w:val="21"/>
        </w:rPr>
      </w:pPr>
      <w:r>
        <w:rPr>
          <w:rFonts w:hint="eastAsia"/>
          <w:szCs w:val="21"/>
        </w:rPr>
        <w:t>（4）项目详细报价</w:t>
      </w:r>
    </w:p>
    <w:p w14:paraId="794F0CA3">
      <w:pPr>
        <w:ind w:left="718" w:leftChars="342" w:firstLine="1417" w:firstLineChars="675"/>
        <w:rPr>
          <w:szCs w:val="21"/>
        </w:rPr>
      </w:pPr>
      <w:r>
        <w:rPr>
          <w:rFonts w:hint="eastAsia"/>
          <w:szCs w:val="21"/>
        </w:rPr>
        <w:t>（5）实质性条款响应情况表</w:t>
      </w:r>
    </w:p>
    <w:p w14:paraId="114473FC">
      <w:pPr>
        <w:ind w:left="718" w:leftChars="342" w:firstLine="1417" w:firstLineChars="675"/>
        <w:rPr>
          <w:szCs w:val="21"/>
        </w:rPr>
      </w:pPr>
      <w:r>
        <w:rPr>
          <w:rFonts w:hint="eastAsia"/>
          <w:szCs w:val="21"/>
        </w:rPr>
        <w:t>（6）技术要求偏离表</w:t>
      </w:r>
    </w:p>
    <w:p w14:paraId="737C31CB">
      <w:pPr>
        <w:ind w:left="718" w:leftChars="342" w:firstLine="1417" w:firstLineChars="675"/>
        <w:rPr>
          <w:szCs w:val="21"/>
        </w:rPr>
      </w:pPr>
      <w:r>
        <w:rPr>
          <w:rFonts w:hint="eastAsia"/>
          <w:szCs w:val="21"/>
        </w:rPr>
        <w:t>（7）商务要求偏离表</w:t>
      </w:r>
    </w:p>
    <w:p w14:paraId="0C95FFAB">
      <w:pPr>
        <w:ind w:left="718" w:leftChars="342" w:firstLine="1417" w:firstLineChars="675"/>
        <w:rPr>
          <w:szCs w:val="21"/>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施工安全保障措施（格式自定）</w:t>
      </w:r>
    </w:p>
    <w:p w14:paraId="3B7EE3D3">
      <w:pPr>
        <w:ind w:left="718" w:leftChars="342" w:firstLine="1417" w:firstLineChars="675"/>
        <w:rPr>
          <w:szCs w:val="21"/>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产品质量保证（格式自定）</w:t>
      </w:r>
    </w:p>
    <w:p w14:paraId="391219A0">
      <w:pPr>
        <w:ind w:left="718" w:leftChars="342" w:firstLine="1417" w:firstLineChars="675"/>
        <w:rPr>
          <w:szCs w:val="21"/>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售后服务方案（格式自定）</w:t>
      </w:r>
    </w:p>
    <w:p w14:paraId="2CC39ABC">
      <w:pPr>
        <w:ind w:left="718" w:leftChars="342" w:firstLine="1417" w:firstLineChars="675"/>
        <w:rPr>
          <w:szCs w:val="21"/>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供应商同类业绩（格式自定）</w:t>
      </w:r>
    </w:p>
    <w:p w14:paraId="4B35F8CF">
      <w:pPr>
        <w:ind w:left="718" w:leftChars="342" w:firstLine="1417" w:firstLineChars="675"/>
        <w:rPr>
          <w:szCs w:val="21"/>
        </w:rPr>
      </w:pPr>
      <w:r>
        <w:rPr>
          <w:rFonts w:hint="eastAsia"/>
          <w:szCs w:val="21"/>
        </w:rPr>
        <w:t>（</w:t>
      </w:r>
      <w:r>
        <w:rPr>
          <w:rFonts w:hint="eastAsia"/>
          <w:szCs w:val="21"/>
          <w:lang w:val="en-US" w:eastAsia="zh-CN"/>
        </w:rPr>
        <w:t>12</w:t>
      </w:r>
      <w:r>
        <w:rPr>
          <w:rFonts w:hint="eastAsia"/>
          <w:szCs w:val="21"/>
        </w:rPr>
        <w:t>）投标人认为需要加以说明的其他内容（格式自定）</w:t>
      </w:r>
    </w:p>
    <w:bookmarkEnd w:id="47"/>
    <w:p w14:paraId="0CE700D1">
      <w:pPr>
        <w:ind w:left="718" w:leftChars="342" w:firstLine="1417" w:firstLineChars="675"/>
        <w:rPr>
          <w:szCs w:val="21"/>
        </w:rPr>
      </w:pPr>
    </w:p>
    <w:p w14:paraId="64CE6CF8">
      <w:pPr>
        <w:ind w:firstLine="426" w:firstLineChars="202"/>
        <w:rPr>
          <w:rFonts w:hint="eastAsia" w:ascii="宋体" w:hAnsi="宋体"/>
          <w:b/>
          <w:szCs w:val="21"/>
        </w:rPr>
      </w:pPr>
      <w:bookmarkStart w:id="50" w:name="_Hlk72257771"/>
      <w:r>
        <w:rPr>
          <w:rFonts w:hint="eastAsia" w:ascii="宋体" w:hAnsi="宋体"/>
          <w:b/>
          <w:szCs w:val="21"/>
        </w:rPr>
        <w:t>备注：</w:t>
      </w:r>
    </w:p>
    <w:p w14:paraId="0FDB733D">
      <w:pPr>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6C10F22F">
      <w:pPr>
        <w:ind w:firstLine="422" w:firstLineChars="200"/>
        <w:rPr>
          <w:rFonts w:hint="eastAsia" w:ascii="宋体" w:hAnsi="宋体"/>
          <w:color w:val="FF0000"/>
          <w:sz w:val="24"/>
        </w:rPr>
      </w:pPr>
      <w:bookmarkStart w:id="51" w:name="_Hlk72263559"/>
      <w:r>
        <w:rPr>
          <w:rFonts w:hint="eastAsia" w:ascii="宋体" w:hAnsi="宋体"/>
          <w:b/>
          <w:szCs w:val="21"/>
        </w:rPr>
        <w:t>2.关于填写“开标一览表”的说明：“开标一览表”中除“投标总价”外，其他信息不作评审依据。</w:t>
      </w:r>
      <w:bookmarkEnd w:id="50"/>
      <w:bookmarkEnd w:id="51"/>
    </w:p>
    <w:p w14:paraId="1224DEC7">
      <w:pPr>
        <w:rPr>
          <w:rFonts w:hint="eastAsia" w:ascii="宋体" w:hAnsi="宋体"/>
          <w:color w:val="FF0000"/>
          <w:sz w:val="24"/>
        </w:rPr>
      </w:pPr>
    </w:p>
    <w:p w14:paraId="3B224B11">
      <w:pPr>
        <w:rPr>
          <w:rFonts w:hint="eastAsia" w:ascii="宋体" w:hAnsi="宋体"/>
          <w:color w:val="FF0000"/>
          <w:sz w:val="24"/>
        </w:rPr>
        <w:sectPr>
          <w:pgSz w:w="11907" w:h="16840"/>
          <w:pgMar w:top="1440" w:right="1797" w:bottom="1440" w:left="1797" w:header="851" w:footer="992" w:gutter="0"/>
          <w:cols w:space="425" w:num="1"/>
          <w:titlePg/>
          <w:docGrid w:linePitch="462" w:charSpace="0"/>
        </w:sectPr>
      </w:pPr>
    </w:p>
    <w:p w14:paraId="34EFACE3">
      <w:pPr>
        <w:outlineLvl w:val="1"/>
        <w:rPr>
          <w:rFonts w:hint="eastAsia" w:ascii="宋体" w:hAnsi="宋体"/>
          <w:b/>
          <w:color w:val="FF0000"/>
          <w:sz w:val="28"/>
          <w:szCs w:val="28"/>
        </w:rPr>
      </w:pPr>
      <w:r>
        <w:rPr>
          <w:rFonts w:hint="eastAsia" w:ascii="宋体" w:hAnsi="宋体"/>
          <w:b/>
          <w:color w:val="FF0000"/>
          <w:sz w:val="28"/>
          <w:szCs w:val="28"/>
        </w:rPr>
        <w:t>投标文件正文（信息公开部分）</w:t>
      </w:r>
    </w:p>
    <w:p w14:paraId="504E1170">
      <w:pPr>
        <w:pStyle w:val="6"/>
        <w:jc w:val="center"/>
        <w:rPr>
          <w:rFonts w:hint="eastAsia" w:ascii="黑体"/>
          <w:sz w:val="24"/>
        </w:rPr>
      </w:pPr>
      <w:r>
        <w:rPr>
          <w:rFonts w:hint="eastAsia" w:ascii="黑体"/>
          <w:sz w:val="24"/>
        </w:rPr>
        <w:t>一、投标函</w:t>
      </w:r>
    </w:p>
    <w:p w14:paraId="5100D99B">
      <w:pPr>
        <w:spacing w:line="360" w:lineRule="auto"/>
        <w:rPr>
          <w:rFonts w:hint="eastAsia" w:ascii="宋体" w:hAnsi="宋体"/>
          <w:szCs w:val="21"/>
        </w:rPr>
      </w:pPr>
      <w:bookmarkStart w:id="52"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7AAB3E4C">
      <w:pPr>
        <w:ind w:firstLine="420" w:firstLineChars="200"/>
        <w:rPr>
          <w:rFonts w:hint="eastAsia" w:ascii="宋体" w:hAnsi="宋体"/>
          <w:szCs w:val="21"/>
        </w:rPr>
      </w:pPr>
      <w:bookmarkStart w:id="53" w:name="_Hlk73818812"/>
      <w:r>
        <w:rPr>
          <w:rFonts w:hint="eastAsia"/>
          <w:szCs w:val="21"/>
        </w:rPr>
        <w:t>1、根据已收到贵单位的项目编号为</w:t>
      </w:r>
      <w:r>
        <w:rPr>
          <w:rFonts w:hint="eastAsia"/>
          <w:szCs w:val="21"/>
          <w:u w:val="thick"/>
        </w:rPr>
        <w:t xml:space="preserve">                 </w:t>
      </w:r>
      <w:r>
        <w:rPr>
          <w:rFonts w:hint="eastAsia"/>
          <w:szCs w:val="21"/>
        </w:rPr>
        <w:t>的</w:t>
      </w:r>
      <w:r>
        <w:rPr>
          <w:rFonts w:hint="eastAsia"/>
          <w:szCs w:val="21"/>
          <w:u w:val="thick"/>
        </w:rPr>
        <w:t xml:space="preserve">       （项目名称）          </w:t>
      </w:r>
      <w:r>
        <w:rPr>
          <w:rFonts w:hint="eastAsia"/>
          <w:szCs w:val="21"/>
        </w:rPr>
        <w:t>项目的招标文件，遵照《深圳经济特区政府采购条例》和《深圳网上政府采购管理暂行办法》等有关规定，我单位经研究上述招标文件的专用条款及通用条款后，</w:t>
      </w:r>
      <w:bookmarkStart w:id="54" w:name="_Hlk72263588"/>
      <w:r>
        <w:rPr>
          <w:rFonts w:hint="eastAsia"/>
          <w:szCs w:val="21"/>
        </w:rPr>
        <w:t>愿意按照招标文件要求承包上述项目并修补其任何缺陷。</w:t>
      </w:r>
      <w:bookmarkEnd w:id="54"/>
    </w:p>
    <w:p w14:paraId="1535BFD2">
      <w:pPr>
        <w:ind w:firstLine="420" w:firstLineChars="200"/>
        <w:rPr>
          <w:rFonts w:hint="eastAsia" w:ascii="宋体" w:hAnsi="宋体"/>
          <w:szCs w:val="21"/>
        </w:rPr>
      </w:pPr>
      <w:r>
        <w:rPr>
          <w:rFonts w:ascii="宋体" w:hAnsi="宋体"/>
          <w:szCs w:val="21"/>
        </w:rPr>
        <w:t>2</w:t>
      </w:r>
      <w:r>
        <w:rPr>
          <w:rFonts w:hint="eastAsia" w:ascii="宋体" w:hAnsi="宋体"/>
          <w:szCs w:val="21"/>
        </w:rPr>
        <w:t>、</w:t>
      </w:r>
      <w:bookmarkStart w:id="55" w:name="_Hlk73819847"/>
      <w:r>
        <w:rPr>
          <w:rFonts w:hint="eastAsia" w:ascii="宋体" w:hAnsi="宋体"/>
          <w:szCs w:val="21"/>
        </w:rPr>
        <w:t>投标价格见</w:t>
      </w:r>
      <w:r>
        <w:rPr>
          <w:rFonts w:hint="eastAsia"/>
          <w:szCs w:val="21"/>
        </w:rPr>
        <w:t>投标书编制软件中《开标一览表》中填写的投标总价。</w:t>
      </w:r>
      <w:bookmarkEnd w:id="55"/>
    </w:p>
    <w:p w14:paraId="31B5B59E">
      <w:pPr>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14:paraId="788DF773">
      <w:pPr>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4E2A40C9">
      <w:pPr>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14:paraId="29E91D47">
      <w:pPr>
        <w:ind w:left="420" w:leftChars="200"/>
        <w:rPr>
          <w:rFonts w:hint="eastAsia" w:ascii="宋体" w:hAnsi="宋体"/>
          <w:b/>
          <w:szCs w:val="21"/>
        </w:rPr>
      </w:pPr>
      <w:r>
        <w:rPr>
          <w:rFonts w:hint="eastAsia" w:ascii="宋体" w:hAnsi="宋体"/>
          <w:szCs w:val="21"/>
        </w:rPr>
        <w:t>6、我单位理解贵单位将不受必须接受所收到的最低报价或其它任何投标文件的约束。</w:t>
      </w:r>
      <w:bookmarkEnd w:id="53"/>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41831580">
      <w:pPr>
        <w:ind w:left="420" w:leftChars="200" w:firstLine="210" w:firstLineChars="100"/>
        <w:rPr>
          <w:szCs w:val="21"/>
        </w:rPr>
      </w:pPr>
      <w:r>
        <w:rPr>
          <w:rFonts w:hint="eastAsia"/>
          <w:szCs w:val="21"/>
        </w:rPr>
        <w:t>投标人：</w:t>
      </w:r>
      <w:r>
        <w:rPr>
          <w:rFonts w:hint="eastAsia"/>
          <w:szCs w:val="21"/>
          <w:u w:val="thick"/>
        </w:rPr>
        <w:t xml:space="preserve">                   </w:t>
      </w:r>
      <w:r>
        <w:rPr>
          <w:rFonts w:hint="eastAsia"/>
          <w:szCs w:val="21"/>
        </w:rPr>
        <w:t xml:space="preserve">  ；  </w:t>
      </w:r>
    </w:p>
    <w:p w14:paraId="68D4898B">
      <w:pPr>
        <w:ind w:left="420" w:leftChars="200" w:firstLine="210" w:firstLineChars="100"/>
        <w:rPr>
          <w:szCs w:val="21"/>
        </w:rPr>
      </w:pPr>
      <w:r>
        <w:rPr>
          <w:rFonts w:hint="eastAsia"/>
          <w:szCs w:val="21"/>
        </w:rPr>
        <w:t>单位地址：</w:t>
      </w:r>
      <w:r>
        <w:rPr>
          <w:rFonts w:hint="eastAsia"/>
          <w:szCs w:val="21"/>
          <w:u w:val="thick"/>
        </w:rPr>
        <w:t xml:space="preserve">                                            </w:t>
      </w:r>
      <w:r>
        <w:rPr>
          <w:rFonts w:hint="eastAsia"/>
          <w:szCs w:val="21"/>
        </w:rPr>
        <w:t>；</w:t>
      </w:r>
    </w:p>
    <w:p w14:paraId="24F153E4">
      <w:pPr>
        <w:ind w:left="420" w:leftChars="200" w:firstLine="210" w:firstLineChars="10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14:paraId="49C101B0">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p>
    <w:p w14:paraId="223C438A">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B4CABEE">
      <w:pPr>
        <w:rPr>
          <w:rFonts w:hint="eastAsia" w:ascii="黑体" w:hAnsi="宋体" w:eastAsia="黑体"/>
        </w:rPr>
      </w:pPr>
    </w:p>
    <w:p w14:paraId="28ED6EE3">
      <w:pPr>
        <w:rPr>
          <w:rFonts w:hint="eastAsia" w:ascii="黑体" w:hAnsi="宋体" w:eastAsia="黑体"/>
        </w:rPr>
      </w:pPr>
    </w:p>
    <w:bookmarkEnd w:id="52"/>
    <w:p w14:paraId="3A17B03A">
      <w:pPr>
        <w:pStyle w:val="6"/>
        <w:jc w:val="center"/>
        <w:rPr>
          <w:rFonts w:hint="eastAsia" w:ascii="黑体"/>
          <w:sz w:val="24"/>
        </w:rPr>
      </w:pPr>
      <w:r>
        <w:rPr>
          <w:rFonts w:hint="eastAsia" w:ascii="黑体"/>
          <w:sz w:val="24"/>
        </w:rPr>
        <w:t>二、政府采购投标及履约承诺函</w:t>
      </w:r>
    </w:p>
    <w:p w14:paraId="447775B6">
      <w:pPr>
        <w:spacing w:line="250" w:lineRule="exact"/>
        <w:rPr>
          <w:rFonts w:hint="eastAsia" w:ascii="宋体" w:hAnsi="宋体"/>
          <w:color w:val="FF0000"/>
          <w:szCs w:val="21"/>
        </w:rPr>
      </w:pPr>
      <w:bookmarkStart w:id="56"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370DB736">
      <w:pPr>
        <w:spacing w:line="250" w:lineRule="exact"/>
        <w:ind w:firstLine="420" w:firstLineChars="200"/>
        <w:rPr>
          <w:rFonts w:hint="eastAsia" w:ascii="宋体" w:hAnsi="宋体"/>
          <w:szCs w:val="21"/>
        </w:rPr>
      </w:pPr>
      <w:r>
        <w:rPr>
          <w:rFonts w:hint="eastAsia" w:ascii="宋体" w:hAnsi="宋体"/>
          <w:szCs w:val="21"/>
        </w:rPr>
        <w:t>我单位承诺：</w:t>
      </w:r>
    </w:p>
    <w:p w14:paraId="6C2A2056">
      <w:pPr>
        <w:spacing w:line="250" w:lineRule="exact"/>
        <w:ind w:firstLine="420" w:firstLineChars="200"/>
        <w:rPr>
          <w:rFonts w:hint="eastAsia" w:ascii="宋体" w:hAnsi="宋体"/>
          <w:bCs/>
          <w:szCs w:val="21"/>
        </w:rPr>
      </w:pPr>
      <w:r>
        <w:rPr>
          <w:rFonts w:hint="eastAsia" w:ascii="宋体" w:hAnsi="宋体"/>
          <w:bCs/>
          <w:szCs w:val="21"/>
        </w:rPr>
        <w:t>1.我单位参与本项目符合资格条件关于联合体、进口产品的要求</w:t>
      </w:r>
      <w:r>
        <w:rPr>
          <w:rFonts w:hint="eastAsia"/>
        </w:rPr>
        <w:t>。</w:t>
      </w:r>
    </w:p>
    <w:p w14:paraId="3AA27EA7">
      <w:pPr>
        <w:spacing w:line="250" w:lineRule="exact"/>
        <w:ind w:firstLine="420" w:firstLineChars="200"/>
        <w:rPr>
          <w:rFonts w:hint="eastAsia" w:ascii="宋体" w:hAnsi="宋体"/>
          <w:b/>
          <w:szCs w:val="21"/>
        </w:rPr>
      </w:pPr>
      <w:r>
        <w:rPr>
          <w:rFonts w:hint="eastAsia" w:ascii="宋体" w:hAnsi="宋体"/>
          <w:bCs/>
          <w:szCs w:val="21"/>
        </w:rPr>
        <w:t>2.我单位参与本项目所投标（响应）的货物、工程或服务，不存在侵犯知识产权的情况。</w:t>
      </w:r>
    </w:p>
    <w:p w14:paraId="019B4276">
      <w:pPr>
        <w:spacing w:line="250" w:lineRule="exact"/>
        <w:ind w:firstLine="420" w:firstLineChars="200"/>
      </w:pPr>
      <w:r>
        <w:rPr>
          <w:rFonts w:hint="eastAsia" w:ascii="宋体" w:hAnsi="宋体"/>
          <w:szCs w:val="21"/>
        </w:rPr>
        <w:t>3.我单位参与本项目</w:t>
      </w:r>
      <w:r>
        <w:rPr>
          <w:rFonts w:hint="eastAsia"/>
        </w:rPr>
        <w:t>政府采购活动时不存在被有关部门禁止参与政府采购活动且在有效期内的情况。</w:t>
      </w:r>
    </w:p>
    <w:p w14:paraId="481079FB">
      <w:pPr>
        <w:spacing w:line="250" w:lineRule="exact"/>
        <w:ind w:firstLine="420" w:firstLineChars="200"/>
        <w:rPr>
          <w:rFonts w:hint="eastAsia" w:ascii="宋体" w:hAnsi="宋体"/>
          <w:szCs w:val="21"/>
        </w:rPr>
      </w:pPr>
      <w:r>
        <w:rPr>
          <w:rFonts w:hint="eastAsia" w:ascii="宋体" w:hAnsi="宋体"/>
          <w:szCs w:val="21"/>
        </w:rPr>
        <w:t>4.我单位具备《中华人民共和国政府采购法》第二十二条第一款规定的六项条件。</w:t>
      </w:r>
    </w:p>
    <w:p w14:paraId="428163E7">
      <w:pPr>
        <w:spacing w:line="250" w:lineRule="exact"/>
        <w:ind w:firstLine="420" w:firstLineChars="200"/>
      </w:pPr>
      <w:r>
        <w:rPr>
          <w:rFonts w:hint="eastAsia" w:ascii="宋体" w:hAnsi="宋体"/>
          <w:szCs w:val="21"/>
        </w:rPr>
        <w:t>5.我单位</w:t>
      </w:r>
      <w:r>
        <w:rPr>
          <w:rFonts w:hint="eastAsia"/>
        </w:rPr>
        <w:t>未被列入失信被执行人、重大税收违法案件当事人名单、政府采购严重违法失信行为记录名单。</w:t>
      </w:r>
    </w:p>
    <w:p w14:paraId="3A8B1113">
      <w:pPr>
        <w:spacing w:line="250" w:lineRule="exact"/>
        <w:ind w:firstLine="420" w:firstLineChars="200"/>
        <w:rPr>
          <w:color w:val="FF0000"/>
        </w:rPr>
      </w:pPr>
      <w:r>
        <w:rPr>
          <w:rFonts w:hint="eastAsia"/>
          <w:color w:val="FF0000"/>
        </w:rPr>
        <w:t>6.我单位不存在《深圳市财政局政府采购供应商信用信息管理办法》（深财规〔2023〕3号）列明的严重违法失信行为。</w:t>
      </w:r>
    </w:p>
    <w:p w14:paraId="691E9D2C">
      <w:pPr>
        <w:spacing w:line="250" w:lineRule="exact"/>
        <w:ind w:firstLine="420" w:firstLineChars="200"/>
        <w:rPr>
          <w:rFonts w:hint="eastAsia" w:ascii="宋体" w:hAnsi="宋体"/>
          <w:szCs w:val="21"/>
        </w:rPr>
      </w:pPr>
      <w:r>
        <w:rPr>
          <w:rFonts w:hint="eastAsia" w:ascii="宋体" w:hAnsi="宋体"/>
          <w:szCs w:val="21"/>
        </w:rPr>
        <w:t>7.</w:t>
      </w:r>
      <w:bookmarkStart w:id="57" w:name="_Hlk72587269"/>
      <w:bookmarkStart w:id="58"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57"/>
      <w:r>
        <w:rPr>
          <w:rFonts w:hint="eastAsia" w:ascii="宋体" w:hAnsi="宋体"/>
          <w:szCs w:val="21"/>
        </w:rPr>
        <w:t>。</w:t>
      </w:r>
    </w:p>
    <w:bookmarkEnd w:id="58"/>
    <w:p w14:paraId="507232C0">
      <w:pPr>
        <w:spacing w:line="250" w:lineRule="exact"/>
        <w:ind w:firstLine="420" w:firstLineChars="200"/>
        <w:rPr>
          <w:rFonts w:hint="eastAsia" w:ascii="宋体" w:hAnsi="宋体"/>
          <w:szCs w:val="21"/>
        </w:rPr>
      </w:pPr>
      <w:r>
        <w:rPr>
          <w:rFonts w:hint="eastAsia" w:ascii="宋体" w:hAnsi="宋体"/>
          <w:szCs w:val="21"/>
        </w:rPr>
        <w:t>8.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107B63F8">
      <w:pPr>
        <w:spacing w:line="250" w:lineRule="exact"/>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FBB33AD">
      <w:pPr>
        <w:spacing w:line="250" w:lineRule="exact"/>
        <w:ind w:firstLine="420" w:firstLineChars="200"/>
        <w:rPr>
          <w:rFonts w:hint="eastAsia" w:ascii="宋体" w:hAnsi="宋体"/>
          <w:szCs w:val="21"/>
        </w:rPr>
      </w:pPr>
      <w:r>
        <w:rPr>
          <w:rFonts w:hint="eastAsia" w:ascii="宋体" w:hAnsi="宋体"/>
          <w:szCs w:val="21"/>
        </w:rPr>
        <w:t>9.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64E9810">
      <w:pPr>
        <w:spacing w:line="250" w:lineRule="exact"/>
        <w:ind w:firstLine="420" w:firstLineChars="200"/>
        <w:rPr>
          <w:rFonts w:hint="eastAsia" w:ascii="宋体" w:hAnsi="宋体"/>
          <w:szCs w:val="21"/>
        </w:rPr>
      </w:pPr>
      <w:r>
        <w:rPr>
          <w:rFonts w:hint="eastAsia" w:ascii="宋体" w:hAnsi="宋体"/>
          <w:szCs w:val="21"/>
        </w:rPr>
        <w:t>10.我单位承诺中标后项目不转包，未经采购人同意不进行分包。</w:t>
      </w:r>
    </w:p>
    <w:p w14:paraId="71171019">
      <w:pPr>
        <w:spacing w:line="250" w:lineRule="exact"/>
        <w:ind w:firstLine="420" w:firstLineChars="200"/>
        <w:rPr>
          <w:rFonts w:hint="eastAsia" w:ascii="宋体" w:hAnsi="宋体"/>
        </w:rPr>
      </w:pPr>
      <w:r>
        <w:rPr>
          <w:rFonts w:hint="eastAsia" w:ascii="宋体" w:hAnsi="宋体"/>
          <w:szCs w:val="21"/>
        </w:rPr>
        <w:t>11</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1354363">
      <w:pPr>
        <w:spacing w:line="250" w:lineRule="exact"/>
        <w:ind w:firstLine="420" w:firstLineChars="200"/>
        <w:rPr>
          <w:rFonts w:hint="eastAsia" w:ascii="宋体" w:hAnsi="宋体"/>
        </w:rPr>
      </w:pPr>
      <w:r>
        <w:rPr>
          <w:rFonts w:hint="eastAsia" w:ascii="宋体" w:hAnsi="宋体"/>
        </w:rPr>
        <w:t>12</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71881E13">
      <w:pPr>
        <w:spacing w:line="250" w:lineRule="exact"/>
        <w:ind w:firstLine="420" w:firstLineChars="200"/>
        <w:rPr>
          <w:rFonts w:hint="eastAsia" w:ascii="宋体" w:hAnsi="宋体"/>
          <w:bCs/>
        </w:rPr>
      </w:pPr>
      <w:r>
        <w:rPr>
          <w:rFonts w:hint="eastAsia" w:ascii="宋体" w:hAnsi="宋体" w:cs="宋体"/>
          <w:bCs/>
          <w:kern w:val="0"/>
          <w:szCs w:val="21"/>
        </w:rPr>
        <w:t>13.</w:t>
      </w:r>
      <w:r>
        <w:rPr>
          <w:rFonts w:hint="eastAsia" w:ascii="宋体" w:hAnsi="宋体"/>
          <w:bCs/>
        </w:rPr>
        <w:t>我单位已知悉并同意中标（成交）结果信息公示（公开）的内容。</w:t>
      </w:r>
    </w:p>
    <w:p w14:paraId="763782A5">
      <w:pPr>
        <w:spacing w:line="250" w:lineRule="exact"/>
        <w:ind w:firstLine="420" w:firstLineChars="200"/>
        <w:rPr>
          <w:rFonts w:hint="eastAsia" w:ascii="宋体" w:hAnsi="宋体" w:cs="宋体"/>
          <w:b/>
          <w:color w:val="FF0000"/>
          <w:kern w:val="0"/>
          <w:szCs w:val="21"/>
        </w:rPr>
      </w:pPr>
      <w:r>
        <w:rPr>
          <w:rFonts w:hint="eastAsia" w:ascii="宋体" w:hAnsi="宋体"/>
          <w:bCs/>
        </w:rPr>
        <w:t>14</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14:paraId="264F1AA2">
      <w:pPr>
        <w:spacing w:line="250" w:lineRule="exact"/>
        <w:ind w:firstLine="422" w:firstLineChars="200"/>
        <w:rPr>
          <w:rFonts w:hint="eastAsia" w:ascii="宋体" w:hAnsi="宋体"/>
          <w:b/>
          <w:szCs w:val="21"/>
        </w:rPr>
      </w:pPr>
      <w:r>
        <w:rPr>
          <w:rFonts w:hint="eastAsia" w:ascii="宋体" w:hAnsi="宋体"/>
          <w:b/>
        </w:rPr>
        <w:t>15.我单位清楚，如存在违反投标承诺行为情节严重的，将根据《深圳市财政局关于印发&lt;深圳市财政局政府采购供应商信用信息管理办法&gt;的通知》，依法被列入失信信息。</w:t>
      </w:r>
    </w:p>
    <w:p w14:paraId="16CB9416">
      <w:pPr>
        <w:spacing w:line="250" w:lineRule="exact"/>
        <w:ind w:firstLine="420" w:firstLineChars="200"/>
      </w:pPr>
      <w:r>
        <w:rPr>
          <w:rFonts w:ascii="宋体" w:hAnsi="宋体"/>
          <w:bCs/>
        </w:rPr>
        <w:t>1</w:t>
      </w:r>
      <w:r>
        <w:rPr>
          <w:rFonts w:hint="eastAsia" w:ascii="宋体" w:hAnsi="宋体"/>
          <w:bCs/>
        </w:rPr>
        <w:t>6.</w:t>
      </w:r>
      <w:r>
        <w:rPr>
          <w:rFonts w:ascii="宋体" w:hAnsi="宋体"/>
          <w:bCs/>
        </w:rPr>
        <w:t>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5BE109A5">
      <w:pPr>
        <w:spacing w:line="250" w:lineRule="exact"/>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14:paraId="49CEC820">
      <w:pPr>
        <w:spacing w:before="60" w:beforeLines="25" w:after="60" w:afterLines="25"/>
        <w:ind w:firstLine="5460" w:firstLineChars="2600"/>
        <w:rPr>
          <w:rFonts w:hint="eastAsia" w:ascii="宋体" w:hAnsi="宋体"/>
          <w:szCs w:val="21"/>
        </w:rPr>
      </w:pPr>
      <w:r>
        <w:rPr>
          <w:rFonts w:hint="eastAsia" w:ascii="宋体" w:hAnsi="宋体"/>
          <w:szCs w:val="21"/>
        </w:rPr>
        <w:t xml:space="preserve">                                    </w:t>
      </w:r>
    </w:p>
    <w:bookmarkEnd w:id="56"/>
    <w:p w14:paraId="6836D5BB">
      <w:pPr>
        <w:spacing w:before="60" w:beforeLines="25" w:after="60" w:afterLines="25"/>
        <w:jc w:val="right"/>
        <w:rPr>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14:paraId="5DA184FA">
      <w:pPr>
        <w:ind w:firstLine="645"/>
        <w:jc w:val="left"/>
        <w:rPr>
          <w:rFonts w:hint="eastAsia"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14:paraId="104AD8C9">
      <w:pPr>
        <w:ind w:firstLine="482" w:firstLineChars="200"/>
        <w:jc w:val="center"/>
        <w:rPr>
          <w:rFonts w:hint="eastAsia" w:hAnsi="宋体"/>
          <w:b/>
          <w:bCs/>
          <w:sz w:val="24"/>
        </w:rPr>
      </w:pPr>
    </w:p>
    <w:p w14:paraId="6281573A">
      <w:pPr>
        <w:pStyle w:val="6"/>
        <w:jc w:val="center"/>
        <w:rPr>
          <w:rFonts w:hint="eastAsia" w:ascii="黑体"/>
          <w:sz w:val="24"/>
          <w:szCs w:val="24"/>
        </w:rPr>
      </w:pPr>
      <w:r>
        <w:rPr>
          <w:rFonts w:hint="eastAsia" w:ascii="黑体"/>
          <w:sz w:val="24"/>
          <w:szCs w:val="24"/>
        </w:rPr>
        <w:t>三、投标人情况及资格证明文件</w:t>
      </w:r>
    </w:p>
    <w:p w14:paraId="12405828">
      <w:pPr>
        <w:ind w:firstLine="2640" w:firstLineChars="1100"/>
        <w:outlineLvl w:val="3"/>
        <w:rPr>
          <w:rFonts w:hint="eastAsia" w:ascii="黑体" w:hAnsi="宋体" w:eastAsia="黑体"/>
          <w:bCs/>
          <w:kern w:val="0"/>
          <w:sz w:val="24"/>
          <w:szCs w:val="32"/>
        </w:rPr>
      </w:pPr>
      <w:bookmarkStart w:id="59" w:name="_Hlk72257590"/>
      <w:bookmarkStart w:id="60" w:name="_Hlk72257908"/>
      <w:r>
        <w:rPr>
          <w:rFonts w:hint="eastAsia" w:ascii="黑体" w:hAnsi="宋体" w:eastAsia="黑体"/>
          <w:bCs/>
          <w:kern w:val="0"/>
          <w:sz w:val="24"/>
          <w:szCs w:val="32"/>
        </w:rPr>
        <w:t>（一）投标人资格证明文件</w:t>
      </w:r>
    </w:p>
    <w:p w14:paraId="1F88C017">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其中要求提供《政府采购投标及履约承诺函》《供应商基本情况表》且已在规定章节中提供的，此处不重复提供。）</w:t>
      </w:r>
    </w:p>
    <w:p w14:paraId="0AD45DB8">
      <w:pPr>
        <w:rPr>
          <w:b/>
          <w:bCs/>
          <w:sz w:val="24"/>
        </w:rPr>
      </w:pPr>
    </w:p>
    <w:p w14:paraId="74CA0147">
      <w:pPr>
        <w:ind w:firstLine="480" w:firstLineChars="200"/>
        <w:outlineLvl w:val="3"/>
        <w:rPr>
          <w:rFonts w:hint="eastAsia"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bookmarkEnd w:id="59"/>
    <w:p w14:paraId="4402A5EE">
      <w:pPr>
        <w:jc w:val="left"/>
        <w:outlineLvl w:val="3"/>
        <w:rPr>
          <w:rFonts w:hint="eastAsia" w:ascii="黑体" w:hAnsi="宋体" w:eastAsia="黑体"/>
          <w:bCs/>
          <w:kern w:val="0"/>
          <w:sz w:val="24"/>
          <w:szCs w:val="32"/>
        </w:rPr>
      </w:pPr>
    </w:p>
    <w:p w14:paraId="56FE60B8">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填写指引：</w:t>
      </w:r>
    </w:p>
    <w:p w14:paraId="42DEE786">
      <w:pPr>
        <w:ind w:firstLine="420" w:firstLineChars="200"/>
        <w:outlineLvl w:val="3"/>
        <w:rPr>
          <w:rFonts w:hint="eastAsia"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09F2FEEB">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2、该部分内容填写需要参考的相关文件：</w:t>
      </w:r>
    </w:p>
    <w:p w14:paraId="69A7A979">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4792B6BD">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14:paraId="77C67F0D">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(3)《统计上大中小微型企业划分办法(2017)》（国统字〔2017〕213号）；</w:t>
      </w:r>
    </w:p>
    <w:p w14:paraId="0D9908E5">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(4)《关于促进残疾人就业政府采购政策的通知》（财库〔2017〕141号）；</w:t>
      </w:r>
    </w:p>
    <w:p w14:paraId="494A1E37">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30EDB351">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w:t>
      </w:r>
    </w:p>
    <w:p w14:paraId="60CB9C22">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4、声明函具体填写要求：</w:t>
      </w:r>
    </w:p>
    <w:p w14:paraId="1033BE01">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46AB83E9">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66C897CB">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14:paraId="62331CAB">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5F3BD692">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联合体中中小企业承担采购标的涉及的货物制造商本身的所属行业保持一致；</w:t>
      </w:r>
    </w:p>
    <w:p w14:paraId="1A5D2284">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货物制造商名称。</w:t>
      </w:r>
      <w:r>
        <w:rPr>
          <w:rFonts w:hint="eastAsia" w:ascii="黑体" w:hAnsi="宋体" w:eastAsia="黑体"/>
          <w:bCs/>
          <w:color w:val="FF0000"/>
          <w:kern w:val="0"/>
          <w:szCs w:val="21"/>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5546E7C5">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六、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14:paraId="29DB7DA0">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0A1DB30A">
      <w:pPr>
        <w:pStyle w:val="39"/>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6BF96D26">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14:paraId="6B5F2EB1">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14:paraId="162A3EDB">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14:paraId="17A89F81">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5D4A2FA3">
      <w:pPr>
        <w:pStyle w:val="39"/>
        <w:ind w:firstLine="420" w:firstLineChars="200"/>
        <w:rPr>
          <w:rFonts w:eastAsia="黑体"/>
        </w:rPr>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0CBC7DCF">
      <w:pPr>
        <w:ind w:firstLine="420" w:firstLineChars="200"/>
      </w:pPr>
    </w:p>
    <w:p w14:paraId="6771BDA9">
      <w:pPr>
        <w:ind w:firstLine="420" w:firstLineChars="200"/>
      </w:pPr>
    </w:p>
    <w:p w14:paraId="69757B61">
      <w:pPr>
        <w:numPr>
          <w:ilvl w:val="0"/>
          <w:numId w:val="1"/>
        </w:numPr>
        <w:jc w:val="center"/>
        <w:outlineLvl w:val="3"/>
        <w:rPr>
          <w:b/>
          <w:sz w:val="24"/>
        </w:rPr>
      </w:pPr>
      <w:r>
        <w:rPr>
          <w:b/>
          <w:sz w:val="24"/>
        </w:rPr>
        <w:t>中小企业声明函（货物）</w:t>
      </w:r>
    </w:p>
    <w:p w14:paraId="765415F6">
      <w:pPr>
        <w:pStyle w:val="12"/>
      </w:pPr>
    </w:p>
    <w:p w14:paraId="1D322A4A">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rPr>
        <w:t xml:space="preserve">    （单位名称）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rPr>
        <w:t xml:space="preserve">    （项目名称）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17C02FE4">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b/>
          <w:bCs/>
          <w:i/>
          <w:iCs/>
          <w:sz w:val="21"/>
          <w:szCs w:val="21"/>
          <w:u w:val="single"/>
        </w:rPr>
        <w:t xml:space="preserve">    （标的名称）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rPr>
        <w:t xml:space="preserve">    （采购文件中明确的所属行业）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rPr>
        <w:t xml:space="preserve">    （中型企业、小型企业、微型企业）    </w:t>
      </w:r>
      <w:r>
        <w:rPr>
          <w:rFonts w:hint="eastAsia" w:asciiTheme="minorEastAsia" w:hAnsiTheme="minorEastAsia" w:eastAsiaTheme="minorEastAsia" w:cstheme="minorEastAsia"/>
          <w:sz w:val="21"/>
          <w:szCs w:val="21"/>
        </w:rPr>
        <w:t>；</w:t>
      </w:r>
    </w:p>
    <w:p w14:paraId="5B533B0F">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b/>
          <w:bCs/>
          <w:i/>
          <w:iCs/>
          <w:sz w:val="21"/>
          <w:szCs w:val="21"/>
          <w:u w:val="single"/>
        </w:rPr>
        <w:t xml:space="preserve">    （标的名称）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rPr>
        <w:t xml:space="preserve">    （采购文件中明确的所属行业）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rPr>
        <w:t xml:space="preserve">    （中型企业、小型企业、微型企业）    </w:t>
      </w:r>
      <w:r>
        <w:rPr>
          <w:rFonts w:hint="eastAsia" w:asciiTheme="minorEastAsia" w:hAnsiTheme="minorEastAsia" w:eastAsiaTheme="minorEastAsia" w:cstheme="minorEastAsia"/>
          <w:sz w:val="21"/>
          <w:szCs w:val="21"/>
        </w:rPr>
        <w:t>；</w:t>
      </w:r>
    </w:p>
    <w:p w14:paraId="71F78D62">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p w14:paraId="0CF6654A">
      <w:pPr>
        <w:pStyle w:val="13"/>
        <w:ind w:firstLine="420" w:firstLineChars="200"/>
        <w:rPr>
          <w:rFonts w:hint="eastAsia" w:asciiTheme="minorEastAsia" w:hAnsiTheme="minorEastAsia" w:eastAsiaTheme="minorEastAsia" w:cstheme="minorEastAsia"/>
          <w:sz w:val="21"/>
          <w:szCs w:val="21"/>
        </w:rPr>
      </w:pPr>
    </w:p>
    <w:p w14:paraId="5FED2115">
      <w:pPr>
        <w:spacing w:line="360" w:lineRule="auto"/>
        <w:ind w:firstLine="420" w:firstLineChars="200"/>
        <w:outlineLvl w:val="3"/>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以上企业，不属于大企业的分支机构，不存在控股股东为大企业的情形，也不存在与大企业的负责人为同一人的情形。</w:t>
      </w:r>
    </w:p>
    <w:p w14:paraId="40FC394C">
      <w:pPr>
        <w:spacing w:line="360" w:lineRule="auto"/>
        <w:ind w:firstLine="420" w:firstLineChars="200"/>
        <w:rPr>
          <w:rFonts w:hint="eastAsia" w:asciiTheme="minorEastAsia" w:hAnsiTheme="minorEastAsia" w:eastAsiaTheme="minorEastAsia" w:cstheme="minorEastAsia"/>
          <w:szCs w:val="21"/>
        </w:rPr>
      </w:pPr>
      <w:bookmarkStart w:id="61" w:name="_Hlk73562203"/>
      <w:r>
        <w:rPr>
          <w:rFonts w:hint="eastAsia" w:asciiTheme="minorEastAsia" w:hAnsiTheme="minorEastAsia" w:eastAsiaTheme="minorEastAsia" w:cstheme="minorEastAsia"/>
          <w:szCs w:val="21"/>
        </w:rPr>
        <w:t>本投标人对上述声明内容的真实性负责。如有虚假，将依法承担相应责任。</w:t>
      </w:r>
    </w:p>
    <w:p w14:paraId="25EFEBCC">
      <w:pPr>
        <w:spacing w:line="360" w:lineRule="auto"/>
        <w:ind w:firstLine="420" w:firstLineChars="200"/>
        <w:rPr>
          <w:sz w:val="24"/>
        </w:rPr>
      </w:pPr>
      <w:r>
        <w:rPr>
          <w:rFonts w:hint="eastAsia" w:asciiTheme="minorEastAsia" w:hAnsiTheme="minorEastAsia" w:eastAsia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61"/>
    </w:p>
    <w:p w14:paraId="4510884B">
      <w:pPr>
        <w:ind w:firstLine="420" w:firstLineChars="200"/>
        <w:outlineLvl w:val="3"/>
        <w:rPr>
          <w:rFonts w:hint="eastAsia" w:ascii="宋体" w:hAnsi="宋体"/>
          <w:bCs/>
          <w:color w:val="FF0000"/>
          <w:kern w:val="0"/>
          <w:szCs w:val="21"/>
        </w:rPr>
      </w:pPr>
    </w:p>
    <w:p w14:paraId="2AD0FE1F"/>
    <w:p w14:paraId="16F189D2">
      <w:pPr>
        <w:ind w:firstLine="420" w:firstLineChars="200"/>
      </w:pPr>
    </w:p>
    <w:p w14:paraId="012055CA">
      <w:pPr>
        <w:jc w:val="center"/>
        <w:outlineLvl w:val="3"/>
        <w:rPr>
          <w:b/>
          <w:sz w:val="24"/>
        </w:rPr>
      </w:pPr>
      <w:r>
        <w:rPr>
          <w:rFonts w:hint="eastAsia"/>
          <w:b/>
          <w:sz w:val="24"/>
        </w:rPr>
        <w:t>2、残疾人福利性单位声明函（货物类）</w:t>
      </w:r>
    </w:p>
    <w:p w14:paraId="6B0DF533">
      <w:pPr>
        <w:rPr>
          <w:b/>
          <w:bCs/>
        </w:rPr>
      </w:pPr>
    </w:p>
    <w:p w14:paraId="3A13B9A8">
      <w:pPr>
        <w:spacing w:line="360" w:lineRule="auto"/>
        <w:ind w:firstLine="420" w:firstLineChars="200"/>
        <w:rPr>
          <w:rFonts w:hint="eastAsia" w:asciiTheme="minorEastAsia" w:hAnsiTheme="minorEastAsia" w:eastAsiaTheme="minorEastAsia" w:cstheme="minorEastAsia"/>
          <w:szCs w:val="21"/>
        </w:rPr>
      </w:pPr>
      <w:bookmarkStart w:id="62" w:name="_Hlk73562331"/>
      <w:bookmarkStart w:id="63" w:name="_Hlk73562245"/>
      <w:r>
        <w:rPr>
          <w:rFonts w:hint="eastAsia" w:asciiTheme="minorEastAsia" w:hAnsiTheme="minorEastAsia" w:eastAsiaTheme="minorEastAsia" w:cstheme="minorEastAsia"/>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Cs w:val="21"/>
          <w:u w:val="single"/>
        </w:rPr>
        <w:t xml:space="preserve">    （单位名称）    </w:t>
      </w:r>
      <w:r>
        <w:rPr>
          <w:rFonts w:hint="eastAsia" w:asciiTheme="minorEastAsia" w:hAnsiTheme="minorEastAsia" w:eastAsiaTheme="minorEastAsia" w:cstheme="minorEastAsia"/>
          <w:szCs w:val="21"/>
        </w:rPr>
        <w:t>单位的</w:t>
      </w:r>
      <w:r>
        <w:rPr>
          <w:rFonts w:hint="eastAsia" w:asciiTheme="minorEastAsia" w:hAnsiTheme="minorEastAsia" w:eastAsiaTheme="minorEastAsia" w:cstheme="minorEastAsia"/>
          <w:b/>
          <w:bCs/>
          <w:i/>
          <w:iCs/>
          <w:szCs w:val="21"/>
          <w:u w:val="single"/>
        </w:rPr>
        <w:t xml:space="preserve">    （项目名称）    </w:t>
      </w:r>
      <w:r>
        <w:rPr>
          <w:rFonts w:hint="eastAsia" w:asciiTheme="minorEastAsia" w:hAnsiTheme="minorEastAsia" w:eastAsiaTheme="minorEastAsia" w:cstheme="minorEastAsia"/>
          <w:szCs w:val="21"/>
        </w:rPr>
        <w:t>项目采购活动提供本单位制造的货物（由本单位承担工程/提供服务），或者提供其他残疾人福利性单位制造的货物（不包括使用非残疾人福利性单位注册商标的货物）。</w:t>
      </w:r>
    </w:p>
    <w:p w14:paraId="24B6FBF9">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本单位对上述声明的真实性负责。如有虚假，将依法承担相应责任。</w:t>
      </w:r>
    </w:p>
    <w:p w14:paraId="42EAF91D">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62"/>
    </w:p>
    <w:bookmarkEnd w:id="63"/>
    <w:p w14:paraId="4AF78FC5">
      <w:pPr>
        <w:ind w:firstLine="420" w:firstLineChars="200"/>
        <w:rPr>
          <w:rFonts w:hint="eastAsia" w:ascii="宋体" w:hAnsi="宋体"/>
          <w:szCs w:val="21"/>
        </w:rPr>
      </w:pPr>
    </w:p>
    <w:p w14:paraId="34D6425C">
      <w:pPr>
        <w:ind w:firstLine="420" w:firstLineChars="200"/>
        <w:rPr>
          <w:rFonts w:hint="eastAsia" w:ascii="宋体" w:hAnsi="宋体"/>
          <w:szCs w:val="21"/>
        </w:rPr>
      </w:pPr>
    </w:p>
    <w:p w14:paraId="434F8969">
      <w:pPr>
        <w:jc w:val="center"/>
        <w:outlineLvl w:val="3"/>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6A38926">
      <w:pPr>
        <w:spacing w:line="360" w:lineRule="auto"/>
        <w:ind w:firstLine="420" w:firstLineChars="200"/>
        <w:rPr>
          <w:rFonts w:hint="eastAsia" w:ascii="宋体" w:hAnsi="宋体"/>
          <w:szCs w:val="21"/>
        </w:rPr>
      </w:pPr>
      <w:r>
        <w:rPr>
          <w:rFonts w:hint="eastAsia" w:ascii="宋体" w:hAnsi="宋体"/>
          <w:szCs w:val="21"/>
        </w:rPr>
        <w:t>本投标人郑重声明，根据《财政部司法部关于政府采购支持监狱企业发展有关问题的通知》（财库〔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14:paraId="0096C0C9">
      <w:pPr>
        <w:spacing w:line="360" w:lineRule="auto"/>
        <w:ind w:firstLine="420" w:firstLineChars="200"/>
        <w:rPr>
          <w:rFonts w:hint="eastAsia"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14:paraId="76E1F1A1">
      <w:pPr>
        <w:spacing w:line="360" w:lineRule="auto"/>
        <w:ind w:firstLine="420" w:firstLineChars="200"/>
        <w:rPr>
          <w:rFonts w:hint="eastAsia"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14:paraId="0D26A93E">
      <w:pPr>
        <w:spacing w:line="360" w:lineRule="auto"/>
        <w:ind w:firstLine="420" w:firstLineChars="200"/>
        <w:outlineLvl w:val="3"/>
        <w:rPr>
          <w:rFonts w:hint="eastAsia" w:ascii="宋体" w:hAnsi="宋体"/>
          <w:szCs w:val="21"/>
        </w:rPr>
      </w:pPr>
      <w:r>
        <w:rPr>
          <w:rFonts w:ascii="宋体" w:hAnsi="宋体"/>
          <w:szCs w:val="21"/>
        </w:rPr>
        <w:t xml:space="preserve">…… </w:t>
      </w:r>
    </w:p>
    <w:p w14:paraId="7491807F">
      <w:pPr>
        <w:spacing w:line="360" w:lineRule="auto"/>
        <w:ind w:firstLine="420" w:firstLineChars="200"/>
        <w:rPr>
          <w:rFonts w:hint="eastAsia"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14:paraId="678E37F3">
      <w:pPr>
        <w:spacing w:line="360" w:lineRule="auto"/>
        <w:ind w:firstLine="420" w:firstLineChars="200"/>
        <w:rPr>
          <w:b/>
          <w:bCs/>
          <w:color w:val="FF0000"/>
          <w:szCs w:val="21"/>
        </w:rPr>
      </w:pPr>
      <w:r>
        <w:rPr>
          <w:rFonts w:hint="eastAsia" w:ascii="宋体" w:hAnsi="宋体"/>
          <w:szCs w:val="21"/>
        </w:rPr>
        <w:t>附：省级以上监狱管理局、戒毒管理局（含新疆生产建设兵团）出具的监狱企业证明文件。</w:t>
      </w:r>
      <w:bookmarkEnd w:id="60"/>
    </w:p>
    <w:p w14:paraId="27C9DB38">
      <w:pPr>
        <w:pStyle w:val="7"/>
        <w:jc w:val="center"/>
        <w:rPr>
          <w:b w:val="0"/>
          <w:bCs w:val="0"/>
          <w:sz w:val="24"/>
          <w:szCs w:val="24"/>
        </w:rPr>
      </w:pPr>
      <w:bookmarkStart w:id="64" w:name="_Hlk72259976"/>
      <w:r>
        <w:rPr>
          <w:rFonts w:hint="eastAsia"/>
          <w:b w:val="0"/>
          <w:bCs w:val="0"/>
          <w:sz w:val="24"/>
          <w:szCs w:val="24"/>
        </w:rPr>
        <w:t>（三）本国产品声明函</w:t>
      </w:r>
    </w:p>
    <w:p w14:paraId="09E64067">
      <w:pPr>
        <w:ind w:firstLine="420" w:firstLineChars="200"/>
        <w:rPr>
          <w:rFonts w:hint="eastAsia" w:ascii="宋体" w:hAnsi="宋体"/>
          <w:color w:val="FF0000"/>
          <w:szCs w:val="21"/>
        </w:rPr>
      </w:pPr>
      <w:r>
        <w:rPr>
          <w:rFonts w:hint="eastAsia" w:ascii="宋体" w:hAnsi="宋体"/>
          <w:color w:val="FF0000"/>
          <w:szCs w:val="21"/>
        </w:rPr>
        <w:t>填写指引：</w:t>
      </w:r>
    </w:p>
    <w:p w14:paraId="46F87B18">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该部分内容由供应商根据自身实际情况填写，不符合要求的供应商可以不填写或直接删除相应的声明函。供应商提供的声明函不属实的，属于提供虚假资料谋取中标，依照《中华人民共和国政府采购法》等国家有关规定追究相应责任。</w:t>
      </w:r>
    </w:p>
    <w:p w14:paraId="3262E8B5">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2、该部分内容填写需要参考的相关文件：</w:t>
      </w:r>
    </w:p>
    <w:p w14:paraId="12C3C39A">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(1)《国务院办公厅关于在政府采购中实施本国产品标准及相关政策的通知》（国办发〔2025〕34号）</w:t>
      </w:r>
    </w:p>
    <w:p w14:paraId="7B433AA5">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(2)《关于贯彻落实&lt;国务院办公厅关于在政府采购中实施本国产品标准及相关政策的通知&gt;的意见》（财库〔2025〕30号）</w:t>
      </w:r>
    </w:p>
    <w:p w14:paraId="2D9090F4">
      <w:pPr>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3、请依照提供的格式和内容填写声明函，不要随意变更格式；声明函可以不盖章或签字。</w:t>
      </w:r>
    </w:p>
    <w:p w14:paraId="7C14AA57">
      <w:pPr>
        <w:ind w:firstLine="420" w:firstLineChars="200"/>
        <w:rPr>
          <w:rFonts w:hint="eastAsia" w:ascii="宋体" w:hAnsi="宋体"/>
          <w:color w:val="FF0000"/>
          <w:szCs w:val="21"/>
        </w:rPr>
      </w:pPr>
      <w:r>
        <w:rPr>
          <w:rFonts w:hint="eastAsia" w:ascii="宋体" w:hAnsi="宋体"/>
          <w:color w:val="FF0000"/>
          <w:szCs w:val="21"/>
        </w:rPr>
        <w:t>4、声明函具体填写要求：</w:t>
      </w:r>
    </w:p>
    <w:p w14:paraId="3CC56EF4">
      <w:pPr>
        <w:ind w:firstLine="420" w:firstLineChars="200"/>
        <w:rPr>
          <w:rFonts w:hint="eastAsia" w:ascii="宋体" w:hAnsi="宋体"/>
          <w:color w:val="FF0000"/>
          <w:szCs w:val="21"/>
        </w:rPr>
      </w:pPr>
      <w:r>
        <w:rPr>
          <w:rFonts w:hint="eastAsia" w:ascii="宋体" w:hAnsi="宋体"/>
          <w:color w:val="FF0000"/>
          <w:szCs w:val="21"/>
        </w:rPr>
        <w:t>（1）产品如有型号，请在“产品名称”栏一并填写。</w:t>
      </w:r>
    </w:p>
    <w:p w14:paraId="799A5FA9">
      <w:pPr>
        <w:ind w:firstLine="420" w:firstLineChars="200"/>
        <w:rPr>
          <w:rFonts w:hint="eastAsia" w:ascii="宋体" w:hAnsi="宋体"/>
          <w:color w:val="FF0000"/>
          <w:szCs w:val="21"/>
        </w:rPr>
      </w:pPr>
      <w:r>
        <w:rPr>
          <w:rFonts w:hint="eastAsia" w:ascii="宋体" w:hAnsi="宋体"/>
          <w:color w:val="FF0000"/>
          <w:szCs w:val="21"/>
        </w:rPr>
        <w:t>（2）生产厂名与厂址应与生产厂营业执照载明的相关信息保持一致。</w:t>
      </w:r>
    </w:p>
    <w:p w14:paraId="6EEF6A5B">
      <w:pPr>
        <w:ind w:firstLine="420" w:firstLineChars="200"/>
        <w:rPr>
          <w:rFonts w:hint="eastAsia" w:ascii="宋体" w:hAnsi="宋体"/>
          <w:color w:val="FF0000"/>
          <w:szCs w:val="21"/>
        </w:rPr>
      </w:pPr>
      <w:r>
        <w:rPr>
          <w:rFonts w:hint="eastAsia" w:ascii="宋体" w:hAnsi="宋体"/>
          <w:color w:val="FF0000"/>
          <w:szCs w:val="21"/>
        </w:rPr>
        <w:t>（3）该产品的中国境内生产的组件成本占比相关要求实施前，“规定比例”栏可不填，下同。</w:t>
      </w:r>
    </w:p>
    <w:p w14:paraId="74A67C66">
      <w:pPr>
        <w:ind w:firstLine="420" w:firstLineChars="200"/>
        <w:rPr>
          <w:rFonts w:hint="eastAsia" w:ascii="宋体" w:hAnsi="宋体"/>
          <w:color w:val="FF0000"/>
          <w:szCs w:val="21"/>
        </w:rPr>
      </w:pPr>
      <w:r>
        <w:rPr>
          <w:rFonts w:hint="eastAsia" w:ascii="宋体" w:hAnsi="宋体"/>
          <w:color w:val="FF0000"/>
          <w:szCs w:val="21"/>
        </w:rPr>
        <w:t>（4）该产品的关键组件要求实施前，“关键组件”栏可不填，下同。</w:t>
      </w:r>
    </w:p>
    <w:p w14:paraId="4A38676B">
      <w:pPr>
        <w:ind w:firstLine="420" w:firstLineChars="200"/>
        <w:rPr>
          <w:rFonts w:hint="eastAsia" w:ascii="宋体" w:hAnsi="宋体"/>
          <w:color w:val="FF0000"/>
          <w:szCs w:val="21"/>
        </w:rPr>
      </w:pPr>
      <w:r>
        <w:rPr>
          <w:rFonts w:hint="eastAsia" w:ascii="宋体" w:hAnsi="宋体"/>
          <w:color w:val="FF0000"/>
          <w:szCs w:val="21"/>
        </w:rPr>
        <w:t>（5）该产品的关键工序要求实施前，“关键工序”栏可不填，下同。</w:t>
      </w:r>
    </w:p>
    <w:p w14:paraId="009FD979">
      <w:pPr>
        <w:ind w:firstLine="420" w:firstLineChars="200"/>
        <w:rPr>
          <w:color w:val="FF0000"/>
        </w:rPr>
      </w:pPr>
      <w:r>
        <w:rPr>
          <w:rFonts w:hint="eastAsia" w:ascii="宋体" w:hAnsi="宋体"/>
          <w:color w:val="FF0000"/>
          <w:szCs w:val="21"/>
        </w:rPr>
        <w:t>（6）应如实在“具体比例”栏填写提供所有符合本国产品标准的产品成本之和占提供的全部产品成本之和的比例。根据《国务院办公厅关于在政府采购中实施本国产品标准及相关政策的通知》（国办发〔2025〕34号）的</w:t>
      </w:r>
      <w:r>
        <w:rPr>
          <w:rFonts w:hint="eastAsia"/>
          <w:color w:val="FF0000"/>
        </w:rPr>
        <w:t>规定，当采购项目或者采购包中含有多种产品，供应商为该采购项目或者采购包提供的符合本国产品标准的产品成本之和占该供应商提供的全部产品成本之和的比例达到</w:t>
      </w:r>
      <w:r>
        <w:rPr>
          <w:rFonts w:hint="eastAsia"/>
          <w:b/>
          <w:bCs/>
          <w:color w:val="FF0000"/>
        </w:rPr>
        <w:t>80%以上</w:t>
      </w:r>
      <w:r>
        <w:rPr>
          <w:rFonts w:hint="eastAsia"/>
          <w:color w:val="FF0000"/>
        </w:rPr>
        <w:t>时，依法对该供应商提供的全部产品给予20%价格评审优惠。</w:t>
      </w:r>
    </w:p>
    <w:p w14:paraId="016AADA4">
      <w:pPr>
        <w:pStyle w:val="39"/>
        <w:ind w:firstLine="420" w:firstLineChars="200"/>
        <w:rPr>
          <w:color w:val="000000" w:themeColor="text1"/>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5、</w:t>
      </w:r>
      <w:r>
        <w:rPr>
          <w:rFonts w:hint="eastAsia"/>
          <w:color w:val="000000" w:themeColor="text1"/>
          <w14:textFill>
            <w14:solidFill>
              <w14:schemeClr w14:val="tx1"/>
            </w14:solidFill>
          </w14:textFill>
        </w:rPr>
        <w:t>争议处理：</w:t>
      </w:r>
    </w:p>
    <w:p w14:paraId="3DAAB9CE">
      <w:pPr>
        <w:pStyle w:val="39"/>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政府采购投诉处理、监督检查中，对产品或组件是否在中国境内生产存在争议的，按照以下原则处理：①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②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14:paraId="7E04F870">
      <w:pPr>
        <w:pStyle w:val="39"/>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14:paraId="607982A5">
      <w:pPr>
        <w:pStyle w:val="39"/>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政府采购投诉处理、监督检查中，对特定产品的关键组件是否在中国境内生产存在争议的，按照《国务院办公厅关于在政府采购中实施本国产品标准及相关政策的通知》第五条第（一）项规定的原则处理；对特定产品的关键工序是否在中国境内完成存在争议的，相关供应商及制造商应当提供关键工序在中国境内完成的记录等材料予以证明。</w:t>
      </w:r>
    </w:p>
    <w:p w14:paraId="2DFEBFA3">
      <w:pPr>
        <w:pStyle w:val="39"/>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39815895">
      <w:pPr>
        <w:pStyle w:val="39"/>
        <w:ind w:firstLine="420" w:firstLineChars="200"/>
        <w:rPr>
          <w:color w:val="000000" w:themeColor="text1"/>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6</w:t>
      </w:r>
      <w:r>
        <w:rPr>
          <w:rFonts w:hint="eastAsia"/>
          <w:color w:val="000000" w:themeColor="text1"/>
          <w14:textFill>
            <w14:solidFill>
              <w14:schemeClr w14:val="tx1"/>
            </w14:solidFill>
          </w14:textFill>
        </w:rPr>
        <w:t>、评审委员会在评审中发现《关于符合本国产品标准的声明函》内容含义不明确、同类事项与投标（响应）文件表述不一致或者有明显文字错误等情况的，应当以书面形式要求供应商作出必要的澄清、说明或者补正。经澄清、说明或者补正的《声明函》仍然不符合《国务院办公厅关于在政府采购中实施本国产品标准及相关政策的通知》规定要求的，供应商提供的相关产品视为不符合本国产品标准，不享受价格扣除，但不作投标无效处理。</w:t>
      </w:r>
    </w:p>
    <w:p w14:paraId="3A89D6A7">
      <w:pPr>
        <w:pStyle w:val="39"/>
      </w:pPr>
    </w:p>
    <w:p w14:paraId="0ED027BA">
      <w:pPr>
        <w:pStyle w:val="39"/>
      </w:pPr>
    </w:p>
    <w:p w14:paraId="4E2A397D">
      <w:pPr>
        <w:pStyle w:val="39"/>
        <w:jc w:val="center"/>
        <w:rPr>
          <w:rFonts w:ascii="Times New Roman" w:hAnsi="Times New Roman"/>
          <w:b/>
          <w:sz w:val="24"/>
          <w:szCs w:val="24"/>
        </w:rPr>
      </w:pPr>
      <w:r>
        <w:rPr>
          <w:rFonts w:hint="eastAsia" w:ascii="Times New Roman" w:hAnsi="Times New Roman"/>
          <w:b/>
          <w:sz w:val="24"/>
          <w:szCs w:val="24"/>
        </w:rPr>
        <w:t>关于符合本国产品标准的声明函</w:t>
      </w:r>
    </w:p>
    <w:p w14:paraId="18476BA7">
      <w:pPr>
        <w:pStyle w:val="39"/>
      </w:pPr>
    </w:p>
    <w:p w14:paraId="5990DE21">
      <w:pPr>
        <w:pStyle w:val="17"/>
        <w:widowControl/>
        <w:shd w:val="clear" w:color="auto" w:fill="FFFFFF"/>
        <w:ind w:firstLine="420" w:firstLineChars="200"/>
        <w:rPr>
          <w:rFonts w:hint="eastAsia" w:ascii="宋体" w:hAnsi="宋体" w:cs="宋体"/>
          <w:color w:val="000000"/>
          <w:sz w:val="21"/>
          <w:szCs w:val="21"/>
          <w:shd w:val="clear" w:color="auto" w:fill="FFFFFF"/>
        </w:rPr>
      </w:pPr>
      <w:r>
        <w:rPr>
          <w:rFonts w:hint="eastAsia" w:ascii="宋体" w:hAnsi="宋体" w:cs="宋体"/>
          <w:color w:val="000000"/>
          <w:sz w:val="21"/>
          <w:szCs w:val="21"/>
          <w:shd w:val="clear" w:color="auto" w:fill="FFFFFF"/>
        </w:rPr>
        <w:t>本公司（单位）郑重声明，根据《国务院办公厅关于在政府采购中实施本国产品标准及相关政策的通知》（国办发〔</w:t>
      </w:r>
      <w:r>
        <w:rPr>
          <w:rFonts w:ascii="Calibri" w:hAnsi="Calibri" w:cs="Calibri"/>
          <w:color w:val="000000"/>
          <w:sz w:val="21"/>
          <w:szCs w:val="21"/>
          <w:shd w:val="clear" w:color="auto" w:fill="FFFFFF"/>
        </w:rPr>
        <w:t>2025</w:t>
      </w:r>
      <w:r>
        <w:rPr>
          <w:rFonts w:hint="eastAsia" w:ascii="宋体" w:hAnsi="宋体" w:cs="宋体"/>
          <w:color w:val="000000"/>
          <w:sz w:val="21"/>
          <w:szCs w:val="21"/>
          <w:shd w:val="clear" w:color="auto" w:fill="FFFFFF"/>
        </w:rPr>
        <w:t>〕</w:t>
      </w:r>
      <w:r>
        <w:rPr>
          <w:rFonts w:ascii="Calibri" w:hAnsi="Calibri" w:cs="Calibri"/>
          <w:color w:val="000000"/>
          <w:sz w:val="21"/>
          <w:szCs w:val="21"/>
          <w:shd w:val="clear" w:color="auto" w:fill="FFFFFF"/>
        </w:rPr>
        <w:t>34</w:t>
      </w:r>
      <w:r>
        <w:rPr>
          <w:rFonts w:hint="eastAsia" w:ascii="宋体" w:hAnsi="宋体" w:cs="宋体"/>
          <w:color w:val="000000"/>
          <w:sz w:val="21"/>
          <w:szCs w:val="21"/>
          <w:shd w:val="clear" w:color="auto" w:fill="FFFFFF"/>
        </w:rPr>
        <w:t>号）的规定，本公司（单位）提供的以下产品属于本国产品。具体情况如下：</w:t>
      </w:r>
    </w:p>
    <w:p w14:paraId="13C5CAC6">
      <w:pPr>
        <w:pStyle w:val="17"/>
        <w:widowControl/>
        <w:shd w:val="clear" w:color="auto" w:fill="FFFFFF"/>
        <w:ind w:firstLine="420" w:firstLineChars="200"/>
        <w:rPr>
          <w:rFonts w:hint="eastAsia" w:ascii="宋体" w:hAnsi="宋体" w:cs="宋体"/>
          <w:color w:val="000000"/>
          <w:sz w:val="21"/>
          <w:szCs w:val="21"/>
        </w:rPr>
      </w:pPr>
      <w:r>
        <w:rPr>
          <w:rFonts w:ascii="Calibri" w:hAnsi="Calibri" w:cs="Calibri"/>
          <w:color w:val="000000"/>
          <w:sz w:val="21"/>
          <w:szCs w:val="21"/>
          <w:shd w:val="clear" w:color="auto" w:fill="FFFFFF"/>
        </w:rPr>
        <w:t>1.</w:t>
      </w:r>
      <w:r>
        <w:rPr>
          <w:rFonts w:hint="eastAsia" w:ascii="宋体" w:hAnsi="宋体"/>
          <w:b/>
          <w:bCs/>
          <w:i/>
          <w:iCs/>
          <w:kern w:val="2"/>
          <w:sz w:val="21"/>
          <w:szCs w:val="21"/>
          <w:u w:val="single"/>
        </w:rPr>
        <w:t>（产品名称</w:t>
      </w:r>
      <w:r>
        <w:rPr>
          <w:rFonts w:ascii="宋体" w:hAnsi="宋体"/>
          <w:b/>
          <w:bCs/>
          <w:i/>
          <w:iCs/>
          <w:kern w:val="2"/>
          <w:sz w:val="21"/>
          <w:szCs w:val="21"/>
          <w:u w:val="single"/>
        </w:rPr>
        <w:t>1</w:t>
      </w:r>
      <w:r>
        <w:rPr>
          <w:rFonts w:hint="eastAsia" w:ascii="宋体" w:hAnsi="宋体"/>
          <w:b/>
          <w:bCs/>
          <w:i/>
          <w:iCs/>
          <w:kern w:val="2"/>
          <w:sz w:val="21"/>
          <w:szCs w:val="21"/>
          <w:u w:val="single"/>
        </w:rPr>
        <w:t>）</w:t>
      </w:r>
      <w:r>
        <w:rPr>
          <w:rFonts w:ascii="Calibri" w:hAnsi="Calibri" w:cs="Calibri"/>
          <w:color w:val="FF0000"/>
          <w:sz w:val="21"/>
          <w:szCs w:val="21"/>
          <w:shd w:val="clear" w:color="auto" w:fill="FFFFFF"/>
        </w:rPr>
        <w:t>1</w:t>
      </w:r>
      <w:r>
        <w:rPr>
          <w:rFonts w:hint="eastAsia" w:ascii="宋体" w:hAnsi="宋体" w:cs="宋体"/>
          <w:color w:val="000000"/>
          <w:sz w:val="21"/>
          <w:szCs w:val="21"/>
          <w:shd w:val="clear" w:color="auto" w:fill="FFFFFF"/>
        </w:rPr>
        <w:t>，生产厂为</w:t>
      </w:r>
      <w:r>
        <w:rPr>
          <w:rFonts w:hint="eastAsia" w:ascii="宋体" w:hAnsi="宋体"/>
          <w:b/>
          <w:bCs/>
          <w:i/>
          <w:iCs/>
          <w:kern w:val="2"/>
          <w:sz w:val="21"/>
          <w:szCs w:val="21"/>
          <w:u w:val="single"/>
        </w:rPr>
        <w:t>（厂名）</w:t>
      </w:r>
      <w:r>
        <w:rPr>
          <w:rFonts w:ascii="Calibri" w:hAnsi="Calibri" w:cs="Calibri"/>
          <w:color w:val="FF0000"/>
          <w:sz w:val="21"/>
          <w:szCs w:val="21"/>
          <w:shd w:val="clear" w:color="auto" w:fill="FFFFFF"/>
        </w:rPr>
        <w:t>2</w:t>
      </w:r>
      <w:r>
        <w:rPr>
          <w:rFonts w:hint="eastAsia" w:ascii="宋体" w:hAnsi="宋体" w:cs="宋体"/>
          <w:color w:val="000000"/>
          <w:sz w:val="21"/>
          <w:szCs w:val="21"/>
          <w:shd w:val="clear" w:color="auto" w:fill="FFFFFF"/>
        </w:rPr>
        <w:t>，厂址为</w:t>
      </w:r>
      <w:r>
        <w:rPr>
          <w:rFonts w:hint="eastAsia" w:ascii="宋体" w:hAnsi="宋体"/>
          <w:b/>
          <w:bCs/>
          <w:i/>
          <w:iCs/>
          <w:kern w:val="2"/>
          <w:sz w:val="21"/>
          <w:szCs w:val="21"/>
          <w:u w:val="single"/>
        </w:rPr>
        <w:t>（生产厂址）</w:t>
      </w:r>
      <w:r>
        <w:rPr>
          <w:rFonts w:hint="eastAsia" w:ascii="Calibri" w:hAnsi="Calibri" w:cs="Calibri"/>
          <w:color w:val="000000"/>
          <w:sz w:val="21"/>
          <w:szCs w:val="21"/>
          <w:shd w:val="clear" w:color="auto" w:fill="FFFFFF"/>
        </w:rPr>
        <w:t>。</w:t>
      </w:r>
      <w:r>
        <w:rPr>
          <w:rFonts w:hint="eastAsia" w:ascii="宋体" w:hAnsi="宋体"/>
          <w:b/>
          <w:bCs/>
          <w:i/>
          <w:iCs/>
          <w:kern w:val="2"/>
          <w:sz w:val="21"/>
          <w:szCs w:val="21"/>
          <w:u w:val="single"/>
        </w:rPr>
        <w:t>（产品名称</w:t>
      </w:r>
      <w:r>
        <w:rPr>
          <w:rFonts w:ascii="宋体" w:hAnsi="宋体"/>
          <w:b/>
          <w:bCs/>
          <w:i/>
          <w:iCs/>
          <w:kern w:val="2"/>
          <w:sz w:val="21"/>
          <w:szCs w:val="21"/>
          <w:u w:val="single"/>
        </w:rPr>
        <w:t>1</w:t>
      </w:r>
      <w:r>
        <w:rPr>
          <w:rFonts w:hint="eastAsia" w:ascii="宋体" w:hAnsi="宋体"/>
          <w:b/>
          <w:bCs/>
          <w:i/>
          <w:iCs/>
          <w:kern w:val="2"/>
          <w:sz w:val="21"/>
          <w:szCs w:val="21"/>
          <w:u w:val="single"/>
        </w:rPr>
        <w:t>）</w:t>
      </w:r>
      <w:r>
        <w:rPr>
          <w:rFonts w:hint="eastAsia" w:ascii="宋体" w:hAnsi="宋体" w:cs="宋体"/>
          <w:color w:val="000000"/>
          <w:sz w:val="21"/>
          <w:szCs w:val="21"/>
          <w:shd w:val="clear" w:color="auto" w:fill="FFFFFF"/>
        </w:rPr>
        <w:t>的中国境内生产的组件成本占比≥</w:t>
      </w:r>
      <w:r>
        <w:rPr>
          <w:rFonts w:hint="eastAsia" w:ascii="宋体" w:hAnsi="宋体"/>
          <w:b/>
          <w:bCs/>
          <w:i/>
          <w:iCs/>
          <w:kern w:val="2"/>
          <w:sz w:val="21"/>
          <w:szCs w:val="21"/>
          <w:u w:val="single"/>
        </w:rPr>
        <w:t>（规定比例）</w:t>
      </w:r>
      <w:r>
        <w:rPr>
          <w:rFonts w:ascii="Calibri" w:hAnsi="Calibri" w:cs="Calibri"/>
          <w:color w:val="FF0000"/>
          <w:sz w:val="21"/>
          <w:szCs w:val="21"/>
          <w:shd w:val="clear" w:color="auto" w:fill="FFFFFF"/>
        </w:rPr>
        <w:t>3</w:t>
      </w:r>
      <w:r>
        <w:rPr>
          <w:rFonts w:hint="eastAsia" w:ascii="宋体" w:hAnsi="宋体" w:cs="宋体"/>
          <w:color w:val="000000"/>
          <w:sz w:val="21"/>
          <w:szCs w:val="21"/>
          <w:shd w:val="clear" w:color="auto" w:fill="FFFFFF"/>
        </w:rPr>
        <w:t>。</w:t>
      </w:r>
      <w:r>
        <w:rPr>
          <w:rFonts w:hint="eastAsia" w:ascii="宋体" w:hAnsi="宋体"/>
          <w:b/>
          <w:bCs/>
          <w:i/>
          <w:iCs/>
          <w:kern w:val="2"/>
          <w:sz w:val="21"/>
          <w:szCs w:val="21"/>
          <w:u w:val="single"/>
        </w:rPr>
        <w:t>（产品名称</w:t>
      </w:r>
      <w:r>
        <w:rPr>
          <w:rFonts w:ascii="宋体" w:hAnsi="宋体"/>
          <w:b/>
          <w:bCs/>
          <w:i/>
          <w:iCs/>
          <w:kern w:val="2"/>
          <w:sz w:val="21"/>
          <w:szCs w:val="21"/>
          <w:u w:val="single"/>
        </w:rPr>
        <w:t>1</w:t>
      </w:r>
      <w:r>
        <w:rPr>
          <w:rFonts w:hint="eastAsia" w:ascii="宋体" w:hAnsi="宋体"/>
          <w:b/>
          <w:bCs/>
          <w:i/>
          <w:iCs/>
          <w:kern w:val="2"/>
          <w:sz w:val="21"/>
          <w:szCs w:val="21"/>
          <w:u w:val="single"/>
        </w:rPr>
        <w:t>）</w:t>
      </w:r>
      <w:r>
        <w:rPr>
          <w:rFonts w:hint="eastAsia" w:ascii="宋体" w:hAnsi="宋体" w:cs="宋体"/>
          <w:color w:val="000000"/>
          <w:sz w:val="21"/>
          <w:szCs w:val="21"/>
          <w:shd w:val="clear" w:color="auto" w:fill="FFFFFF"/>
        </w:rPr>
        <w:t>的</w:t>
      </w:r>
      <w:r>
        <w:rPr>
          <w:rFonts w:hint="eastAsia" w:ascii="宋体" w:hAnsi="宋体"/>
          <w:b/>
          <w:bCs/>
          <w:i/>
          <w:iCs/>
          <w:kern w:val="2"/>
          <w:sz w:val="21"/>
          <w:szCs w:val="21"/>
          <w:u w:val="single"/>
        </w:rPr>
        <w:t>（关键组件）</w:t>
      </w:r>
      <w:r>
        <w:rPr>
          <w:rFonts w:ascii="Calibri" w:hAnsi="Calibri" w:cs="Calibri"/>
          <w:color w:val="FF0000"/>
          <w:sz w:val="21"/>
          <w:szCs w:val="21"/>
          <w:shd w:val="clear" w:color="auto" w:fill="FFFFFF"/>
        </w:rPr>
        <w:t>4</w:t>
      </w:r>
      <w:r>
        <w:rPr>
          <w:rFonts w:hint="eastAsia" w:ascii="宋体" w:hAnsi="宋体" w:cs="宋体"/>
          <w:color w:val="000000"/>
          <w:sz w:val="21"/>
          <w:szCs w:val="21"/>
          <w:shd w:val="clear" w:color="auto" w:fill="FFFFFF"/>
        </w:rPr>
        <w:t>在中国境内生产。</w:t>
      </w:r>
      <w:r>
        <w:rPr>
          <w:rFonts w:hint="eastAsia" w:ascii="宋体" w:hAnsi="宋体"/>
          <w:b/>
          <w:bCs/>
          <w:i/>
          <w:iCs/>
          <w:kern w:val="2"/>
          <w:sz w:val="21"/>
          <w:szCs w:val="21"/>
          <w:u w:val="single"/>
        </w:rPr>
        <w:t>（产品名称</w:t>
      </w:r>
      <w:r>
        <w:rPr>
          <w:rFonts w:ascii="宋体" w:hAnsi="宋体"/>
          <w:b/>
          <w:bCs/>
          <w:i/>
          <w:iCs/>
          <w:kern w:val="2"/>
          <w:sz w:val="21"/>
          <w:szCs w:val="21"/>
          <w:u w:val="single"/>
        </w:rPr>
        <w:t>1</w:t>
      </w:r>
      <w:r>
        <w:rPr>
          <w:rFonts w:hint="eastAsia" w:ascii="宋体" w:hAnsi="宋体"/>
          <w:b/>
          <w:bCs/>
          <w:i/>
          <w:iCs/>
          <w:kern w:val="2"/>
          <w:sz w:val="21"/>
          <w:szCs w:val="21"/>
          <w:u w:val="single"/>
        </w:rPr>
        <w:t>）</w:t>
      </w:r>
      <w:r>
        <w:rPr>
          <w:rFonts w:hint="eastAsia" w:ascii="宋体" w:hAnsi="宋体" w:cs="宋体"/>
          <w:color w:val="000000"/>
          <w:sz w:val="21"/>
          <w:szCs w:val="21"/>
          <w:shd w:val="clear" w:color="auto" w:fill="FFFFFF"/>
        </w:rPr>
        <w:t>的</w:t>
      </w:r>
      <w:r>
        <w:rPr>
          <w:rFonts w:hint="eastAsia" w:ascii="宋体" w:hAnsi="宋体"/>
          <w:b/>
          <w:bCs/>
          <w:i/>
          <w:iCs/>
          <w:kern w:val="2"/>
          <w:sz w:val="21"/>
          <w:szCs w:val="21"/>
          <w:u w:val="single"/>
        </w:rPr>
        <w:t>（关键工序）</w:t>
      </w:r>
      <w:r>
        <w:rPr>
          <w:rFonts w:ascii="Calibri" w:hAnsi="Calibri" w:cs="Calibri"/>
          <w:color w:val="FF0000"/>
          <w:sz w:val="21"/>
          <w:szCs w:val="21"/>
          <w:shd w:val="clear" w:color="auto" w:fill="FFFFFF"/>
        </w:rPr>
        <w:t>5</w:t>
      </w:r>
      <w:r>
        <w:rPr>
          <w:rFonts w:hint="eastAsia" w:ascii="宋体" w:hAnsi="宋体" w:cs="宋体"/>
          <w:color w:val="000000"/>
          <w:sz w:val="21"/>
          <w:szCs w:val="21"/>
          <w:shd w:val="clear" w:color="auto" w:fill="FFFFFF"/>
        </w:rPr>
        <w:t>在中国境内完成。</w:t>
      </w:r>
    </w:p>
    <w:p w14:paraId="755CC2CD">
      <w:pPr>
        <w:pStyle w:val="17"/>
        <w:widowControl/>
        <w:shd w:val="clear" w:color="auto" w:fill="FFFFFF"/>
        <w:ind w:firstLine="420" w:firstLineChars="200"/>
        <w:rPr>
          <w:rFonts w:hint="eastAsia" w:ascii="宋体" w:hAnsi="宋体" w:cs="宋体"/>
          <w:color w:val="000000"/>
          <w:sz w:val="21"/>
          <w:szCs w:val="21"/>
        </w:rPr>
      </w:pPr>
      <w:r>
        <w:rPr>
          <w:rFonts w:hint="eastAsia" w:ascii="Calibri" w:hAnsi="Calibri" w:cs="Calibri"/>
          <w:color w:val="000000"/>
          <w:sz w:val="21"/>
          <w:szCs w:val="21"/>
          <w:shd w:val="clear" w:color="auto" w:fill="FFFFFF"/>
        </w:rPr>
        <w:t>2</w:t>
      </w:r>
      <w:r>
        <w:rPr>
          <w:rFonts w:ascii="Calibri" w:hAnsi="Calibri" w:cs="Calibri"/>
          <w:color w:val="000000"/>
          <w:sz w:val="21"/>
          <w:szCs w:val="21"/>
          <w:shd w:val="clear" w:color="auto" w:fill="FFFFFF"/>
        </w:rPr>
        <w:t>.</w:t>
      </w:r>
      <w:r>
        <w:rPr>
          <w:rFonts w:hint="eastAsia" w:ascii="宋体" w:hAnsi="宋体"/>
          <w:b/>
          <w:bCs/>
          <w:i/>
          <w:iCs/>
          <w:kern w:val="2"/>
          <w:sz w:val="21"/>
          <w:szCs w:val="21"/>
          <w:u w:val="single"/>
        </w:rPr>
        <w:t>（产品名称2）</w:t>
      </w:r>
      <w:r>
        <w:rPr>
          <w:rFonts w:hint="eastAsia" w:ascii="宋体" w:hAnsi="宋体" w:cs="宋体"/>
          <w:color w:val="000000"/>
          <w:sz w:val="21"/>
          <w:szCs w:val="21"/>
          <w:shd w:val="clear" w:color="auto" w:fill="FFFFFF"/>
        </w:rPr>
        <w:t>，生产厂为</w:t>
      </w:r>
      <w:r>
        <w:rPr>
          <w:rFonts w:hint="eastAsia" w:ascii="宋体" w:hAnsi="宋体"/>
          <w:b/>
          <w:bCs/>
          <w:i/>
          <w:iCs/>
          <w:kern w:val="2"/>
          <w:sz w:val="21"/>
          <w:szCs w:val="21"/>
          <w:u w:val="single"/>
        </w:rPr>
        <w:t>（厂名）</w:t>
      </w:r>
      <w:r>
        <w:rPr>
          <w:rFonts w:hint="eastAsia" w:ascii="宋体" w:hAnsi="宋体" w:cs="宋体"/>
          <w:color w:val="000000"/>
          <w:sz w:val="21"/>
          <w:szCs w:val="21"/>
          <w:shd w:val="clear" w:color="auto" w:fill="FFFFFF"/>
        </w:rPr>
        <w:t>，厂址为</w:t>
      </w:r>
      <w:r>
        <w:rPr>
          <w:rFonts w:hint="eastAsia" w:ascii="宋体" w:hAnsi="宋体"/>
          <w:b/>
          <w:bCs/>
          <w:i/>
          <w:iCs/>
          <w:kern w:val="2"/>
          <w:sz w:val="21"/>
          <w:szCs w:val="21"/>
          <w:u w:val="single"/>
        </w:rPr>
        <w:t>（生产厂址）</w:t>
      </w:r>
      <w:r>
        <w:rPr>
          <w:rFonts w:hint="eastAsia" w:ascii="宋体" w:hAnsi="宋体" w:cs="宋体"/>
          <w:color w:val="000000"/>
          <w:sz w:val="21"/>
          <w:szCs w:val="21"/>
          <w:shd w:val="clear" w:color="auto" w:fill="FFFFFF"/>
        </w:rPr>
        <w:t>。</w:t>
      </w:r>
      <w:r>
        <w:rPr>
          <w:rFonts w:hint="eastAsia" w:ascii="宋体" w:hAnsi="宋体"/>
          <w:b/>
          <w:bCs/>
          <w:i/>
          <w:iCs/>
          <w:kern w:val="2"/>
          <w:sz w:val="21"/>
          <w:szCs w:val="21"/>
          <w:u w:val="single"/>
        </w:rPr>
        <w:t>（产品名称2）</w:t>
      </w:r>
      <w:r>
        <w:rPr>
          <w:rFonts w:hint="eastAsia" w:ascii="宋体" w:hAnsi="宋体" w:cs="宋体"/>
          <w:color w:val="000000"/>
          <w:sz w:val="21"/>
          <w:szCs w:val="21"/>
          <w:shd w:val="clear" w:color="auto" w:fill="FFFFFF"/>
        </w:rPr>
        <w:t>的中国境内生产的组件成本占比≥</w:t>
      </w:r>
      <w:r>
        <w:rPr>
          <w:rFonts w:hint="eastAsia" w:ascii="宋体" w:hAnsi="宋体"/>
          <w:b/>
          <w:bCs/>
          <w:i/>
          <w:iCs/>
          <w:kern w:val="2"/>
          <w:sz w:val="21"/>
          <w:szCs w:val="21"/>
          <w:u w:val="single"/>
        </w:rPr>
        <w:t>（规定比例）</w:t>
      </w:r>
      <w:r>
        <w:rPr>
          <w:rFonts w:hint="eastAsia" w:ascii="宋体" w:hAnsi="宋体" w:cs="宋体"/>
          <w:color w:val="000000"/>
          <w:sz w:val="21"/>
          <w:szCs w:val="21"/>
          <w:shd w:val="clear" w:color="auto" w:fill="FFFFFF"/>
        </w:rPr>
        <w:t>。</w:t>
      </w:r>
      <w:r>
        <w:rPr>
          <w:rFonts w:hint="eastAsia" w:ascii="宋体" w:hAnsi="宋体"/>
          <w:b/>
          <w:bCs/>
          <w:i/>
          <w:iCs/>
          <w:kern w:val="2"/>
          <w:sz w:val="21"/>
          <w:szCs w:val="21"/>
          <w:u w:val="single"/>
        </w:rPr>
        <w:t>（产品名称2）</w:t>
      </w:r>
      <w:r>
        <w:rPr>
          <w:rFonts w:hint="eastAsia" w:ascii="宋体" w:hAnsi="宋体" w:cs="宋体"/>
          <w:color w:val="000000"/>
          <w:sz w:val="21"/>
          <w:szCs w:val="21"/>
          <w:shd w:val="clear" w:color="auto" w:fill="FFFFFF"/>
        </w:rPr>
        <w:t>的</w:t>
      </w:r>
      <w:r>
        <w:rPr>
          <w:rFonts w:hint="eastAsia" w:ascii="宋体" w:hAnsi="宋体"/>
          <w:b/>
          <w:bCs/>
          <w:i/>
          <w:iCs/>
          <w:kern w:val="2"/>
          <w:sz w:val="21"/>
          <w:szCs w:val="21"/>
          <w:u w:val="single"/>
        </w:rPr>
        <w:t>（关键组件）</w:t>
      </w:r>
      <w:r>
        <w:rPr>
          <w:rFonts w:hint="eastAsia" w:ascii="宋体" w:hAnsi="宋体" w:cs="宋体"/>
          <w:color w:val="000000"/>
          <w:sz w:val="21"/>
          <w:szCs w:val="21"/>
          <w:shd w:val="clear" w:color="auto" w:fill="FFFFFF"/>
        </w:rPr>
        <w:t>在中国境内生产。</w:t>
      </w:r>
      <w:r>
        <w:rPr>
          <w:rFonts w:hint="eastAsia" w:ascii="宋体" w:hAnsi="宋体"/>
          <w:b/>
          <w:bCs/>
          <w:i/>
          <w:iCs/>
          <w:kern w:val="2"/>
          <w:sz w:val="21"/>
          <w:szCs w:val="21"/>
          <w:u w:val="single"/>
        </w:rPr>
        <w:t>（产品名称2）</w:t>
      </w:r>
      <w:r>
        <w:rPr>
          <w:rFonts w:hint="eastAsia" w:ascii="宋体" w:hAnsi="宋体" w:cs="宋体"/>
          <w:color w:val="000000"/>
          <w:sz w:val="21"/>
          <w:szCs w:val="21"/>
          <w:shd w:val="clear" w:color="auto" w:fill="FFFFFF"/>
        </w:rPr>
        <w:t>的</w:t>
      </w:r>
      <w:r>
        <w:rPr>
          <w:rFonts w:hint="eastAsia" w:ascii="宋体" w:hAnsi="宋体"/>
          <w:b/>
          <w:bCs/>
          <w:i/>
          <w:iCs/>
          <w:kern w:val="2"/>
          <w:sz w:val="21"/>
          <w:szCs w:val="21"/>
          <w:u w:val="single"/>
        </w:rPr>
        <w:t>（关键工序）</w:t>
      </w:r>
      <w:r>
        <w:rPr>
          <w:rFonts w:hint="eastAsia" w:ascii="宋体" w:hAnsi="宋体" w:cs="宋体"/>
          <w:color w:val="000000"/>
          <w:sz w:val="21"/>
          <w:szCs w:val="21"/>
          <w:shd w:val="clear" w:color="auto" w:fill="FFFFFF"/>
        </w:rPr>
        <w:t>在中国境内完成。</w:t>
      </w:r>
    </w:p>
    <w:p w14:paraId="03857D87">
      <w:pPr>
        <w:pStyle w:val="17"/>
        <w:widowControl/>
        <w:shd w:val="clear" w:color="auto" w:fill="FFFFFF"/>
        <w:ind w:firstLine="420" w:firstLineChars="200"/>
        <w:rPr>
          <w:rFonts w:hint="eastAsia" w:ascii="宋体" w:hAnsi="宋体" w:cs="宋体"/>
          <w:color w:val="000000"/>
          <w:sz w:val="21"/>
          <w:szCs w:val="21"/>
          <w:shd w:val="clear" w:color="auto" w:fill="FFFFFF"/>
        </w:rPr>
      </w:pPr>
      <w:r>
        <w:rPr>
          <w:rFonts w:hint="eastAsia" w:ascii="宋体" w:hAnsi="宋体" w:cs="宋体"/>
          <w:color w:val="000000"/>
          <w:sz w:val="21"/>
          <w:szCs w:val="21"/>
          <w:shd w:val="clear" w:color="auto" w:fill="FFFFFF"/>
        </w:rPr>
        <w:t>……</w:t>
      </w:r>
    </w:p>
    <w:p w14:paraId="18983EBE">
      <w:pPr>
        <w:pStyle w:val="17"/>
        <w:widowControl/>
        <w:shd w:val="clear" w:color="auto" w:fill="FFFFFF"/>
        <w:ind w:firstLine="422" w:firstLineChars="200"/>
        <w:rPr>
          <w:rFonts w:hint="eastAsia" w:ascii="宋体" w:hAnsi="宋体" w:cs="宋体"/>
          <w:color w:val="000000" w:themeColor="text1"/>
          <w:sz w:val="21"/>
          <w:szCs w:val="21"/>
          <w:shd w:val="clear" w:color="auto" w:fill="FFFFFF"/>
          <w14:textFill>
            <w14:solidFill>
              <w14:schemeClr w14:val="tx1"/>
            </w14:solidFill>
          </w14:textFill>
        </w:rPr>
      </w:pPr>
      <w:r>
        <w:rPr>
          <w:rFonts w:hint="eastAsia" w:ascii="宋体" w:hAnsi="宋体" w:cs="宋体"/>
          <w:b/>
          <w:bCs/>
          <w:color w:val="000000" w:themeColor="text1"/>
          <w:sz w:val="21"/>
          <w:szCs w:val="21"/>
          <w:shd w:val="clear" w:color="auto" w:fill="FFFFFF"/>
          <w14:textFill>
            <w14:solidFill>
              <w14:schemeClr w14:val="tx1"/>
            </w14:solidFill>
          </w14:textFill>
        </w:rPr>
        <w:t>本公司（单位）提供上述符合本国产品标准的产品成本之和占本公司（单位）提供的全部产品成本之和的比例达到</w:t>
      </w:r>
      <w:r>
        <w:rPr>
          <w:rFonts w:hint="eastAsia" w:ascii="宋体" w:hAnsi="宋体"/>
          <w:b/>
          <w:bCs/>
          <w:i/>
          <w:iCs/>
          <w:color w:val="000000" w:themeColor="text1"/>
          <w:kern w:val="2"/>
          <w:sz w:val="21"/>
          <w:szCs w:val="21"/>
          <w:u w:val="single"/>
          <w14:textFill>
            <w14:solidFill>
              <w14:schemeClr w14:val="tx1"/>
            </w14:solidFill>
          </w14:textFill>
        </w:rPr>
        <w:t>（具体比例）</w:t>
      </w:r>
      <w:r>
        <w:rPr>
          <w:rFonts w:hint="eastAsia" w:ascii="宋体" w:hAnsi="宋体" w:cs="宋体"/>
          <w:b/>
          <w:bCs/>
          <w:color w:val="FF0000"/>
          <w:sz w:val="21"/>
          <w:szCs w:val="21"/>
          <w:shd w:val="clear" w:color="auto" w:fill="FFFFFF"/>
        </w:rPr>
        <w:t>6</w:t>
      </w:r>
      <w:r>
        <w:rPr>
          <w:rFonts w:hint="eastAsia" w:ascii="宋体" w:hAnsi="宋体" w:cs="宋体"/>
          <w:b/>
          <w:bCs/>
          <w:color w:val="000000" w:themeColor="text1"/>
          <w:sz w:val="21"/>
          <w:szCs w:val="21"/>
          <w:shd w:val="clear" w:color="auto" w:fill="FFFFFF"/>
          <w14:textFill>
            <w14:solidFill>
              <w14:schemeClr w14:val="tx1"/>
            </w14:solidFill>
          </w14:textFill>
        </w:rPr>
        <w:t>。</w:t>
      </w:r>
    </w:p>
    <w:p w14:paraId="25DF9D5F">
      <w:pPr>
        <w:pStyle w:val="17"/>
        <w:widowControl/>
        <w:shd w:val="clear" w:color="auto" w:fill="FFFFFF"/>
        <w:ind w:firstLine="420" w:firstLineChars="200"/>
        <w:rPr>
          <w:rFonts w:hint="eastAsia" w:ascii="宋体" w:hAnsi="宋体" w:cs="宋体"/>
          <w:color w:val="000000"/>
          <w:sz w:val="21"/>
          <w:szCs w:val="21"/>
        </w:rPr>
      </w:pPr>
      <w:r>
        <w:rPr>
          <w:rFonts w:hint="eastAsia" w:ascii="宋体" w:hAnsi="宋体" w:cs="宋体"/>
          <w:color w:val="000000"/>
          <w:sz w:val="21"/>
          <w:szCs w:val="21"/>
          <w:shd w:val="clear" w:color="auto" w:fill="FFFFFF"/>
        </w:rPr>
        <w:t>本公司（单位）对上述声明内容的真实性负责。如有虚假，愿承担相应法律责任。</w:t>
      </w:r>
    </w:p>
    <w:p w14:paraId="72DB180C">
      <w:pPr>
        <w:pStyle w:val="17"/>
        <w:widowControl/>
        <w:shd w:val="clear" w:color="auto" w:fill="FFFFFF"/>
        <w:ind w:right="840" w:rightChars="400"/>
        <w:jc w:val="right"/>
        <w:rPr>
          <w:rFonts w:hint="eastAsia" w:ascii="宋体" w:hAnsi="宋体" w:cs="宋体"/>
          <w:color w:val="000000"/>
          <w:sz w:val="21"/>
          <w:szCs w:val="21"/>
        </w:rPr>
      </w:pPr>
      <w:r>
        <w:rPr>
          <w:rFonts w:hint="eastAsia" w:ascii="宋体" w:hAnsi="宋体" w:cs="宋体"/>
          <w:color w:val="000000"/>
          <w:sz w:val="21"/>
          <w:szCs w:val="21"/>
          <w:shd w:val="clear" w:color="auto" w:fill="FFFFFF"/>
        </w:rPr>
        <w:t>公司（单位）名称：</w:t>
      </w:r>
    </w:p>
    <w:p w14:paraId="1B9D3258">
      <w:pPr>
        <w:pStyle w:val="17"/>
        <w:widowControl/>
        <w:shd w:val="clear" w:color="auto" w:fill="FFFFFF"/>
        <w:ind w:right="840" w:rightChars="400"/>
        <w:jc w:val="right"/>
        <w:rPr>
          <w:rFonts w:hint="eastAsia" w:ascii="宋体" w:hAnsi="宋体" w:cs="宋体"/>
          <w:color w:val="000000"/>
          <w:sz w:val="21"/>
          <w:szCs w:val="21"/>
        </w:rPr>
      </w:pPr>
      <w:r>
        <w:rPr>
          <w:rFonts w:hint="eastAsia" w:ascii="宋体" w:hAnsi="宋体" w:cs="宋体"/>
          <w:color w:val="000000"/>
          <w:sz w:val="21"/>
          <w:szCs w:val="21"/>
          <w:shd w:val="clear" w:color="auto" w:fill="FFFFFF"/>
        </w:rPr>
        <w:t>日期：    年  月  日</w:t>
      </w:r>
    </w:p>
    <w:p w14:paraId="1BF9084E">
      <w:pPr>
        <w:pStyle w:val="6"/>
        <w:jc w:val="center"/>
        <w:rPr>
          <w:rFonts w:hint="eastAsia" w:ascii="黑体"/>
          <w:sz w:val="24"/>
          <w:szCs w:val="24"/>
        </w:rPr>
      </w:pPr>
    </w:p>
    <w:p w14:paraId="5855F159">
      <w:pPr>
        <w:pStyle w:val="6"/>
        <w:jc w:val="center"/>
        <w:rPr>
          <w:rFonts w:hint="eastAsia" w:ascii="黑体"/>
          <w:sz w:val="24"/>
          <w:szCs w:val="24"/>
        </w:rPr>
      </w:pPr>
      <w:r>
        <w:rPr>
          <w:rFonts w:hint="eastAsia" w:ascii="黑体"/>
          <w:sz w:val="24"/>
          <w:szCs w:val="24"/>
          <w:lang w:val="en-US" w:eastAsia="zh-CN"/>
        </w:rPr>
        <w:t>四</w:t>
      </w:r>
      <w:r>
        <w:rPr>
          <w:rFonts w:hint="eastAsia" w:ascii="黑体"/>
          <w:sz w:val="24"/>
          <w:szCs w:val="24"/>
        </w:rPr>
        <w:t>、认证情况（格式自定）</w:t>
      </w:r>
    </w:p>
    <w:p w14:paraId="6A07FB11">
      <w:pPr>
        <w:spacing w:before="60" w:beforeLines="25" w:after="60" w:afterLines="25"/>
        <w:rPr>
          <w:rFonts w:asciiTheme="minorEastAsia" w:hAnsiTheme="minorEastAsia" w:eastAsiaTheme="minorEastAsia" w:cstheme="minorEastAsia"/>
          <w:color w:val="FF0000"/>
          <w:sz w:val="24"/>
          <w:szCs w:val="20"/>
        </w:rPr>
      </w:pPr>
      <w:r>
        <w:rPr>
          <w:rFonts w:hint="eastAsia" w:asciiTheme="minorEastAsia" w:hAnsiTheme="minorEastAsia" w:eastAsiaTheme="minorEastAsia" w:cstheme="minorEastAsia"/>
          <w:color w:val="FF0000"/>
          <w:sz w:val="24"/>
          <w:szCs w:val="20"/>
        </w:rPr>
        <w:t>（特别提示：投标人须按本招标文件评标信息中这一评审因素要求，提供证明资料）</w:t>
      </w:r>
    </w:p>
    <w:p w14:paraId="050F333F">
      <w:pPr>
        <w:ind w:firstLine="723" w:firstLineChars="300"/>
        <w:rPr>
          <w:b/>
          <w:color w:val="FF0000"/>
          <w:sz w:val="24"/>
        </w:rPr>
      </w:pPr>
    </w:p>
    <w:p w14:paraId="46B2D5B6">
      <w:pPr>
        <w:ind w:firstLine="723" w:firstLineChars="300"/>
        <w:rPr>
          <w:b/>
          <w:color w:val="FF0000"/>
          <w:sz w:val="24"/>
        </w:rPr>
      </w:pPr>
    </w:p>
    <w:p w14:paraId="35C769BB">
      <w:pPr>
        <w:ind w:firstLine="723" w:firstLineChars="300"/>
        <w:rPr>
          <w:b/>
          <w:color w:val="FF0000"/>
          <w:sz w:val="24"/>
        </w:rPr>
      </w:pPr>
      <w:r>
        <w:rPr>
          <w:rFonts w:hint="eastAsia"/>
          <w:b/>
          <w:color w:val="FF0000"/>
          <w:sz w:val="24"/>
        </w:rPr>
        <w:t>（信息公开部分的内容到此为止！以下为信息不公开部分。）</w:t>
      </w:r>
    </w:p>
    <w:bookmarkEnd w:id="64"/>
    <w:p w14:paraId="2FEEB57B">
      <w:r>
        <w:br w:type="page"/>
      </w:r>
    </w:p>
    <w:p w14:paraId="0E952DEC">
      <w:pPr>
        <w:outlineLvl w:val="1"/>
        <w:rPr>
          <w:rFonts w:hint="eastAsia" w:ascii="宋体" w:hAnsi="宋体"/>
          <w:b/>
          <w:color w:val="FF0000"/>
          <w:sz w:val="28"/>
          <w:szCs w:val="28"/>
        </w:rPr>
      </w:pPr>
      <w:bookmarkStart w:id="65" w:name="_Hlk72260530"/>
      <w:r>
        <w:rPr>
          <w:rFonts w:hint="eastAsia" w:ascii="宋体" w:hAnsi="宋体"/>
          <w:b/>
          <w:color w:val="FF0000"/>
          <w:sz w:val="28"/>
          <w:szCs w:val="28"/>
        </w:rPr>
        <w:t>投标文件附件（信息不公开部分）</w:t>
      </w:r>
    </w:p>
    <w:p w14:paraId="2BE0C49E">
      <w:pPr>
        <w:snapToGrid w:val="0"/>
        <w:jc w:val="center"/>
        <w:outlineLvl w:val="0"/>
        <w:rPr>
          <w:rFonts w:hint="eastAsia" w:ascii="黑体" w:hAnsi="宋体" w:eastAsia="黑体"/>
          <w:bCs/>
          <w:sz w:val="24"/>
          <w:szCs w:val="32"/>
        </w:rPr>
      </w:pPr>
    </w:p>
    <w:p w14:paraId="5DFD9C9D">
      <w:pPr>
        <w:snapToGrid w:val="0"/>
        <w:jc w:val="center"/>
        <w:outlineLvl w:val="0"/>
        <w:rPr>
          <w:rFonts w:hint="eastAsia" w:ascii="黑体" w:hAnsi="宋体" w:eastAsia="黑体"/>
          <w:bCs/>
          <w:sz w:val="24"/>
          <w:szCs w:val="32"/>
        </w:rPr>
      </w:pPr>
      <w:r>
        <w:rPr>
          <w:rFonts w:hint="eastAsia" w:ascii="黑体" w:hAnsi="宋体" w:eastAsia="黑体"/>
          <w:bCs/>
          <w:sz w:val="24"/>
          <w:szCs w:val="32"/>
        </w:rPr>
        <w:t>一、供应商基本情况表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22E5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vAlign w:val="center"/>
          </w:tcPr>
          <w:p w14:paraId="540B2568">
            <w:pPr>
              <w:rPr>
                <w:rFonts w:hint="eastAsia" w:ascii="宋体" w:hAnsi="宋体" w:cs="宋体"/>
                <w:szCs w:val="21"/>
              </w:rPr>
            </w:pPr>
            <w:r>
              <w:rPr>
                <w:rFonts w:hint="eastAsia" w:ascii="宋体" w:hAnsi="宋体" w:cs="宋体"/>
                <w:szCs w:val="21"/>
              </w:rPr>
              <w:t>投标（响应）供应商</w:t>
            </w:r>
          </w:p>
        </w:tc>
        <w:tc>
          <w:tcPr>
            <w:tcW w:w="1427" w:type="pct"/>
            <w:gridSpan w:val="2"/>
            <w:vAlign w:val="center"/>
          </w:tcPr>
          <w:p w14:paraId="5416D074">
            <w:pPr>
              <w:jc w:val="center"/>
              <w:rPr>
                <w:rFonts w:hint="eastAsia" w:ascii="宋体" w:hAnsi="宋体" w:cs="宋体"/>
                <w:szCs w:val="21"/>
              </w:rPr>
            </w:pPr>
          </w:p>
        </w:tc>
        <w:tc>
          <w:tcPr>
            <w:tcW w:w="1113" w:type="pct"/>
            <w:gridSpan w:val="2"/>
            <w:vAlign w:val="center"/>
          </w:tcPr>
          <w:p w14:paraId="480D30A4">
            <w:pPr>
              <w:jc w:val="center"/>
              <w:rPr>
                <w:rFonts w:hint="eastAsia" w:ascii="宋体" w:hAnsi="宋体" w:cs="宋体"/>
                <w:szCs w:val="21"/>
              </w:rPr>
            </w:pPr>
            <w:r>
              <w:rPr>
                <w:rFonts w:hint="eastAsia" w:ascii="宋体" w:hAnsi="宋体" w:cs="宋体"/>
                <w:szCs w:val="21"/>
              </w:rPr>
              <w:t>项目名称及编号</w:t>
            </w:r>
          </w:p>
        </w:tc>
        <w:tc>
          <w:tcPr>
            <w:tcW w:w="1669" w:type="pct"/>
            <w:gridSpan w:val="2"/>
            <w:vAlign w:val="center"/>
          </w:tcPr>
          <w:p w14:paraId="24EFAA72">
            <w:pPr>
              <w:jc w:val="center"/>
              <w:rPr>
                <w:rFonts w:hint="eastAsia" w:ascii="宋体" w:hAnsi="宋体" w:cs="宋体"/>
                <w:szCs w:val="21"/>
              </w:rPr>
            </w:pPr>
          </w:p>
        </w:tc>
      </w:tr>
      <w:tr w14:paraId="4F08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14414990">
            <w:pPr>
              <w:jc w:val="center"/>
              <w:rPr>
                <w:rFonts w:hint="eastAsia" w:ascii="宋体" w:hAnsi="宋体" w:cs="宋体"/>
                <w:szCs w:val="21"/>
              </w:rPr>
            </w:pPr>
            <w:r>
              <w:rPr>
                <w:rFonts w:hint="eastAsia" w:ascii="宋体" w:hAnsi="宋体" w:cs="宋体"/>
                <w:b/>
                <w:bCs/>
                <w:szCs w:val="21"/>
              </w:rPr>
              <w:t>投标（响应）供应商相关人员情况</w:t>
            </w:r>
          </w:p>
        </w:tc>
      </w:tr>
      <w:tr w14:paraId="57FE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vAlign w:val="center"/>
          </w:tcPr>
          <w:p w14:paraId="392EA827">
            <w:pPr>
              <w:snapToGrid w:val="0"/>
              <w:jc w:val="center"/>
              <w:rPr>
                <w:rFonts w:hint="eastAsia" w:ascii="宋体" w:hAnsi="宋体" w:cs="宋体"/>
                <w:szCs w:val="21"/>
              </w:rPr>
            </w:pPr>
            <w:r>
              <w:rPr>
                <w:rFonts w:hint="eastAsia" w:ascii="宋体" w:hAnsi="宋体" w:cs="宋体"/>
                <w:szCs w:val="21"/>
              </w:rPr>
              <w:t>序号</w:t>
            </w:r>
          </w:p>
        </w:tc>
        <w:tc>
          <w:tcPr>
            <w:tcW w:w="1275" w:type="pct"/>
            <w:gridSpan w:val="2"/>
            <w:tcBorders>
              <w:bottom w:val="single" w:color="auto" w:sz="4" w:space="0"/>
            </w:tcBorders>
            <w:vAlign w:val="center"/>
          </w:tcPr>
          <w:p w14:paraId="60565476">
            <w:pPr>
              <w:jc w:val="center"/>
              <w:rPr>
                <w:rFonts w:hint="eastAsia" w:ascii="宋体" w:hAnsi="宋体" w:cs="宋体"/>
                <w:szCs w:val="21"/>
              </w:rPr>
            </w:pPr>
            <w:r>
              <w:rPr>
                <w:rFonts w:hint="eastAsia" w:ascii="宋体" w:hAnsi="宋体" w:cs="宋体"/>
                <w:szCs w:val="21"/>
              </w:rPr>
              <w:t>职务</w:t>
            </w:r>
          </w:p>
        </w:tc>
        <w:tc>
          <w:tcPr>
            <w:tcW w:w="529" w:type="pct"/>
            <w:tcBorders>
              <w:bottom w:val="single" w:color="auto" w:sz="4" w:space="0"/>
            </w:tcBorders>
            <w:vAlign w:val="center"/>
          </w:tcPr>
          <w:p w14:paraId="6F31991E">
            <w:pPr>
              <w:jc w:val="center"/>
              <w:rPr>
                <w:rFonts w:hint="eastAsia" w:ascii="宋体" w:hAnsi="宋体" w:cs="宋体"/>
                <w:szCs w:val="21"/>
              </w:rPr>
            </w:pPr>
            <w:r>
              <w:rPr>
                <w:rFonts w:hint="eastAsia" w:ascii="宋体" w:hAnsi="宋体" w:cs="宋体"/>
                <w:szCs w:val="21"/>
              </w:rPr>
              <w:t>姓名</w:t>
            </w:r>
          </w:p>
        </w:tc>
        <w:tc>
          <w:tcPr>
            <w:tcW w:w="1113" w:type="pct"/>
            <w:gridSpan w:val="2"/>
            <w:tcBorders>
              <w:bottom w:val="single" w:color="auto" w:sz="4" w:space="0"/>
            </w:tcBorders>
            <w:vAlign w:val="center"/>
          </w:tcPr>
          <w:p w14:paraId="19672578">
            <w:pPr>
              <w:jc w:val="center"/>
              <w:rPr>
                <w:rFonts w:hint="eastAsia" w:ascii="宋体" w:hAnsi="宋体" w:cs="宋体"/>
                <w:szCs w:val="21"/>
              </w:rPr>
            </w:pPr>
            <w:r>
              <w:rPr>
                <w:rFonts w:hint="eastAsia" w:ascii="宋体" w:hAnsi="宋体" w:cs="宋体"/>
                <w:szCs w:val="21"/>
              </w:rPr>
              <w:t>身份证号码</w:t>
            </w:r>
          </w:p>
        </w:tc>
        <w:tc>
          <w:tcPr>
            <w:tcW w:w="838" w:type="pct"/>
            <w:tcBorders>
              <w:bottom w:val="single" w:color="auto" w:sz="4" w:space="0"/>
            </w:tcBorders>
            <w:vAlign w:val="center"/>
          </w:tcPr>
          <w:p w14:paraId="7FA10189">
            <w:pPr>
              <w:snapToGrid w:val="0"/>
              <w:jc w:val="center"/>
              <w:rPr>
                <w:rFonts w:hint="eastAsia" w:ascii="宋体" w:hAnsi="宋体" w:cs="宋体"/>
                <w:szCs w:val="21"/>
              </w:rPr>
            </w:pPr>
            <w:r>
              <w:rPr>
                <w:rFonts w:hint="eastAsia" w:ascii="宋体" w:hAnsi="宋体" w:cs="宋体"/>
                <w:szCs w:val="21"/>
              </w:rPr>
              <w:t>劳动合同</w:t>
            </w:r>
          </w:p>
          <w:p w14:paraId="03D49123">
            <w:pPr>
              <w:snapToGrid w:val="0"/>
              <w:jc w:val="center"/>
              <w:rPr>
                <w:rFonts w:hint="eastAsia" w:ascii="宋体" w:hAnsi="宋体" w:cs="宋体"/>
                <w:szCs w:val="21"/>
              </w:rPr>
            </w:pPr>
            <w:r>
              <w:rPr>
                <w:rFonts w:hint="eastAsia" w:ascii="宋体" w:hAnsi="宋体" w:cs="宋体"/>
                <w:szCs w:val="21"/>
              </w:rPr>
              <w:t>关系单位</w:t>
            </w:r>
          </w:p>
        </w:tc>
        <w:tc>
          <w:tcPr>
            <w:tcW w:w="830" w:type="pct"/>
            <w:tcBorders>
              <w:bottom w:val="single" w:color="auto" w:sz="4" w:space="0"/>
            </w:tcBorders>
            <w:vAlign w:val="center"/>
          </w:tcPr>
          <w:p w14:paraId="74D4B637">
            <w:pPr>
              <w:snapToGrid w:val="0"/>
              <w:jc w:val="center"/>
              <w:rPr>
                <w:rFonts w:hint="eastAsia" w:ascii="宋体" w:hAnsi="宋体" w:cs="宋体"/>
                <w:szCs w:val="21"/>
              </w:rPr>
            </w:pPr>
            <w:r>
              <w:rPr>
                <w:rFonts w:hint="eastAsia" w:ascii="宋体" w:hAnsi="宋体" w:cs="宋体"/>
                <w:szCs w:val="21"/>
              </w:rPr>
              <w:t>缴纳社会</w:t>
            </w:r>
          </w:p>
          <w:p w14:paraId="12F8901D">
            <w:pPr>
              <w:snapToGrid w:val="0"/>
              <w:jc w:val="center"/>
              <w:rPr>
                <w:rFonts w:hint="eastAsia" w:ascii="宋体" w:hAnsi="宋体" w:cs="宋体"/>
                <w:szCs w:val="21"/>
              </w:rPr>
            </w:pPr>
            <w:r>
              <w:rPr>
                <w:rFonts w:hint="eastAsia" w:ascii="宋体" w:hAnsi="宋体" w:cs="宋体"/>
                <w:szCs w:val="21"/>
              </w:rPr>
              <w:t>保险单位</w:t>
            </w:r>
          </w:p>
        </w:tc>
      </w:tr>
      <w:tr w14:paraId="272C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14:paraId="6DEB99FA">
            <w:pPr>
              <w:jc w:val="center"/>
              <w:rPr>
                <w:rFonts w:hint="eastAsia" w:ascii="宋体" w:hAnsi="宋体" w:cs="宋体"/>
                <w:szCs w:val="21"/>
              </w:rPr>
            </w:pPr>
            <w:r>
              <w:rPr>
                <w:rFonts w:hint="eastAsia" w:ascii="宋体" w:hAnsi="宋体" w:cs="宋体"/>
                <w:szCs w:val="21"/>
              </w:rPr>
              <w:t>1</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13577207">
            <w:pPr>
              <w:spacing w:line="460" w:lineRule="exact"/>
              <w:jc w:val="center"/>
              <w:rPr>
                <w:rFonts w:hint="eastAsia" w:ascii="宋体" w:hAnsi="宋体" w:cs="宋体"/>
                <w:szCs w:val="21"/>
              </w:rPr>
            </w:pPr>
            <w:r>
              <w:rPr>
                <w:rFonts w:hint="eastAsia" w:ascii="宋体" w:hAnsi="宋体" w:cs="宋体"/>
                <w:szCs w:val="21"/>
              </w:rPr>
              <w:t>法定代表人/单位负责人/主要经营负责人</w:t>
            </w:r>
          </w:p>
        </w:tc>
        <w:tc>
          <w:tcPr>
            <w:tcW w:w="529" w:type="pct"/>
            <w:tcBorders>
              <w:top w:val="single" w:color="auto" w:sz="4" w:space="0"/>
              <w:left w:val="single" w:color="auto" w:sz="4" w:space="0"/>
              <w:bottom w:val="single" w:color="auto" w:sz="4" w:space="0"/>
              <w:right w:val="single" w:color="auto" w:sz="4" w:space="0"/>
            </w:tcBorders>
            <w:vAlign w:val="center"/>
          </w:tcPr>
          <w:p w14:paraId="1AC556A8">
            <w:pPr>
              <w:jc w:val="center"/>
              <w:rPr>
                <w:rFonts w:hint="eastAsia" w:ascii="宋体" w:hAnsi="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14:paraId="7EA85013">
            <w:pPr>
              <w:jc w:val="center"/>
              <w:rPr>
                <w:rFonts w:hint="eastAsia" w:ascii="宋体" w:hAnsi="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14:paraId="48AB19D2">
            <w:pPr>
              <w:jc w:val="center"/>
              <w:rPr>
                <w:rFonts w:hint="eastAsia" w:ascii="宋体" w:hAnsi="宋体" w:cs="宋体"/>
                <w:szCs w:val="21"/>
              </w:rPr>
            </w:pPr>
          </w:p>
        </w:tc>
        <w:tc>
          <w:tcPr>
            <w:tcW w:w="830" w:type="pct"/>
            <w:tcBorders>
              <w:top w:val="single" w:color="auto" w:sz="4" w:space="0"/>
              <w:left w:val="single" w:color="auto" w:sz="4" w:space="0"/>
              <w:bottom w:val="single" w:color="auto" w:sz="4" w:space="0"/>
              <w:right w:val="single" w:color="auto" w:sz="4" w:space="0"/>
            </w:tcBorders>
            <w:vAlign w:val="center"/>
          </w:tcPr>
          <w:p w14:paraId="511F468A">
            <w:pPr>
              <w:jc w:val="center"/>
              <w:rPr>
                <w:rFonts w:hint="eastAsia" w:ascii="宋体" w:hAnsi="宋体" w:cs="宋体"/>
                <w:szCs w:val="21"/>
              </w:rPr>
            </w:pPr>
          </w:p>
        </w:tc>
      </w:tr>
      <w:tr w14:paraId="3379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14:paraId="3367AD18">
            <w:pPr>
              <w:jc w:val="center"/>
              <w:rPr>
                <w:rFonts w:hint="eastAsia" w:ascii="宋体" w:hAnsi="宋体" w:cs="宋体"/>
                <w:szCs w:val="21"/>
              </w:rPr>
            </w:pPr>
            <w:r>
              <w:rPr>
                <w:rFonts w:hint="eastAsia" w:ascii="宋体" w:hAnsi="宋体" w:cs="宋体"/>
                <w:szCs w:val="21"/>
              </w:rPr>
              <w:t>2</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3B8B46C4">
            <w:pPr>
              <w:jc w:val="center"/>
              <w:rPr>
                <w:rFonts w:hint="eastAsia" w:ascii="宋体" w:hAnsi="宋体" w:cs="宋体"/>
                <w:szCs w:val="21"/>
              </w:rPr>
            </w:pPr>
            <w:r>
              <w:rPr>
                <w:rFonts w:hint="eastAsia" w:ascii="宋体" w:hAnsi="宋体" w:cs="宋体"/>
                <w:szCs w:val="21"/>
              </w:rPr>
              <w:t>项目投标授权代表人</w:t>
            </w:r>
          </w:p>
        </w:tc>
        <w:tc>
          <w:tcPr>
            <w:tcW w:w="529" w:type="pct"/>
            <w:tcBorders>
              <w:top w:val="single" w:color="auto" w:sz="4" w:space="0"/>
              <w:left w:val="single" w:color="auto" w:sz="4" w:space="0"/>
              <w:bottom w:val="single" w:color="auto" w:sz="4" w:space="0"/>
              <w:right w:val="single" w:color="auto" w:sz="4" w:space="0"/>
            </w:tcBorders>
            <w:vAlign w:val="center"/>
          </w:tcPr>
          <w:p w14:paraId="47DC53F7">
            <w:pPr>
              <w:jc w:val="center"/>
              <w:rPr>
                <w:rFonts w:hint="eastAsia" w:ascii="宋体" w:hAnsi="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14:paraId="28512BAE">
            <w:pPr>
              <w:jc w:val="center"/>
              <w:rPr>
                <w:rFonts w:hint="eastAsia" w:ascii="宋体" w:hAnsi="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14:paraId="69EEF8D7">
            <w:pPr>
              <w:jc w:val="center"/>
              <w:rPr>
                <w:rFonts w:hint="eastAsia" w:ascii="宋体" w:hAnsi="宋体" w:cs="宋体"/>
                <w:szCs w:val="21"/>
              </w:rPr>
            </w:pPr>
          </w:p>
        </w:tc>
        <w:tc>
          <w:tcPr>
            <w:tcW w:w="830" w:type="pct"/>
            <w:tcBorders>
              <w:top w:val="single" w:color="auto" w:sz="4" w:space="0"/>
              <w:left w:val="single" w:color="auto" w:sz="4" w:space="0"/>
              <w:bottom w:val="single" w:color="auto" w:sz="4" w:space="0"/>
              <w:right w:val="single" w:color="auto" w:sz="4" w:space="0"/>
            </w:tcBorders>
            <w:vAlign w:val="center"/>
          </w:tcPr>
          <w:p w14:paraId="0093ABBF">
            <w:pPr>
              <w:jc w:val="center"/>
              <w:rPr>
                <w:rFonts w:hint="eastAsia" w:ascii="宋体" w:hAnsi="宋体" w:cs="宋体"/>
                <w:szCs w:val="21"/>
              </w:rPr>
            </w:pPr>
          </w:p>
        </w:tc>
      </w:tr>
      <w:tr w14:paraId="148F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vAlign w:val="center"/>
          </w:tcPr>
          <w:p w14:paraId="53D632CD">
            <w:pPr>
              <w:jc w:val="center"/>
              <w:rPr>
                <w:rFonts w:hint="eastAsia" w:ascii="宋体" w:hAnsi="宋体" w:cs="宋体"/>
                <w:szCs w:val="21"/>
              </w:rPr>
            </w:pPr>
            <w:r>
              <w:rPr>
                <w:rFonts w:hint="eastAsia" w:ascii="宋体" w:hAnsi="宋体" w:cs="宋体"/>
                <w:szCs w:val="21"/>
              </w:rPr>
              <w:t>3</w:t>
            </w:r>
          </w:p>
        </w:tc>
        <w:tc>
          <w:tcPr>
            <w:tcW w:w="1275" w:type="pct"/>
            <w:gridSpan w:val="2"/>
            <w:tcBorders>
              <w:top w:val="single" w:color="auto" w:sz="4" w:space="0"/>
            </w:tcBorders>
            <w:vAlign w:val="center"/>
          </w:tcPr>
          <w:p w14:paraId="2C5D70CD">
            <w:pPr>
              <w:jc w:val="center"/>
              <w:rPr>
                <w:rFonts w:hint="eastAsia" w:ascii="宋体" w:hAnsi="宋体" w:cs="宋体"/>
                <w:szCs w:val="21"/>
              </w:rPr>
            </w:pPr>
            <w:r>
              <w:rPr>
                <w:rFonts w:hint="eastAsia" w:ascii="宋体" w:hAnsi="宋体" w:cs="宋体"/>
                <w:szCs w:val="21"/>
              </w:rPr>
              <w:t>项目负责人</w:t>
            </w:r>
          </w:p>
        </w:tc>
        <w:tc>
          <w:tcPr>
            <w:tcW w:w="529" w:type="pct"/>
            <w:tcBorders>
              <w:top w:val="single" w:color="auto" w:sz="4" w:space="0"/>
            </w:tcBorders>
            <w:vAlign w:val="center"/>
          </w:tcPr>
          <w:p w14:paraId="4A35A01B">
            <w:pPr>
              <w:jc w:val="center"/>
              <w:rPr>
                <w:rFonts w:hint="eastAsia" w:ascii="宋体" w:hAnsi="宋体" w:cs="宋体"/>
                <w:szCs w:val="21"/>
              </w:rPr>
            </w:pPr>
          </w:p>
        </w:tc>
        <w:tc>
          <w:tcPr>
            <w:tcW w:w="1113" w:type="pct"/>
            <w:gridSpan w:val="2"/>
            <w:tcBorders>
              <w:top w:val="single" w:color="auto" w:sz="4" w:space="0"/>
            </w:tcBorders>
            <w:vAlign w:val="center"/>
          </w:tcPr>
          <w:p w14:paraId="46520EAF">
            <w:pPr>
              <w:jc w:val="center"/>
              <w:rPr>
                <w:rFonts w:hint="eastAsia" w:ascii="宋体" w:hAnsi="宋体" w:cs="宋体"/>
                <w:szCs w:val="21"/>
              </w:rPr>
            </w:pPr>
          </w:p>
        </w:tc>
        <w:tc>
          <w:tcPr>
            <w:tcW w:w="838" w:type="pct"/>
            <w:tcBorders>
              <w:top w:val="single" w:color="auto" w:sz="4" w:space="0"/>
            </w:tcBorders>
            <w:vAlign w:val="center"/>
          </w:tcPr>
          <w:p w14:paraId="09E1CA8A">
            <w:pPr>
              <w:jc w:val="center"/>
              <w:rPr>
                <w:rFonts w:hint="eastAsia" w:ascii="宋体" w:hAnsi="宋体" w:cs="宋体"/>
                <w:szCs w:val="21"/>
              </w:rPr>
            </w:pPr>
          </w:p>
        </w:tc>
        <w:tc>
          <w:tcPr>
            <w:tcW w:w="830" w:type="pct"/>
            <w:tcBorders>
              <w:top w:val="single" w:color="auto" w:sz="4" w:space="0"/>
            </w:tcBorders>
            <w:vAlign w:val="center"/>
          </w:tcPr>
          <w:p w14:paraId="4EC815B7">
            <w:pPr>
              <w:jc w:val="center"/>
              <w:rPr>
                <w:rFonts w:hint="eastAsia" w:ascii="宋体" w:hAnsi="宋体" w:cs="宋体"/>
                <w:szCs w:val="21"/>
              </w:rPr>
            </w:pPr>
          </w:p>
        </w:tc>
      </w:tr>
      <w:tr w14:paraId="7137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14:paraId="15DD6435">
            <w:pPr>
              <w:jc w:val="center"/>
              <w:rPr>
                <w:rFonts w:hint="eastAsia" w:ascii="宋体" w:hAnsi="宋体" w:cs="宋体"/>
                <w:szCs w:val="21"/>
              </w:rPr>
            </w:pPr>
            <w:r>
              <w:rPr>
                <w:rFonts w:hint="eastAsia" w:ascii="宋体" w:hAnsi="宋体" w:cs="宋体"/>
                <w:szCs w:val="21"/>
              </w:rPr>
              <w:t>4</w:t>
            </w:r>
          </w:p>
        </w:tc>
        <w:tc>
          <w:tcPr>
            <w:tcW w:w="1275" w:type="pct"/>
            <w:gridSpan w:val="2"/>
            <w:vAlign w:val="center"/>
          </w:tcPr>
          <w:p w14:paraId="1CA501E5">
            <w:pPr>
              <w:jc w:val="center"/>
              <w:rPr>
                <w:rFonts w:hint="eastAsia" w:ascii="宋体" w:hAnsi="宋体" w:cs="宋体"/>
                <w:szCs w:val="21"/>
              </w:rPr>
            </w:pPr>
            <w:r>
              <w:rPr>
                <w:rFonts w:hint="eastAsia" w:ascii="宋体" w:hAnsi="宋体" w:cs="宋体"/>
                <w:szCs w:val="21"/>
              </w:rPr>
              <w:t>主要技术人员</w:t>
            </w:r>
          </w:p>
        </w:tc>
        <w:tc>
          <w:tcPr>
            <w:tcW w:w="529" w:type="pct"/>
            <w:vAlign w:val="center"/>
          </w:tcPr>
          <w:p w14:paraId="65BFA752">
            <w:pPr>
              <w:jc w:val="center"/>
              <w:rPr>
                <w:rFonts w:hint="eastAsia" w:ascii="宋体" w:hAnsi="宋体" w:cs="宋体"/>
                <w:szCs w:val="21"/>
              </w:rPr>
            </w:pPr>
          </w:p>
        </w:tc>
        <w:tc>
          <w:tcPr>
            <w:tcW w:w="1113" w:type="pct"/>
            <w:gridSpan w:val="2"/>
            <w:vAlign w:val="center"/>
          </w:tcPr>
          <w:p w14:paraId="4BB765CB">
            <w:pPr>
              <w:jc w:val="center"/>
              <w:rPr>
                <w:rFonts w:hint="eastAsia" w:ascii="宋体" w:hAnsi="宋体" w:cs="宋体"/>
                <w:szCs w:val="21"/>
              </w:rPr>
            </w:pPr>
          </w:p>
        </w:tc>
        <w:tc>
          <w:tcPr>
            <w:tcW w:w="838" w:type="pct"/>
            <w:vAlign w:val="center"/>
          </w:tcPr>
          <w:p w14:paraId="11935141">
            <w:pPr>
              <w:jc w:val="center"/>
              <w:rPr>
                <w:rFonts w:hint="eastAsia" w:ascii="宋体" w:hAnsi="宋体" w:cs="宋体"/>
                <w:szCs w:val="21"/>
              </w:rPr>
            </w:pPr>
          </w:p>
        </w:tc>
        <w:tc>
          <w:tcPr>
            <w:tcW w:w="830" w:type="pct"/>
            <w:vAlign w:val="center"/>
          </w:tcPr>
          <w:p w14:paraId="66323F69">
            <w:pPr>
              <w:jc w:val="center"/>
              <w:rPr>
                <w:rFonts w:hint="eastAsia" w:ascii="宋体" w:hAnsi="宋体" w:cs="宋体"/>
                <w:szCs w:val="21"/>
              </w:rPr>
            </w:pPr>
          </w:p>
        </w:tc>
      </w:tr>
      <w:tr w14:paraId="2A10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14:paraId="32F54135">
            <w:pPr>
              <w:jc w:val="center"/>
              <w:rPr>
                <w:rFonts w:hint="eastAsia" w:ascii="宋体" w:hAnsi="宋体" w:cs="宋体"/>
                <w:szCs w:val="21"/>
              </w:rPr>
            </w:pPr>
            <w:r>
              <w:rPr>
                <w:rFonts w:hint="eastAsia" w:ascii="宋体" w:hAnsi="宋体" w:cs="宋体"/>
                <w:szCs w:val="21"/>
              </w:rPr>
              <w:t>5</w:t>
            </w:r>
          </w:p>
        </w:tc>
        <w:tc>
          <w:tcPr>
            <w:tcW w:w="1275" w:type="pct"/>
            <w:gridSpan w:val="2"/>
            <w:vAlign w:val="center"/>
          </w:tcPr>
          <w:p w14:paraId="78BF6718">
            <w:pPr>
              <w:snapToGrid w:val="0"/>
              <w:jc w:val="center"/>
              <w:rPr>
                <w:rFonts w:hint="eastAsia" w:ascii="宋体" w:hAnsi="宋体" w:cs="宋体"/>
                <w:szCs w:val="21"/>
              </w:rPr>
            </w:pPr>
            <w:r>
              <w:rPr>
                <w:rFonts w:hint="eastAsia" w:ascii="宋体" w:hAnsi="宋体" w:cs="宋体"/>
                <w:szCs w:val="21"/>
              </w:rPr>
              <w:t>投标文件编制人员</w:t>
            </w:r>
          </w:p>
        </w:tc>
        <w:tc>
          <w:tcPr>
            <w:tcW w:w="529" w:type="pct"/>
            <w:vAlign w:val="center"/>
          </w:tcPr>
          <w:p w14:paraId="6FB49F48">
            <w:pPr>
              <w:jc w:val="center"/>
              <w:rPr>
                <w:rFonts w:hint="eastAsia" w:ascii="宋体" w:hAnsi="宋体" w:cs="宋体"/>
                <w:szCs w:val="21"/>
              </w:rPr>
            </w:pPr>
          </w:p>
        </w:tc>
        <w:tc>
          <w:tcPr>
            <w:tcW w:w="1113" w:type="pct"/>
            <w:gridSpan w:val="2"/>
            <w:vAlign w:val="center"/>
          </w:tcPr>
          <w:p w14:paraId="4F83E9BE">
            <w:pPr>
              <w:jc w:val="center"/>
              <w:rPr>
                <w:rFonts w:hint="eastAsia" w:ascii="宋体" w:hAnsi="宋体" w:cs="宋体"/>
                <w:szCs w:val="21"/>
              </w:rPr>
            </w:pPr>
          </w:p>
        </w:tc>
        <w:tc>
          <w:tcPr>
            <w:tcW w:w="838" w:type="pct"/>
            <w:vAlign w:val="center"/>
          </w:tcPr>
          <w:p w14:paraId="78E4A162">
            <w:pPr>
              <w:jc w:val="center"/>
              <w:rPr>
                <w:rFonts w:hint="eastAsia" w:ascii="宋体" w:hAnsi="宋体" w:cs="宋体"/>
                <w:szCs w:val="21"/>
              </w:rPr>
            </w:pPr>
          </w:p>
        </w:tc>
        <w:tc>
          <w:tcPr>
            <w:tcW w:w="830" w:type="pct"/>
            <w:vAlign w:val="center"/>
          </w:tcPr>
          <w:p w14:paraId="754EC805">
            <w:pPr>
              <w:jc w:val="center"/>
              <w:rPr>
                <w:rFonts w:hint="eastAsia" w:ascii="宋体" w:hAnsi="宋体" w:cs="宋体"/>
                <w:szCs w:val="21"/>
              </w:rPr>
            </w:pPr>
          </w:p>
        </w:tc>
      </w:tr>
      <w:tr w14:paraId="25E8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42128EC3">
            <w:pPr>
              <w:rPr>
                <w:rFonts w:hint="eastAsia" w:ascii="宋体" w:hAnsi="宋体" w:cs="宋体"/>
                <w:szCs w:val="21"/>
              </w:rPr>
            </w:pPr>
            <w:r>
              <w:rPr>
                <w:rFonts w:hint="eastAsia" w:ascii="宋体" w:hAnsi="宋体" w:cs="宋体"/>
                <w:b/>
                <w:bCs/>
                <w:szCs w:val="21"/>
              </w:rPr>
              <w:t>说明：同一职务有多人担任（如主要技术人员），应分行填写。</w:t>
            </w:r>
          </w:p>
        </w:tc>
      </w:tr>
      <w:tr w14:paraId="66C7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vAlign w:val="center"/>
          </w:tcPr>
          <w:p w14:paraId="0C8BAE4A">
            <w:pPr>
              <w:jc w:val="center"/>
              <w:rPr>
                <w:rFonts w:hint="eastAsia" w:ascii="宋体" w:hAnsi="宋体" w:cs="宋体"/>
                <w:b/>
                <w:bCs/>
                <w:szCs w:val="21"/>
              </w:rPr>
            </w:pPr>
            <w:r>
              <w:rPr>
                <w:rFonts w:hint="eastAsia" w:ascii="宋体" w:hAnsi="宋体" w:cs="宋体"/>
                <w:b/>
                <w:bCs/>
                <w:szCs w:val="21"/>
              </w:rPr>
              <w:t>投标（响应）供应商关联关系情况</w:t>
            </w:r>
          </w:p>
        </w:tc>
      </w:tr>
      <w:tr w14:paraId="45D3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vAlign w:val="center"/>
          </w:tcPr>
          <w:p w14:paraId="744A624A">
            <w:pPr>
              <w:jc w:val="center"/>
              <w:rPr>
                <w:rFonts w:hint="eastAsia" w:ascii="宋体" w:hAnsi="宋体" w:cs="宋体"/>
                <w:szCs w:val="21"/>
              </w:rPr>
            </w:pPr>
            <w:r>
              <w:rPr>
                <w:rFonts w:hint="eastAsia" w:ascii="宋体" w:hAnsi="宋体" w:cs="宋体"/>
                <w:szCs w:val="21"/>
              </w:rPr>
              <w:t>序号</w:t>
            </w:r>
          </w:p>
        </w:tc>
        <w:tc>
          <w:tcPr>
            <w:tcW w:w="1275" w:type="pct"/>
            <w:gridSpan w:val="2"/>
            <w:tcBorders>
              <w:bottom w:val="single" w:color="auto" w:sz="4" w:space="0"/>
            </w:tcBorders>
            <w:vAlign w:val="center"/>
          </w:tcPr>
          <w:p w14:paraId="1199CD1B">
            <w:pPr>
              <w:jc w:val="center"/>
              <w:rPr>
                <w:rFonts w:hint="eastAsia" w:ascii="宋体" w:hAnsi="宋体" w:cs="宋体"/>
                <w:szCs w:val="21"/>
              </w:rPr>
            </w:pPr>
            <w:r>
              <w:rPr>
                <w:rFonts w:hint="eastAsia" w:ascii="宋体" w:hAnsi="宋体" w:cs="宋体"/>
                <w:szCs w:val="21"/>
              </w:rPr>
              <w:t>关联关系类型</w:t>
            </w:r>
          </w:p>
        </w:tc>
        <w:tc>
          <w:tcPr>
            <w:tcW w:w="971" w:type="pct"/>
            <w:gridSpan w:val="2"/>
            <w:tcBorders>
              <w:bottom w:val="single" w:color="auto" w:sz="4" w:space="0"/>
            </w:tcBorders>
            <w:vAlign w:val="center"/>
          </w:tcPr>
          <w:p w14:paraId="50375779">
            <w:pPr>
              <w:jc w:val="center"/>
              <w:rPr>
                <w:rFonts w:hint="eastAsia" w:ascii="宋体" w:hAnsi="宋体" w:cs="宋体"/>
                <w:szCs w:val="21"/>
              </w:rPr>
            </w:pPr>
            <w:r>
              <w:rPr>
                <w:rFonts w:hint="eastAsia" w:ascii="宋体" w:hAnsi="宋体" w:cs="宋体"/>
                <w:szCs w:val="21"/>
              </w:rPr>
              <w:t>关联主体名称</w:t>
            </w:r>
          </w:p>
        </w:tc>
        <w:tc>
          <w:tcPr>
            <w:tcW w:w="2340" w:type="pct"/>
            <w:gridSpan w:val="3"/>
            <w:tcBorders>
              <w:bottom w:val="single" w:color="auto" w:sz="4" w:space="0"/>
            </w:tcBorders>
            <w:vAlign w:val="center"/>
          </w:tcPr>
          <w:p w14:paraId="4E25A61D">
            <w:pPr>
              <w:jc w:val="center"/>
              <w:rPr>
                <w:rFonts w:hint="eastAsia" w:ascii="宋体" w:hAnsi="宋体" w:cs="宋体"/>
                <w:szCs w:val="21"/>
              </w:rPr>
            </w:pPr>
            <w:r>
              <w:rPr>
                <w:rFonts w:hint="eastAsia" w:ascii="宋体" w:hAnsi="宋体" w:cs="宋体"/>
                <w:szCs w:val="21"/>
              </w:rPr>
              <w:t>备注</w:t>
            </w:r>
          </w:p>
        </w:tc>
      </w:tr>
      <w:tr w14:paraId="0EA1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14:paraId="75F08095">
            <w:pPr>
              <w:jc w:val="center"/>
              <w:rPr>
                <w:rFonts w:hint="eastAsia" w:ascii="宋体" w:hAnsi="宋体" w:cs="宋体"/>
                <w:szCs w:val="21"/>
              </w:rPr>
            </w:pPr>
            <w:r>
              <w:rPr>
                <w:rFonts w:hint="eastAsia" w:ascii="宋体" w:hAnsi="宋体" w:cs="宋体"/>
                <w:szCs w:val="21"/>
              </w:rPr>
              <w:t>1</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14786902">
            <w:pPr>
              <w:jc w:val="center"/>
              <w:rPr>
                <w:rFonts w:hint="eastAsia" w:ascii="宋体" w:hAnsi="宋体" w:cs="宋体"/>
                <w:szCs w:val="21"/>
              </w:rPr>
            </w:pPr>
            <w:r>
              <w:rPr>
                <w:rFonts w:hint="eastAsia" w:ascii="宋体" w:hAnsi="宋体" w:cs="宋体"/>
                <w:szCs w:val="21"/>
              </w:rPr>
              <w:t>控股股东</w:t>
            </w:r>
          </w:p>
        </w:tc>
        <w:tc>
          <w:tcPr>
            <w:tcW w:w="971" w:type="pct"/>
            <w:gridSpan w:val="2"/>
            <w:tcBorders>
              <w:top w:val="single" w:color="auto" w:sz="4" w:space="0"/>
              <w:left w:val="single" w:color="auto" w:sz="4" w:space="0"/>
              <w:bottom w:val="single" w:color="auto" w:sz="4" w:space="0"/>
              <w:right w:val="single" w:color="auto" w:sz="4" w:space="0"/>
            </w:tcBorders>
            <w:vAlign w:val="center"/>
          </w:tcPr>
          <w:p w14:paraId="1352CDB5">
            <w:pPr>
              <w:jc w:val="center"/>
              <w:rPr>
                <w:rFonts w:hint="eastAsia" w:ascii="宋体" w:hAnsi="宋体" w:cs="宋体"/>
                <w:szCs w:val="21"/>
              </w:rPr>
            </w:pPr>
          </w:p>
        </w:tc>
        <w:tc>
          <w:tcPr>
            <w:tcW w:w="2340" w:type="pct"/>
            <w:gridSpan w:val="3"/>
            <w:tcBorders>
              <w:top w:val="single" w:color="auto" w:sz="4" w:space="0"/>
              <w:left w:val="single" w:color="auto" w:sz="4" w:space="0"/>
              <w:bottom w:val="single" w:color="auto" w:sz="4" w:space="0"/>
              <w:right w:val="single" w:color="auto" w:sz="4" w:space="0"/>
            </w:tcBorders>
            <w:vAlign w:val="center"/>
          </w:tcPr>
          <w:p w14:paraId="4B2359EB">
            <w:pPr>
              <w:snapToGrid w:val="0"/>
              <w:rPr>
                <w:rFonts w:hint="eastAsia" w:ascii="宋体" w:hAnsi="宋体" w:cs="宋体"/>
                <w:szCs w:val="21"/>
              </w:rPr>
            </w:pPr>
            <w:r>
              <w:rPr>
                <w:rFonts w:hint="eastAsia" w:ascii="宋体" w:hAnsi="宋体" w:cs="宋体"/>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2E6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14:paraId="2F80719A">
            <w:pPr>
              <w:jc w:val="center"/>
              <w:rPr>
                <w:rFonts w:hint="eastAsia" w:ascii="宋体" w:hAnsi="宋体" w:cs="宋体"/>
                <w:szCs w:val="21"/>
              </w:rPr>
            </w:pPr>
            <w:r>
              <w:rPr>
                <w:rFonts w:hint="eastAsia" w:ascii="宋体" w:hAnsi="宋体" w:cs="宋体"/>
                <w:szCs w:val="21"/>
              </w:rPr>
              <w:t>2</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5FF7CADA">
            <w:pPr>
              <w:jc w:val="center"/>
              <w:rPr>
                <w:rFonts w:hint="eastAsia" w:ascii="宋体" w:hAnsi="宋体" w:cs="宋体"/>
                <w:szCs w:val="21"/>
              </w:rPr>
            </w:pPr>
            <w:r>
              <w:rPr>
                <w:rFonts w:hint="eastAsia" w:ascii="宋体" w:hAnsi="宋体" w:cs="宋体"/>
                <w:szCs w:val="21"/>
              </w:rPr>
              <w:t>管理关系</w:t>
            </w:r>
          </w:p>
        </w:tc>
        <w:tc>
          <w:tcPr>
            <w:tcW w:w="971" w:type="pct"/>
            <w:gridSpan w:val="2"/>
            <w:tcBorders>
              <w:top w:val="single" w:color="auto" w:sz="4" w:space="0"/>
              <w:left w:val="single" w:color="auto" w:sz="4" w:space="0"/>
              <w:bottom w:val="single" w:color="auto" w:sz="4" w:space="0"/>
              <w:right w:val="single" w:color="auto" w:sz="4" w:space="0"/>
            </w:tcBorders>
            <w:vAlign w:val="center"/>
          </w:tcPr>
          <w:p w14:paraId="5558A5D7">
            <w:pPr>
              <w:jc w:val="center"/>
              <w:rPr>
                <w:rFonts w:hint="eastAsia" w:ascii="宋体" w:hAnsi="宋体" w:cs="宋体"/>
                <w:szCs w:val="21"/>
              </w:rPr>
            </w:pPr>
          </w:p>
        </w:tc>
        <w:tc>
          <w:tcPr>
            <w:tcW w:w="2340" w:type="pct"/>
            <w:gridSpan w:val="3"/>
            <w:tcBorders>
              <w:top w:val="single" w:color="auto" w:sz="4" w:space="0"/>
              <w:left w:val="single" w:color="auto" w:sz="4" w:space="0"/>
              <w:bottom w:val="single" w:color="auto" w:sz="4" w:space="0"/>
              <w:right w:val="single" w:color="auto" w:sz="4" w:space="0"/>
            </w:tcBorders>
            <w:vAlign w:val="center"/>
          </w:tcPr>
          <w:p w14:paraId="6D313185">
            <w:pPr>
              <w:snapToGrid w:val="0"/>
              <w:rPr>
                <w:rFonts w:hint="eastAsia" w:ascii="宋体" w:hAnsi="宋体" w:cs="宋体"/>
                <w:szCs w:val="21"/>
              </w:rPr>
            </w:pPr>
            <w:r>
              <w:rPr>
                <w:rFonts w:hint="eastAsia" w:ascii="宋体" w:hAnsi="宋体" w:cs="宋体"/>
                <w:szCs w:val="21"/>
              </w:rPr>
              <w:t>指对投标（响应）供应商不具有出资持股关系，但对其存在管理关系的主体。</w:t>
            </w:r>
          </w:p>
        </w:tc>
      </w:tr>
      <w:tr w14:paraId="541E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center"/>
          </w:tcPr>
          <w:p w14:paraId="07E4106E">
            <w:pPr>
              <w:snapToGrid w:val="0"/>
              <w:rPr>
                <w:rFonts w:hint="eastAsia" w:ascii="宋体" w:hAnsi="宋体" w:cs="宋体"/>
                <w:szCs w:val="21"/>
              </w:rPr>
            </w:pPr>
            <w:r>
              <w:rPr>
                <w:rFonts w:hint="eastAsia" w:ascii="宋体" w:hAnsi="宋体" w:cs="宋体"/>
                <w:b/>
                <w:bCs/>
                <w:szCs w:val="21"/>
              </w:rPr>
              <w:t>说明：同一关联关系类型有多个主体的，应分行填写。</w:t>
            </w:r>
          </w:p>
        </w:tc>
      </w:tr>
    </w:tbl>
    <w:p w14:paraId="2E4B186D">
      <w:pPr>
        <w:pStyle w:val="6"/>
        <w:jc w:val="center"/>
        <w:rPr>
          <w:rFonts w:hint="eastAsia" w:ascii="黑体"/>
          <w:sz w:val="24"/>
        </w:rPr>
      </w:pPr>
    </w:p>
    <w:p w14:paraId="39ABEC78">
      <w:pPr>
        <w:pStyle w:val="6"/>
        <w:jc w:val="center"/>
        <w:rPr>
          <w:rFonts w:hint="eastAsia" w:ascii="黑体"/>
          <w:sz w:val="24"/>
        </w:rPr>
      </w:pPr>
      <w:r>
        <w:rPr>
          <w:rFonts w:hint="eastAsia" w:ascii="黑体"/>
          <w:sz w:val="24"/>
        </w:rPr>
        <w:t>二、</w:t>
      </w:r>
      <w:bookmarkStart w:id="66" w:name="_Hlk72092499"/>
      <w:r>
        <w:rPr>
          <w:rFonts w:hint="eastAsia" w:ascii="黑体"/>
          <w:sz w:val="24"/>
        </w:rPr>
        <w:t>法定代表人（负责人）证明书</w:t>
      </w:r>
      <w:bookmarkEnd w:id="66"/>
    </w:p>
    <w:p w14:paraId="5476F2D2">
      <w:pPr>
        <w:rPr>
          <w:sz w:val="24"/>
        </w:rPr>
      </w:pPr>
    </w:p>
    <w:p w14:paraId="2EDF19A3">
      <w:pPr>
        <w:spacing w:line="360" w:lineRule="auto"/>
        <w:ind w:firstLine="420" w:firstLineChars="200"/>
        <w:rPr>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47ED7F91">
      <w:pPr>
        <w:spacing w:line="360" w:lineRule="auto"/>
        <w:ind w:firstLine="420" w:firstLineChars="200"/>
        <w:rPr>
          <w:szCs w:val="21"/>
        </w:rPr>
      </w:pPr>
      <w:r>
        <w:rPr>
          <w:rFonts w:hint="eastAsia"/>
          <w:szCs w:val="21"/>
        </w:rPr>
        <w:t>特此证明。</w:t>
      </w:r>
    </w:p>
    <w:p w14:paraId="0073DB60">
      <w:pPr>
        <w:spacing w:line="360" w:lineRule="auto"/>
        <w:ind w:firstLine="420" w:firstLineChars="200"/>
        <w:rPr>
          <w:szCs w:val="21"/>
        </w:rPr>
      </w:pPr>
      <w:r>
        <w:rPr>
          <w:rFonts w:hint="eastAsia"/>
          <w:szCs w:val="21"/>
        </w:rPr>
        <w:t>说明：1、法定代表人为投标人（企业事业单位、国家机关、社会团体）的主要行政负责人。</w:t>
      </w:r>
    </w:p>
    <w:p w14:paraId="46E6AA56">
      <w:pPr>
        <w:numPr>
          <w:ilvl w:val="0"/>
          <w:numId w:val="2"/>
        </w:numPr>
        <w:spacing w:line="360" w:lineRule="auto"/>
        <w:ind w:firstLine="420" w:firstLineChars="200"/>
        <w:rPr>
          <w:szCs w:val="21"/>
        </w:rPr>
      </w:pPr>
      <w:r>
        <w:rPr>
          <w:rFonts w:hint="eastAsia"/>
          <w:szCs w:val="21"/>
        </w:rPr>
        <w:t>本证明书要供法定代表人（负责人）相关身份证明文件：身份证扫描件（正反两面）；港澳台居民可提供来往通行证扫描件；非中国国籍管辖范围人员，可提供公安部门认可的身份证明材料扫描件。</w:t>
      </w:r>
    </w:p>
    <w:p w14:paraId="6BC5B8BD">
      <w:pPr>
        <w:numPr>
          <w:ilvl w:val="0"/>
          <w:numId w:val="2"/>
        </w:numPr>
        <w:spacing w:line="360" w:lineRule="auto"/>
        <w:ind w:firstLine="420" w:firstLineChars="200"/>
        <w:rPr>
          <w:szCs w:val="21"/>
        </w:rPr>
      </w:pPr>
      <w:r>
        <w:rPr>
          <w:rFonts w:hint="eastAsia"/>
          <w:szCs w:val="21"/>
        </w:rPr>
        <w:t>本项目投标授权代表为法定代表人（负责人）的，无需提供《投标文件签署授权委托书》。</w:t>
      </w:r>
    </w:p>
    <w:p w14:paraId="7EA28D5F">
      <w:pPr>
        <w:numPr>
          <w:ilvl w:val="0"/>
          <w:numId w:val="2"/>
        </w:numPr>
        <w:spacing w:line="360" w:lineRule="auto"/>
        <w:ind w:firstLine="420" w:firstLineChars="200"/>
        <w:rPr>
          <w:szCs w:val="21"/>
        </w:rPr>
      </w:pPr>
      <w:r>
        <w:rPr>
          <w:rFonts w:hint="eastAsia"/>
          <w:szCs w:val="21"/>
        </w:rPr>
        <w:t>内容必须填写真实、清楚，涂改无效，不得转让、买卖。</w:t>
      </w:r>
    </w:p>
    <w:tbl>
      <w:tblPr>
        <w:tblStyle w:val="22"/>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13A0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75772891">
            <w:pPr>
              <w:jc w:val="center"/>
            </w:pPr>
            <w:r>
              <w:rPr>
                <w:rFonts w:hint="eastAsia"/>
              </w:rPr>
              <w:t>证件扫描件正面</w:t>
            </w:r>
          </w:p>
          <w:p w14:paraId="473B2D33">
            <w:pPr>
              <w:pStyle w:val="12"/>
              <w:jc w:val="center"/>
            </w:pPr>
          </w:p>
          <w:p w14:paraId="43D64F63">
            <w:pPr>
              <w:pStyle w:val="13"/>
              <w:jc w:val="center"/>
            </w:pPr>
          </w:p>
        </w:tc>
        <w:tc>
          <w:tcPr>
            <w:tcW w:w="4265" w:type="dxa"/>
          </w:tcPr>
          <w:p w14:paraId="5B5FF491">
            <w:pPr>
              <w:jc w:val="center"/>
            </w:pPr>
            <w:r>
              <w:rPr>
                <w:rFonts w:hint="eastAsia"/>
              </w:rPr>
              <w:t>证件扫描件反面</w:t>
            </w:r>
          </w:p>
          <w:p w14:paraId="1DF321BA">
            <w:pPr>
              <w:pStyle w:val="12"/>
              <w:jc w:val="center"/>
            </w:pPr>
          </w:p>
          <w:p w14:paraId="6BEACB84">
            <w:pPr>
              <w:pStyle w:val="13"/>
              <w:jc w:val="center"/>
            </w:pPr>
          </w:p>
        </w:tc>
      </w:tr>
    </w:tbl>
    <w:p w14:paraId="3FDD11A9">
      <w:pPr>
        <w:pStyle w:val="39"/>
        <w:rPr>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szCs w:val="21"/>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14:paraId="053784C8">
      <w:pPr>
        <w:rPr>
          <w:sz w:val="24"/>
        </w:rPr>
      </w:pPr>
    </w:p>
    <w:p w14:paraId="15DA7959">
      <w:pPr>
        <w:pStyle w:val="6"/>
        <w:spacing w:before="120" w:after="120"/>
        <w:jc w:val="center"/>
        <w:rPr>
          <w:rFonts w:hint="eastAsia" w:ascii="黑体"/>
          <w:sz w:val="24"/>
        </w:rPr>
      </w:pPr>
      <w:r>
        <w:rPr>
          <w:rFonts w:hint="eastAsia" w:ascii="黑体"/>
          <w:sz w:val="24"/>
        </w:rPr>
        <w:t>三、投标文件签署授权委托书</w:t>
      </w:r>
    </w:p>
    <w:p w14:paraId="5CFEA8C3">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20EAD349">
      <w:pPr>
        <w:spacing w:line="360" w:lineRule="auto"/>
        <w:ind w:firstLine="420" w:firstLineChars="200"/>
        <w:rPr>
          <w:szCs w:val="21"/>
        </w:rPr>
      </w:pPr>
      <w:r>
        <w:rPr>
          <w:rFonts w:hint="eastAsia"/>
          <w:szCs w:val="21"/>
        </w:rPr>
        <w:t>代理人无转委托权，特此委托。</w:t>
      </w:r>
    </w:p>
    <w:p w14:paraId="3CB77E4D">
      <w:pPr>
        <w:spacing w:line="360" w:lineRule="auto"/>
        <w:ind w:firstLine="420" w:firstLineChars="200"/>
        <w:rPr>
          <w:szCs w:val="21"/>
        </w:rPr>
      </w:pPr>
    </w:p>
    <w:p w14:paraId="26796E54">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14:paraId="0D940D2C">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5AA03809">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szCs w:val="21"/>
        </w:rPr>
        <w:t>；</w:t>
      </w:r>
    </w:p>
    <w:p w14:paraId="3D6AA8A6">
      <w:pPr>
        <w:spacing w:line="360" w:lineRule="auto"/>
        <w:ind w:firstLine="420" w:firstLineChars="20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14:paraId="5822E104">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2"/>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24E7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64FDF872">
            <w:pPr>
              <w:jc w:val="center"/>
            </w:pPr>
            <w:r>
              <w:rPr>
                <w:rFonts w:hint="eastAsia"/>
              </w:rPr>
              <w:t>证件扫描件正面</w:t>
            </w:r>
          </w:p>
          <w:p w14:paraId="6B416053">
            <w:pPr>
              <w:pStyle w:val="12"/>
              <w:jc w:val="center"/>
            </w:pPr>
          </w:p>
          <w:p w14:paraId="22807ECD">
            <w:pPr>
              <w:pStyle w:val="13"/>
              <w:jc w:val="center"/>
            </w:pPr>
          </w:p>
        </w:tc>
        <w:tc>
          <w:tcPr>
            <w:tcW w:w="4265" w:type="dxa"/>
          </w:tcPr>
          <w:p w14:paraId="00905224">
            <w:pPr>
              <w:jc w:val="center"/>
            </w:pPr>
            <w:r>
              <w:rPr>
                <w:rFonts w:hint="eastAsia"/>
              </w:rPr>
              <w:t>证件扫描件反面</w:t>
            </w:r>
          </w:p>
          <w:p w14:paraId="57966E6B">
            <w:pPr>
              <w:pStyle w:val="12"/>
              <w:jc w:val="center"/>
            </w:pPr>
          </w:p>
          <w:p w14:paraId="752189D7">
            <w:pPr>
              <w:pStyle w:val="13"/>
              <w:jc w:val="center"/>
            </w:pPr>
          </w:p>
        </w:tc>
      </w:tr>
    </w:tbl>
    <w:p w14:paraId="49837C43">
      <w:pPr>
        <w:rPr>
          <w:rFonts w:ascii="Calibri" w:hAnsi="Calibri"/>
          <w:szCs w:val="22"/>
        </w:rPr>
      </w:pPr>
      <w:r>
        <w:rPr>
          <w:rFonts w:hint="eastAsia" w:ascii="黑体" w:hAnsi="黑体" w:eastAsia="黑体" w:cs="黑体"/>
          <w:b/>
          <w:bCs/>
          <w:sz w:val="24"/>
        </w:rPr>
        <w:t>温馨提示</w:t>
      </w:r>
      <w:r>
        <w:rPr>
          <w:rFonts w:hint="eastAsia" w:ascii="黑体" w:hAnsi="黑体" w:eastAsia="黑体" w:cs="黑体"/>
          <w:sz w:val="24"/>
        </w:rPr>
        <w:t>：</w:t>
      </w:r>
      <w:r>
        <w:rPr>
          <w:rFonts w:hint="eastAsia"/>
          <w:szCs w:val="21"/>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14:paraId="4DD6C90E">
      <w:pPr>
        <w:pStyle w:val="6"/>
        <w:jc w:val="center"/>
        <w:rPr>
          <w:rFonts w:hint="eastAsia" w:ascii="黑体"/>
          <w:kern w:val="0"/>
          <w:sz w:val="24"/>
          <w:szCs w:val="24"/>
        </w:rPr>
      </w:pPr>
    </w:p>
    <w:p w14:paraId="7EFE1F9D">
      <w:pPr>
        <w:rPr>
          <w:rFonts w:ascii="黑体" w:eastAsia="黑体"/>
          <w:kern w:val="0"/>
          <w:sz w:val="24"/>
        </w:rPr>
      </w:pPr>
      <w:r>
        <w:rPr>
          <w:rFonts w:hint="eastAsia" w:ascii="黑体" w:eastAsia="黑体"/>
          <w:kern w:val="0"/>
          <w:sz w:val="24"/>
        </w:rPr>
        <w:br w:type="page"/>
      </w:r>
    </w:p>
    <w:p w14:paraId="3B11A567">
      <w:pPr>
        <w:pStyle w:val="6"/>
        <w:jc w:val="center"/>
        <w:rPr>
          <w:rFonts w:hint="eastAsia" w:ascii="黑体"/>
          <w:sz w:val="24"/>
          <w:szCs w:val="24"/>
        </w:rPr>
      </w:pPr>
      <w:r>
        <w:rPr>
          <w:rFonts w:hint="eastAsia" w:ascii="黑体"/>
          <w:sz w:val="24"/>
          <w:szCs w:val="24"/>
        </w:rPr>
        <w:t>四、项目详细报价</w:t>
      </w:r>
    </w:p>
    <w:p w14:paraId="3668B981">
      <w:pPr>
        <w:tabs>
          <w:tab w:val="left" w:pos="720"/>
        </w:tabs>
        <w:ind w:firstLine="3132" w:firstLineChars="1300"/>
        <w:rPr>
          <w:b/>
          <w:sz w:val="24"/>
        </w:rPr>
      </w:pPr>
      <w:r>
        <w:rPr>
          <w:rFonts w:hint="eastAsia"/>
          <w:b/>
          <w:sz w:val="24"/>
        </w:rPr>
        <w:t>（一）分项报价表</w:t>
      </w:r>
    </w:p>
    <w:tbl>
      <w:tblPr>
        <w:tblStyle w:val="21"/>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720"/>
        <w:gridCol w:w="1440"/>
        <w:gridCol w:w="948"/>
        <w:gridCol w:w="792"/>
        <w:gridCol w:w="696"/>
        <w:gridCol w:w="552"/>
        <w:gridCol w:w="636"/>
        <w:gridCol w:w="571"/>
        <w:gridCol w:w="917"/>
        <w:gridCol w:w="967"/>
      </w:tblGrid>
      <w:tr w14:paraId="31D8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1" w:type="dxa"/>
            <w:vAlign w:val="center"/>
          </w:tcPr>
          <w:p w14:paraId="0AE29F21">
            <w:pPr>
              <w:jc w:val="center"/>
              <w:rPr>
                <w:bCs/>
                <w:szCs w:val="21"/>
              </w:rPr>
            </w:pPr>
            <w:r>
              <w:rPr>
                <w:rFonts w:hint="eastAsia"/>
                <w:bCs/>
                <w:szCs w:val="21"/>
              </w:rPr>
              <w:t>序号</w:t>
            </w:r>
          </w:p>
        </w:tc>
        <w:tc>
          <w:tcPr>
            <w:tcW w:w="720" w:type="dxa"/>
            <w:vAlign w:val="center"/>
          </w:tcPr>
          <w:p w14:paraId="4BA820A5">
            <w:pPr>
              <w:jc w:val="center"/>
              <w:rPr>
                <w:bCs/>
                <w:szCs w:val="21"/>
              </w:rPr>
            </w:pPr>
            <w:r>
              <w:rPr>
                <w:rFonts w:hint="eastAsia"/>
                <w:szCs w:val="21"/>
              </w:rPr>
              <w:t>采购计划编号</w:t>
            </w:r>
          </w:p>
        </w:tc>
        <w:tc>
          <w:tcPr>
            <w:tcW w:w="1440" w:type="dxa"/>
            <w:vAlign w:val="center"/>
          </w:tcPr>
          <w:p w14:paraId="71B4F156">
            <w:pPr>
              <w:jc w:val="center"/>
              <w:rPr>
                <w:bCs/>
                <w:szCs w:val="21"/>
              </w:rPr>
            </w:pPr>
            <w:r>
              <w:rPr>
                <w:rFonts w:hint="eastAsia"/>
                <w:bCs/>
                <w:szCs w:val="21"/>
              </w:rPr>
              <w:t>货物名称</w:t>
            </w:r>
          </w:p>
        </w:tc>
        <w:tc>
          <w:tcPr>
            <w:tcW w:w="948" w:type="dxa"/>
            <w:vAlign w:val="center"/>
          </w:tcPr>
          <w:p w14:paraId="79CDE1E8">
            <w:pPr>
              <w:jc w:val="center"/>
              <w:rPr>
                <w:bCs/>
                <w:szCs w:val="21"/>
              </w:rPr>
            </w:pPr>
            <w:r>
              <w:rPr>
                <w:rFonts w:hint="eastAsia"/>
                <w:szCs w:val="21"/>
              </w:rPr>
              <w:t>品牌</w:t>
            </w:r>
          </w:p>
        </w:tc>
        <w:tc>
          <w:tcPr>
            <w:tcW w:w="792" w:type="dxa"/>
            <w:vAlign w:val="center"/>
          </w:tcPr>
          <w:p w14:paraId="2230DD53">
            <w:pPr>
              <w:jc w:val="center"/>
              <w:rPr>
                <w:bCs/>
                <w:szCs w:val="21"/>
              </w:rPr>
            </w:pPr>
            <w:r>
              <w:rPr>
                <w:rFonts w:hint="eastAsia"/>
                <w:szCs w:val="21"/>
              </w:rPr>
              <w:t>规格/型号</w:t>
            </w:r>
          </w:p>
        </w:tc>
        <w:tc>
          <w:tcPr>
            <w:tcW w:w="696" w:type="dxa"/>
            <w:vAlign w:val="center"/>
          </w:tcPr>
          <w:p w14:paraId="46FCFC61">
            <w:pPr>
              <w:jc w:val="center"/>
              <w:rPr>
                <w:bCs/>
                <w:szCs w:val="21"/>
              </w:rPr>
            </w:pPr>
            <w:r>
              <w:rPr>
                <w:rFonts w:hint="eastAsia"/>
                <w:b/>
                <w:color w:val="FF0000"/>
                <w:szCs w:val="21"/>
              </w:rPr>
              <w:t>原产地</w:t>
            </w:r>
          </w:p>
        </w:tc>
        <w:tc>
          <w:tcPr>
            <w:tcW w:w="552" w:type="dxa"/>
            <w:vAlign w:val="center"/>
          </w:tcPr>
          <w:p w14:paraId="114A3F17">
            <w:pPr>
              <w:jc w:val="center"/>
              <w:rPr>
                <w:bCs/>
                <w:szCs w:val="21"/>
              </w:rPr>
            </w:pPr>
            <w:r>
              <w:rPr>
                <w:rFonts w:hint="eastAsia"/>
                <w:szCs w:val="21"/>
              </w:rPr>
              <w:t>制造商名称</w:t>
            </w:r>
          </w:p>
        </w:tc>
        <w:tc>
          <w:tcPr>
            <w:tcW w:w="636" w:type="dxa"/>
            <w:vAlign w:val="center"/>
          </w:tcPr>
          <w:p w14:paraId="015F943F">
            <w:pPr>
              <w:jc w:val="center"/>
              <w:rPr>
                <w:bCs/>
                <w:szCs w:val="21"/>
              </w:rPr>
            </w:pPr>
            <w:r>
              <w:rPr>
                <w:rFonts w:hint="eastAsia"/>
                <w:bCs/>
                <w:szCs w:val="21"/>
              </w:rPr>
              <w:t>数量</w:t>
            </w:r>
          </w:p>
        </w:tc>
        <w:tc>
          <w:tcPr>
            <w:tcW w:w="571" w:type="dxa"/>
            <w:vAlign w:val="center"/>
          </w:tcPr>
          <w:p w14:paraId="4BCE31CB">
            <w:pPr>
              <w:jc w:val="center"/>
              <w:rPr>
                <w:szCs w:val="21"/>
              </w:rPr>
            </w:pPr>
            <w:r>
              <w:rPr>
                <w:rFonts w:hint="eastAsia"/>
                <w:szCs w:val="21"/>
              </w:rPr>
              <w:t>单位</w:t>
            </w:r>
          </w:p>
        </w:tc>
        <w:tc>
          <w:tcPr>
            <w:tcW w:w="917" w:type="dxa"/>
            <w:vAlign w:val="center"/>
          </w:tcPr>
          <w:p w14:paraId="4077E8DD">
            <w:pPr>
              <w:jc w:val="center"/>
              <w:rPr>
                <w:bCs/>
                <w:szCs w:val="21"/>
              </w:rPr>
            </w:pPr>
            <w:r>
              <w:rPr>
                <w:rFonts w:hint="eastAsia"/>
                <w:szCs w:val="21"/>
              </w:rPr>
              <w:t>单价(元)</w:t>
            </w:r>
          </w:p>
        </w:tc>
        <w:tc>
          <w:tcPr>
            <w:tcW w:w="967" w:type="dxa"/>
            <w:vAlign w:val="center"/>
          </w:tcPr>
          <w:p w14:paraId="02CC2EBC">
            <w:pPr>
              <w:jc w:val="center"/>
              <w:rPr>
                <w:bCs/>
                <w:szCs w:val="21"/>
              </w:rPr>
            </w:pPr>
            <w:r>
              <w:rPr>
                <w:rFonts w:hint="eastAsia"/>
                <w:szCs w:val="21"/>
              </w:rPr>
              <w:t>合价(元)</w:t>
            </w:r>
          </w:p>
        </w:tc>
      </w:tr>
      <w:tr w14:paraId="3A2E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0" w:type="dxa"/>
            <w:gridSpan w:val="11"/>
            <w:vAlign w:val="center"/>
          </w:tcPr>
          <w:p w14:paraId="1E054E1F">
            <w:pPr>
              <w:jc w:val="center"/>
              <w:rPr>
                <w:bCs/>
                <w:szCs w:val="21"/>
              </w:rPr>
            </w:pPr>
          </w:p>
        </w:tc>
      </w:tr>
      <w:tr w14:paraId="46FA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17CE1C2">
            <w:pPr>
              <w:snapToGrid w:val="0"/>
              <w:jc w:val="center"/>
              <w:rPr>
                <w:rFonts w:hint="eastAsia" w:ascii="新宋体" w:hAnsi="宋体" w:eastAsia="新宋体" w:cs="宋体"/>
                <w:kern w:val="2"/>
                <w:sz w:val="20"/>
                <w:szCs w:val="21"/>
                <w:lang w:val="en-US" w:eastAsia="zh-CN" w:bidi="ar-SA"/>
              </w:rPr>
            </w:pPr>
          </w:p>
        </w:tc>
        <w:tc>
          <w:tcPr>
            <w:tcW w:w="720" w:type="dxa"/>
            <w:vMerge w:val="restart"/>
            <w:vAlign w:val="center"/>
          </w:tcPr>
          <w:p w14:paraId="1AA83299">
            <w:pPr>
              <w:jc w:val="center"/>
              <w:rPr>
                <w:bCs/>
                <w:szCs w:val="21"/>
              </w:rPr>
            </w:pPr>
          </w:p>
        </w:tc>
        <w:tc>
          <w:tcPr>
            <w:tcW w:w="1440" w:type="dxa"/>
            <w:shd w:val="clear" w:color="auto" w:fill="auto"/>
            <w:vAlign w:val="center"/>
          </w:tcPr>
          <w:p w14:paraId="33510985">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E77ED78">
            <w:pPr>
              <w:widowControl/>
              <w:jc w:val="center"/>
              <w:textAlignment w:val="center"/>
              <w:rPr>
                <w:bCs/>
                <w:szCs w:val="21"/>
              </w:rPr>
            </w:pPr>
          </w:p>
        </w:tc>
        <w:tc>
          <w:tcPr>
            <w:tcW w:w="792" w:type="dxa"/>
            <w:vAlign w:val="center"/>
          </w:tcPr>
          <w:p w14:paraId="0A350A3C">
            <w:pPr>
              <w:widowControl/>
              <w:adjustRightInd w:val="0"/>
              <w:snapToGrid w:val="0"/>
              <w:jc w:val="center"/>
              <w:rPr>
                <w:bCs/>
                <w:szCs w:val="21"/>
              </w:rPr>
            </w:pPr>
          </w:p>
        </w:tc>
        <w:tc>
          <w:tcPr>
            <w:tcW w:w="696" w:type="dxa"/>
            <w:vAlign w:val="center"/>
          </w:tcPr>
          <w:p w14:paraId="5E66C1AF">
            <w:pPr>
              <w:jc w:val="center"/>
              <w:rPr>
                <w:bCs/>
                <w:szCs w:val="21"/>
              </w:rPr>
            </w:pPr>
          </w:p>
        </w:tc>
        <w:tc>
          <w:tcPr>
            <w:tcW w:w="552" w:type="dxa"/>
            <w:vAlign w:val="center"/>
          </w:tcPr>
          <w:p w14:paraId="5E563AD4">
            <w:pPr>
              <w:jc w:val="center"/>
              <w:rPr>
                <w:bCs/>
                <w:szCs w:val="21"/>
              </w:rPr>
            </w:pPr>
          </w:p>
        </w:tc>
        <w:tc>
          <w:tcPr>
            <w:tcW w:w="636" w:type="dxa"/>
            <w:shd w:val="clear" w:color="auto" w:fill="auto"/>
            <w:vAlign w:val="center"/>
          </w:tcPr>
          <w:p w14:paraId="05A50663">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C411A78">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4E4EC6D8">
            <w:pPr>
              <w:jc w:val="center"/>
              <w:rPr>
                <w:bCs/>
                <w:szCs w:val="21"/>
              </w:rPr>
            </w:pPr>
          </w:p>
        </w:tc>
        <w:tc>
          <w:tcPr>
            <w:tcW w:w="967" w:type="dxa"/>
            <w:vAlign w:val="center"/>
          </w:tcPr>
          <w:p w14:paraId="56082DFB">
            <w:pPr>
              <w:jc w:val="center"/>
              <w:rPr>
                <w:bCs/>
                <w:szCs w:val="21"/>
              </w:rPr>
            </w:pPr>
          </w:p>
        </w:tc>
      </w:tr>
      <w:tr w14:paraId="76DA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2823FC87">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6B25287">
            <w:pPr>
              <w:jc w:val="center"/>
              <w:rPr>
                <w:bCs/>
                <w:szCs w:val="21"/>
              </w:rPr>
            </w:pPr>
          </w:p>
        </w:tc>
        <w:tc>
          <w:tcPr>
            <w:tcW w:w="1440" w:type="dxa"/>
            <w:shd w:val="clear" w:color="auto" w:fill="auto"/>
            <w:vAlign w:val="center"/>
          </w:tcPr>
          <w:p w14:paraId="26504E0C">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740D1B9">
            <w:pPr>
              <w:widowControl/>
              <w:jc w:val="center"/>
              <w:textAlignment w:val="center"/>
              <w:rPr>
                <w:bCs/>
                <w:szCs w:val="21"/>
              </w:rPr>
            </w:pPr>
          </w:p>
        </w:tc>
        <w:tc>
          <w:tcPr>
            <w:tcW w:w="792" w:type="dxa"/>
            <w:vAlign w:val="center"/>
          </w:tcPr>
          <w:p w14:paraId="0248F15A">
            <w:pPr>
              <w:widowControl/>
              <w:adjustRightInd w:val="0"/>
              <w:snapToGrid w:val="0"/>
              <w:jc w:val="center"/>
              <w:rPr>
                <w:bCs/>
                <w:szCs w:val="21"/>
              </w:rPr>
            </w:pPr>
          </w:p>
        </w:tc>
        <w:tc>
          <w:tcPr>
            <w:tcW w:w="696" w:type="dxa"/>
            <w:vAlign w:val="center"/>
          </w:tcPr>
          <w:p w14:paraId="1886DD81">
            <w:pPr>
              <w:jc w:val="center"/>
              <w:rPr>
                <w:bCs/>
                <w:szCs w:val="21"/>
              </w:rPr>
            </w:pPr>
          </w:p>
        </w:tc>
        <w:tc>
          <w:tcPr>
            <w:tcW w:w="552" w:type="dxa"/>
            <w:vAlign w:val="center"/>
          </w:tcPr>
          <w:p w14:paraId="05CE0C01">
            <w:pPr>
              <w:jc w:val="center"/>
              <w:rPr>
                <w:bCs/>
                <w:szCs w:val="21"/>
              </w:rPr>
            </w:pPr>
          </w:p>
        </w:tc>
        <w:tc>
          <w:tcPr>
            <w:tcW w:w="636" w:type="dxa"/>
            <w:shd w:val="clear" w:color="auto" w:fill="auto"/>
            <w:vAlign w:val="center"/>
          </w:tcPr>
          <w:p w14:paraId="712391E3">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8218925">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D759FA1">
            <w:pPr>
              <w:jc w:val="center"/>
              <w:rPr>
                <w:bCs/>
                <w:szCs w:val="21"/>
              </w:rPr>
            </w:pPr>
          </w:p>
        </w:tc>
        <w:tc>
          <w:tcPr>
            <w:tcW w:w="967" w:type="dxa"/>
            <w:vAlign w:val="center"/>
          </w:tcPr>
          <w:p w14:paraId="6B425DCE">
            <w:pPr>
              <w:jc w:val="center"/>
              <w:rPr>
                <w:bCs/>
                <w:szCs w:val="21"/>
              </w:rPr>
            </w:pPr>
          </w:p>
        </w:tc>
      </w:tr>
      <w:tr w14:paraId="1552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77BFD3BA">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09C14A8">
            <w:pPr>
              <w:jc w:val="center"/>
              <w:rPr>
                <w:bCs/>
                <w:szCs w:val="21"/>
              </w:rPr>
            </w:pPr>
          </w:p>
        </w:tc>
        <w:tc>
          <w:tcPr>
            <w:tcW w:w="1440" w:type="dxa"/>
            <w:shd w:val="clear" w:color="auto" w:fill="auto"/>
            <w:vAlign w:val="center"/>
          </w:tcPr>
          <w:p w14:paraId="6244F9DE">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7FB8911">
            <w:pPr>
              <w:widowControl/>
              <w:jc w:val="center"/>
              <w:textAlignment w:val="center"/>
              <w:rPr>
                <w:bCs/>
                <w:szCs w:val="21"/>
              </w:rPr>
            </w:pPr>
          </w:p>
        </w:tc>
        <w:tc>
          <w:tcPr>
            <w:tcW w:w="792" w:type="dxa"/>
            <w:vAlign w:val="center"/>
          </w:tcPr>
          <w:p w14:paraId="24BE60BD">
            <w:pPr>
              <w:widowControl/>
              <w:adjustRightInd w:val="0"/>
              <w:snapToGrid w:val="0"/>
              <w:jc w:val="center"/>
              <w:rPr>
                <w:bCs/>
                <w:szCs w:val="21"/>
              </w:rPr>
            </w:pPr>
          </w:p>
        </w:tc>
        <w:tc>
          <w:tcPr>
            <w:tcW w:w="696" w:type="dxa"/>
            <w:vAlign w:val="center"/>
          </w:tcPr>
          <w:p w14:paraId="25E5F69E">
            <w:pPr>
              <w:jc w:val="center"/>
              <w:rPr>
                <w:bCs/>
                <w:szCs w:val="21"/>
              </w:rPr>
            </w:pPr>
          </w:p>
        </w:tc>
        <w:tc>
          <w:tcPr>
            <w:tcW w:w="552" w:type="dxa"/>
            <w:vAlign w:val="center"/>
          </w:tcPr>
          <w:p w14:paraId="55DBCA69">
            <w:pPr>
              <w:jc w:val="center"/>
              <w:rPr>
                <w:bCs/>
                <w:szCs w:val="21"/>
              </w:rPr>
            </w:pPr>
          </w:p>
        </w:tc>
        <w:tc>
          <w:tcPr>
            <w:tcW w:w="636" w:type="dxa"/>
            <w:shd w:val="clear" w:color="auto" w:fill="auto"/>
            <w:vAlign w:val="center"/>
          </w:tcPr>
          <w:p w14:paraId="2FEA4C34">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45257AEF">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A5F49BE">
            <w:pPr>
              <w:jc w:val="center"/>
              <w:rPr>
                <w:bCs/>
                <w:szCs w:val="21"/>
              </w:rPr>
            </w:pPr>
          </w:p>
        </w:tc>
        <w:tc>
          <w:tcPr>
            <w:tcW w:w="967" w:type="dxa"/>
            <w:vAlign w:val="center"/>
          </w:tcPr>
          <w:p w14:paraId="1D4DBE20">
            <w:pPr>
              <w:jc w:val="center"/>
              <w:rPr>
                <w:bCs/>
                <w:szCs w:val="21"/>
              </w:rPr>
            </w:pPr>
          </w:p>
        </w:tc>
      </w:tr>
      <w:tr w14:paraId="5A7F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D74EA9C">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D2EE77D">
            <w:pPr>
              <w:jc w:val="center"/>
              <w:rPr>
                <w:bCs/>
                <w:szCs w:val="21"/>
              </w:rPr>
            </w:pPr>
          </w:p>
        </w:tc>
        <w:tc>
          <w:tcPr>
            <w:tcW w:w="1440" w:type="dxa"/>
            <w:shd w:val="clear" w:color="auto" w:fill="auto"/>
            <w:vAlign w:val="center"/>
          </w:tcPr>
          <w:p w14:paraId="1C140F0B">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2C64D92">
            <w:pPr>
              <w:widowControl/>
              <w:jc w:val="center"/>
              <w:textAlignment w:val="center"/>
              <w:rPr>
                <w:bCs/>
                <w:szCs w:val="21"/>
              </w:rPr>
            </w:pPr>
          </w:p>
        </w:tc>
        <w:tc>
          <w:tcPr>
            <w:tcW w:w="792" w:type="dxa"/>
            <w:vAlign w:val="center"/>
          </w:tcPr>
          <w:p w14:paraId="5C802599">
            <w:pPr>
              <w:widowControl/>
              <w:adjustRightInd w:val="0"/>
              <w:snapToGrid w:val="0"/>
              <w:jc w:val="center"/>
              <w:rPr>
                <w:bCs/>
                <w:szCs w:val="21"/>
              </w:rPr>
            </w:pPr>
          </w:p>
        </w:tc>
        <w:tc>
          <w:tcPr>
            <w:tcW w:w="696" w:type="dxa"/>
            <w:vAlign w:val="center"/>
          </w:tcPr>
          <w:p w14:paraId="33B07F9F">
            <w:pPr>
              <w:jc w:val="center"/>
              <w:rPr>
                <w:bCs/>
                <w:szCs w:val="21"/>
              </w:rPr>
            </w:pPr>
          </w:p>
        </w:tc>
        <w:tc>
          <w:tcPr>
            <w:tcW w:w="552" w:type="dxa"/>
            <w:vAlign w:val="center"/>
          </w:tcPr>
          <w:p w14:paraId="77431381">
            <w:pPr>
              <w:jc w:val="center"/>
              <w:rPr>
                <w:bCs/>
                <w:szCs w:val="21"/>
              </w:rPr>
            </w:pPr>
          </w:p>
        </w:tc>
        <w:tc>
          <w:tcPr>
            <w:tcW w:w="636" w:type="dxa"/>
            <w:shd w:val="clear" w:color="auto" w:fill="auto"/>
            <w:vAlign w:val="center"/>
          </w:tcPr>
          <w:p w14:paraId="27D99278">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CFC0151">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47385873">
            <w:pPr>
              <w:jc w:val="center"/>
              <w:rPr>
                <w:bCs/>
                <w:szCs w:val="21"/>
              </w:rPr>
            </w:pPr>
          </w:p>
        </w:tc>
        <w:tc>
          <w:tcPr>
            <w:tcW w:w="967" w:type="dxa"/>
            <w:vAlign w:val="center"/>
          </w:tcPr>
          <w:p w14:paraId="705EA651">
            <w:pPr>
              <w:jc w:val="center"/>
              <w:rPr>
                <w:bCs/>
                <w:szCs w:val="21"/>
              </w:rPr>
            </w:pPr>
          </w:p>
        </w:tc>
      </w:tr>
      <w:tr w14:paraId="0108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6F123F7">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689A5807">
            <w:pPr>
              <w:jc w:val="center"/>
              <w:rPr>
                <w:bCs/>
                <w:szCs w:val="21"/>
              </w:rPr>
            </w:pPr>
          </w:p>
        </w:tc>
        <w:tc>
          <w:tcPr>
            <w:tcW w:w="1440" w:type="dxa"/>
            <w:shd w:val="clear" w:color="auto" w:fill="auto"/>
            <w:vAlign w:val="center"/>
          </w:tcPr>
          <w:p w14:paraId="71E73944">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DB4BAA0">
            <w:pPr>
              <w:widowControl/>
              <w:jc w:val="center"/>
              <w:textAlignment w:val="center"/>
              <w:rPr>
                <w:bCs/>
                <w:szCs w:val="21"/>
              </w:rPr>
            </w:pPr>
          </w:p>
        </w:tc>
        <w:tc>
          <w:tcPr>
            <w:tcW w:w="792" w:type="dxa"/>
            <w:vAlign w:val="center"/>
          </w:tcPr>
          <w:p w14:paraId="7CE3405D">
            <w:pPr>
              <w:widowControl/>
              <w:adjustRightInd w:val="0"/>
              <w:snapToGrid w:val="0"/>
              <w:jc w:val="center"/>
              <w:rPr>
                <w:bCs/>
                <w:szCs w:val="21"/>
              </w:rPr>
            </w:pPr>
          </w:p>
        </w:tc>
        <w:tc>
          <w:tcPr>
            <w:tcW w:w="696" w:type="dxa"/>
            <w:vAlign w:val="center"/>
          </w:tcPr>
          <w:p w14:paraId="378E8C32">
            <w:pPr>
              <w:jc w:val="center"/>
              <w:rPr>
                <w:bCs/>
                <w:szCs w:val="21"/>
              </w:rPr>
            </w:pPr>
          </w:p>
        </w:tc>
        <w:tc>
          <w:tcPr>
            <w:tcW w:w="552" w:type="dxa"/>
            <w:vAlign w:val="center"/>
          </w:tcPr>
          <w:p w14:paraId="498336DF">
            <w:pPr>
              <w:jc w:val="center"/>
              <w:rPr>
                <w:bCs/>
                <w:szCs w:val="21"/>
              </w:rPr>
            </w:pPr>
          </w:p>
        </w:tc>
        <w:tc>
          <w:tcPr>
            <w:tcW w:w="636" w:type="dxa"/>
            <w:shd w:val="clear" w:color="auto" w:fill="auto"/>
            <w:vAlign w:val="center"/>
          </w:tcPr>
          <w:p w14:paraId="199F57C3">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64E2A90">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3174D84">
            <w:pPr>
              <w:jc w:val="center"/>
              <w:rPr>
                <w:bCs/>
                <w:szCs w:val="21"/>
              </w:rPr>
            </w:pPr>
          </w:p>
        </w:tc>
        <w:tc>
          <w:tcPr>
            <w:tcW w:w="967" w:type="dxa"/>
            <w:vAlign w:val="center"/>
          </w:tcPr>
          <w:p w14:paraId="45D4F35B">
            <w:pPr>
              <w:jc w:val="center"/>
              <w:rPr>
                <w:bCs/>
                <w:szCs w:val="21"/>
              </w:rPr>
            </w:pPr>
          </w:p>
        </w:tc>
      </w:tr>
      <w:tr w14:paraId="26F2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AA3C705">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9DAB9B6">
            <w:pPr>
              <w:jc w:val="center"/>
              <w:rPr>
                <w:bCs/>
                <w:szCs w:val="21"/>
              </w:rPr>
            </w:pPr>
          </w:p>
        </w:tc>
        <w:tc>
          <w:tcPr>
            <w:tcW w:w="1440" w:type="dxa"/>
            <w:shd w:val="clear" w:color="auto" w:fill="auto"/>
            <w:vAlign w:val="center"/>
          </w:tcPr>
          <w:p w14:paraId="600C520C">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BE25DDE">
            <w:pPr>
              <w:widowControl/>
              <w:jc w:val="center"/>
              <w:textAlignment w:val="center"/>
              <w:rPr>
                <w:bCs/>
                <w:szCs w:val="21"/>
              </w:rPr>
            </w:pPr>
          </w:p>
        </w:tc>
        <w:tc>
          <w:tcPr>
            <w:tcW w:w="792" w:type="dxa"/>
            <w:vAlign w:val="center"/>
          </w:tcPr>
          <w:p w14:paraId="425F7070">
            <w:pPr>
              <w:widowControl/>
              <w:adjustRightInd w:val="0"/>
              <w:snapToGrid w:val="0"/>
              <w:jc w:val="center"/>
              <w:rPr>
                <w:bCs/>
                <w:szCs w:val="21"/>
              </w:rPr>
            </w:pPr>
          </w:p>
        </w:tc>
        <w:tc>
          <w:tcPr>
            <w:tcW w:w="696" w:type="dxa"/>
            <w:vAlign w:val="center"/>
          </w:tcPr>
          <w:p w14:paraId="65D7D863">
            <w:pPr>
              <w:jc w:val="center"/>
              <w:rPr>
                <w:bCs/>
                <w:szCs w:val="21"/>
              </w:rPr>
            </w:pPr>
          </w:p>
        </w:tc>
        <w:tc>
          <w:tcPr>
            <w:tcW w:w="552" w:type="dxa"/>
            <w:vAlign w:val="center"/>
          </w:tcPr>
          <w:p w14:paraId="000304E5">
            <w:pPr>
              <w:jc w:val="center"/>
              <w:rPr>
                <w:bCs/>
                <w:szCs w:val="21"/>
              </w:rPr>
            </w:pPr>
          </w:p>
        </w:tc>
        <w:tc>
          <w:tcPr>
            <w:tcW w:w="636" w:type="dxa"/>
            <w:shd w:val="clear" w:color="auto" w:fill="auto"/>
            <w:vAlign w:val="center"/>
          </w:tcPr>
          <w:p w14:paraId="5A9DE2EC">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7E2B76A">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DCF91E7">
            <w:pPr>
              <w:jc w:val="center"/>
              <w:rPr>
                <w:bCs/>
                <w:szCs w:val="21"/>
              </w:rPr>
            </w:pPr>
          </w:p>
        </w:tc>
        <w:tc>
          <w:tcPr>
            <w:tcW w:w="967" w:type="dxa"/>
            <w:vAlign w:val="center"/>
          </w:tcPr>
          <w:p w14:paraId="1CD0F9EC">
            <w:pPr>
              <w:jc w:val="center"/>
              <w:rPr>
                <w:bCs/>
                <w:szCs w:val="21"/>
              </w:rPr>
            </w:pPr>
          </w:p>
        </w:tc>
      </w:tr>
      <w:tr w14:paraId="7654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80D293F">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3CBDE19">
            <w:pPr>
              <w:jc w:val="center"/>
              <w:rPr>
                <w:bCs/>
                <w:szCs w:val="21"/>
              </w:rPr>
            </w:pPr>
          </w:p>
        </w:tc>
        <w:tc>
          <w:tcPr>
            <w:tcW w:w="1440" w:type="dxa"/>
            <w:shd w:val="clear" w:color="auto" w:fill="auto"/>
            <w:vAlign w:val="center"/>
          </w:tcPr>
          <w:p w14:paraId="2E3E308D">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247C3E8">
            <w:pPr>
              <w:widowControl/>
              <w:jc w:val="center"/>
              <w:textAlignment w:val="center"/>
              <w:rPr>
                <w:bCs/>
                <w:szCs w:val="21"/>
              </w:rPr>
            </w:pPr>
          </w:p>
        </w:tc>
        <w:tc>
          <w:tcPr>
            <w:tcW w:w="792" w:type="dxa"/>
            <w:vAlign w:val="center"/>
          </w:tcPr>
          <w:p w14:paraId="5407ADB7">
            <w:pPr>
              <w:widowControl/>
              <w:adjustRightInd w:val="0"/>
              <w:snapToGrid w:val="0"/>
              <w:jc w:val="center"/>
              <w:rPr>
                <w:bCs/>
                <w:szCs w:val="21"/>
              </w:rPr>
            </w:pPr>
          </w:p>
        </w:tc>
        <w:tc>
          <w:tcPr>
            <w:tcW w:w="696" w:type="dxa"/>
            <w:vAlign w:val="center"/>
          </w:tcPr>
          <w:p w14:paraId="177005D8">
            <w:pPr>
              <w:jc w:val="center"/>
              <w:rPr>
                <w:bCs/>
                <w:szCs w:val="21"/>
              </w:rPr>
            </w:pPr>
          </w:p>
        </w:tc>
        <w:tc>
          <w:tcPr>
            <w:tcW w:w="552" w:type="dxa"/>
            <w:vAlign w:val="center"/>
          </w:tcPr>
          <w:p w14:paraId="765623C7">
            <w:pPr>
              <w:jc w:val="center"/>
              <w:rPr>
                <w:bCs/>
                <w:szCs w:val="21"/>
              </w:rPr>
            </w:pPr>
          </w:p>
        </w:tc>
        <w:tc>
          <w:tcPr>
            <w:tcW w:w="636" w:type="dxa"/>
            <w:shd w:val="clear" w:color="auto" w:fill="auto"/>
            <w:vAlign w:val="center"/>
          </w:tcPr>
          <w:p w14:paraId="14826A07">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A527684">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B42E7DF">
            <w:pPr>
              <w:jc w:val="center"/>
              <w:rPr>
                <w:bCs/>
                <w:szCs w:val="21"/>
              </w:rPr>
            </w:pPr>
          </w:p>
        </w:tc>
        <w:tc>
          <w:tcPr>
            <w:tcW w:w="967" w:type="dxa"/>
            <w:vAlign w:val="center"/>
          </w:tcPr>
          <w:p w14:paraId="0F36E201">
            <w:pPr>
              <w:jc w:val="center"/>
              <w:rPr>
                <w:bCs/>
                <w:szCs w:val="21"/>
              </w:rPr>
            </w:pPr>
          </w:p>
        </w:tc>
      </w:tr>
      <w:tr w14:paraId="7084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E78A64E">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F8B9486">
            <w:pPr>
              <w:jc w:val="center"/>
              <w:rPr>
                <w:bCs/>
                <w:szCs w:val="21"/>
              </w:rPr>
            </w:pPr>
          </w:p>
        </w:tc>
        <w:tc>
          <w:tcPr>
            <w:tcW w:w="1440" w:type="dxa"/>
            <w:shd w:val="clear" w:color="auto" w:fill="auto"/>
            <w:vAlign w:val="center"/>
          </w:tcPr>
          <w:p w14:paraId="6732B0D3">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FB03D20">
            <w:pPr>
              <w:widowControl/>
              <w:jc w:val="center"/>
              <w:textAlignment w:val="center"/>
              <w:rPr>
                <w:bCs/>
                <w:szCs w:val="21"/>
              </w:rPr>
            </w:pPr>
          </w:p>
        </w:tc>
        <w:tc>
          <w:tcPr>
            <w:tcW w:w="792" w:type="dxa"/>
            <w:vAlign w:val="center"/>
          </w:tcPr>
          <w:p w14:paraId="68C9A7FE">
            <w:pPr>
              <w:widowControl/>
              <w:adjustRightInd w:val="0"/>
              <w:snapToGrid w:val="0"/>
              <w:jc w:val="center"/>
              <w:rPr>
                <w:bCs/>
                <w:szCs w:val="21"/>
              </w:rPr>
            </w:pPr>
          </w:p>
        </w:tc>
        <w:tc>
          <w:tcPr>
            <w:tcW w:w="696" w:type="dxa"/>
            <w:vAlign w:val="center"/>
          </w:tcPr>
          <w:p w14:paraId="0DF36533">
            <w:pPr>
              <w:jc w:val="center"/>
              <w:rPr>
                <w:bCs/>
                <w:szCs w:val="21"/>
              </w:rPr>
            </w:pPr>
          </w:p>
        </w:tc>
        <w:tc>
          <w:tcPr>
            <w:tcW w:w="552" w:type="dxa"/>
            <w:vAlign w:val="center"/>
          </w:tcPr>
          <w:p w14:paraId="2B14FCDE">
            <w:pPr>
              <w:jc w:val="center"/>
              <w:rPr>
                <w:bCs/>
                <w:szCs w:val="21"/>
              </w:rPr>
            </w:pPr>
          </w:p>
        </w:tc>
        <w:tc>
          <w:tcPr>
            <w:tcW w:w="636" w:type="dxa"/>
            <w:shd w:val="clear" w:color="auto" w:fill="auto"/>
            <w:vAlign w:val="center"/>
          </w:tcPr>
          <w:p w14:paraId="4B6F8EB4">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3928DD7">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05A36EEB">
            <w:pPr>
              <w:jc w:val="center"/>
              <w:rPr>
                <w:bCs/>
                <w:szCs w:val="21"/>
              </w:rPr>
            </w:pPr>
          </w:p>
        </w:tc>
        <w:tc>
          <w:tcPr>
            <w:tcW w:w="967" w:type="dxa"/>
            <w:vAlign w:val="center"/>
          </w:tcPr>
          <w:p w14:paraId="0D2C2D7D">
            <w:pPr>
              <w:jc w:val="center"/>
              <w:rPr>
                <w:bCs/>
                <w:szCs w:val="21"/>
              </w:rPr>
            </w:pPr>
          </w:p>
        </w:tc>
      </w:tr>
      <w:tr w14:paraId="61DE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5D0018F">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C350C3A">
            <w:pPr>
              <w:jc w:val="center"/>
              <w:rPr>
                <w:bCs/>
                <w:szCs w:val="21"/>
              </w:rPr>
            </w:pPr>
          </w:p>
        </w:tc>
        <w:tc>
          <w:tcPr>
            <w:tcW w:w="1440" w:type="dxa"/>
            <w:shd w:val="clear" w:color="auto" w:fill="auto"/>
            <w:vAlign w:val="center"/>
          </w:tcPr>
          <w:p w14:paraId="1E180523">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006E464">
            <w:pPr>
              <w:widowControl/>
              <w:jc w:val="center"/>
              <w:textAlignment w:val="center"/>
              <w:rPr>
                <w:bCs/>
                <w:szCs w:val="21"/>
              </w:rPr>
            </w:pPr>
          </w:p>
        </w:tc>
        <w:tc>
          <w:tcPr>
            <w:tcW w:w="792" w:type="dxa"/>
            <w:vAlign w:val="center"/>
          </w:tcPr>
          <w:p w14:paraId="78A81B82">
            <w:pPr>
              <w:widowControl/>
              <w:adjustRightInd w:val="0"/>
              <w:snapToGrid w:val="0"/>
              <w:jc w:val="center"/>
              <w:rPr>
                <w:bCs/>
                <w:szCs w:val="21"/>
              </w:rPr>
            </w:pPr>
          </w:p>
        </w:tc>
        <w:tc>
          <w:tcPr>
            <w:tcW w:w="696" w:type="dxa"/>
            <w:vAlign w:val="center"/>
          </w:tcPr>
          <w:p w14:paraId="1343B194">
            <w:pPr>
              <w:jc w:val="center"/>
              <w:rPr>
                <w:bCs/>
                <w:szCs w:val="21"/>
              </w:rPr>
            </w:pPr>
          </w:p>
        </w:tc>
        <w:tc>
          <w:tcPr>
            <w:tcW w:w="552" w:type="dxa"/>
            <w:vAlign w:val="center"/>
          </w:tcPr>
          <w:p w14:paraId="52106719">
            <w:pPr>
              <w:jc w:val="center"/>
              <w:rPr>
                <w:bCs/>
                <w:szCs w:val="21"/>
              </w:rPr>
            </w:pPr>
          </w:p>
        </w:tc>
        <w:tc>
          <w:tcPr>
            <w:tcW w:w="636" w:type="dxa"/>
            <w:shd w:val="clear" w:color="auto" w:fill="auto"/>
            <w:vAlign w:val="center"/>
          </w:tcPr>
          <w:p w14:paraId="17DC6BA2">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4164B849">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436E582">
            <w:pPr>
              <w:jc w:val="center"/>
              <w:rPr>
                <w:bCs/>
                <w:szCs w:val="21"/>
              </w:rPr>
            </w:pPr>
          </w:p>
        </w:tc>
        <w:tc>
          <w:tcPr>
            <w:tcW w:w="967" w:type="dxa"/>
            <w:vAlign w:val="center"/>
          </w:tcPr>
          <w:p w14:paraId="10F91882">
            <w:pPr>
              <w:jc w:val="center"/>
              <w:rPr>
                <w:bCs/>
                <w:szCs w:val="21"/>
              </w:rPr>
            </w:pPr>
          </w:p>
        </w:tc>
      </w:tr>
      <w:tr w14:paraId="6EFC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0B9A840">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AB297BA">
            <w:pPr>
              <w:jc w:val="center"/>
              <w:rPr>
                <w:bCs/>
                <w:szCs w:val="21"/>
              </w:rPr>
            </w:pPr>
          </w:p>
        </w:tc>
        <w:tc>
          <w:tcPr>
            <w:tcW w:w="1440" w:type="dxa"/>
            <w:shd w:val="clear" w:color="auto" w:fill="auto"/>
            <w:vAlign w:val="center"/>
          </w:tcPr>
          <w:p w14:paraId="616B7416">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6E1AFEE">
            <w:pPr>
              <w:widowControl/>
              <w:jc w:val="center"/>
              <w:textAlignment w:val="center"/>
              <w:rPr>
                <w:bCs/>
                <w:szCs w:val="21"/>
              </w:rPr>
            </w:pPr>
          </w:p>
        </w:tc>
        <w:tc>
          <w:tcPr>
            <w:tcW w:w="792" w:type="dxa"/>
            <w:vAlign w:val="center"/>
          </w:tcPr>
          <w:p w14:paraId="58DF9862">
            <w:pPr>
              <w:widowControl/>
              <w:adjustRightInd w:val="0"/>
              <w:snapToGrid w:val="0"/>
              <w:jc w:val="center"/>
              <w:rPr>
                <w:bCs/>
                <w:szCs w:val="21"/>
              </w:rPr>
            </w:pPr>
          </w:p>
        </w:tc>
        <w:tc>
          <w:tcPr>
            <w:tcW w:w="696" w:type="dxa"/>
            <w:vAlign w:val="center"/>
          </w:tcPr>
          <w:p w14:paraId="33CE44F0">
            <w:pPr>
              <w:jc w:val="center"/>
              <w:rPr>
                <w:bCs/>
                <w:szCs w:val="21"/>
              </w:rPr>
            </w:pPr>
          </w:p>
        </w:tc>
        <w:tc>
          <w:tcPr>
            <w:tcW w:w="552" w:type="dxa"/>
            <w:vAlign w:val="center"/>
          </w:tcPr>
          <w:p w14:paraId="7F901452">
            <w:pPr>
              <w:jc w:val="center"/>
              <w:rPr>
                <w:bCs/>
                <w:szCs w:val="21"/>
              </w:rPr>
            </w:pPr>
          </w:p>
        </w:tc>
        <w:tc>
          <w:tcPr>
            <w:tcW w:w="636" w:type="dxa"/>
            <w:shd w:val="clear" w:color="auto" w:fill="auto"/>
            <w:vAlign w:val="center"/>
          </w:tcPr>
          <w:p w14:paraId="6ED13EDA">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616358C">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924A8B1">
            <w:pPr>
              <w:jc w:val="center"/>
              <w:rPr>
                <w:bCs/>
                <w:szCs w:val="21"/>
              </w:rPr>
            </w:pPr>
          </w:p>
        </w:tc>
        <w:tc>
          <w:tcPr>
            <w:tcW w:w="967" w:type="dxa"/>
            <w:vAlign w:val="center"/>
          </w:tcPr>
          <w:p w14:paraId="1D395042">
            <w:pPr>
              <w:jc w:val="center"/>
              <w:rPr>
                <w:bCs/>
                <w:szCs w:val="21"/>
              </w:rPr>
            </w:pPr>
          </w:p>
        </w:tc>
      </w:tr>
      <w:tr w14:paraId="4ABF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A72F331">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6778E919">
            <w:pPr>
              <w:jc w:val="center"/>
              <w:rPr>
                <w:bCs/>
                <w:szCs w:val="21"/>
              </w:rPr>
            </w:pPr>
          </w:p>
        </w:tc>
        <w:tc>
          <w:tcPr>
            <w:tcW w:w="1440" w:type="dxa"/>
            <w:shd w:val="clear" w:color="auto" w:fill="auto"/>
            <w:vAlign w:val="center"/>
          </w:tcPr>
          <w:p w14:paraId="4DEEDABA">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E7E1BF2">
            <w:pPr>
              <w:widowControl/>
              <w:jc w:val="center"/>
              <w:textAlignment w:val="center"/>
              <w:rPr>
                <w:bCs/>
                <w:szCs w:val="21"/>
              </w:rPr>
            </w:pPr>
          </w:p>
        </w:tc>
        <w:tc>
          <w:tcPr>
            <w:tcW w:w="792" w:type="dxa"/>
            <w:vAlign w:val="center"/>
          </w:tcPr>
          <w:p w14:paraId="45DC3BE4">
            <w:pPr>
              <w:widowControl/>
              <w:adjustRightInd w:val="0"/>
              <w:snapToGrid w:val="0"/>
              <w:jc w:val="center"/>
              <w:rPr>
                <w:bCs/>
                <w:szCs w:val="21"/>
              </w:rPr>
            </w:pPr>
          </w:p>
        </w:tc>
        <w:tc>
          <w:tcPr>
            <w:tcW w:w="696" w:type="dxa"/>
            <w:vAlign w:val="center"/>
          </w:tcPr>
          <w:p w14:paraId="7B53E745">
            <w:pPr>
              <w:jc w:val="center"/>
              <w:rPr>
                <w:bCs/>
                <w:szCs w:val="21"/>
              </w:rPr>
            </w:pPr>
          </w:p>
        </w:tc>
        <w:tc>
          <w:tcPr>
            <w:tcW w:w="552" w:type="dxa"/>
            <w:vAlign w:val="center"/>
          </w:tcPr>
          <w:p w14:paraId="042FC71F">
            <w:pPr>
              <w:jc w:val="center"/>
              <w:rPr>
                <w:bCs/>
                <w:szCs w:val="21"/>
              </w:rPr>
            </w:pPr>
          </w:p>
        </w:tc>
        <w:tc>
          <w:tcPr>
            <w:tcW w:w="636" w:type="dxa"/>
            <w:shd w:val="clear" w:color="auto" w:fill="auto"/>
            <w:vAlign w:val="center"/>
          </w:tcPr>
          <w:p w14:paraId="1030ED08">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165EEF8">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124895E">
            <w:pPr>
              <w:jc w:val="center"/>
              <w:rPr>
                <w:bCs/>
                <w:szCs w:val="21"/>
              </w:rPr>
            </w:pPr>
          </w:p>
        </w:tc>
        <w:tc>
          <w:tcPr>
            <w:tcW w:w="967" w:type="dxa"/>
            <w:vAlign w:val="center"/>
          </w:tcPr>
          <w:p w14:paraId="6D3305ED">
            <w:pPr>
              <w:jc w:val="center"/>
              <w:rPr>
                <w:bCs/>
                <w:szCs w:val="21"/>
              </w:rPr>
            </w:pPr>
          </w:p>
        </w:tc>
      </w:tr>
      <w:tr w14:paraId="59A5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E5898FF">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DECF9D7">
            <w:pPr>
              <w:jc w:val="center"/>
              <w:rPr>
                <w:bCs/>
                <w:szCs w:val="21"/>
              </w:rPr>
            </w:pPr>
          </w:p>
        </w:tc>
        <w:tc>
          <w:tcPr>
            <w:tcW w:w="1440" w:type="dxa"/>
            <w:shd w:val="clear" w:color="auto" w:fill="auto"/>
            <w:vAlign w:val="center"/>
          </w:tcPr>
          <w:p w14:paraId="19006EF1">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047F4B8">
            <w:pPr>
              <w:widowControl/>
              <w:jc w:val="center"/>
              <w:textAlignment w:val="center"/>
              <w:rPr>
                <w:bCs/>
                <w:szCs w:val="21"/>
              </w:rPr>
            </w:pPr>
          </w:p>
        </w:tc>
        <w:tc>
          <w:tcPr>
            <w:tcW w:w="792" w:type="dxa"/>
            <w:vAlign w:val="center"/>
          </w:tcPr>
          <w:p w14:paraId="36350287">
            <w:pPr>
              <w:widowControl/>
              <w:adjustRightInd w:val="0"/>
              <w:snapToGrid w:val="0"/>
              <w:jc w:val="center"/>
              <w:rPr>
                <w:bCs/>
                <w:szCs w:val="21"/>
              </w:rPr>
            </w:pPr>
          </w:p>
        </w:tc>
        <w:tc>
          <w:tcPr>
            <w:tcW w:w="696" w:type="dxa"/>
            <w:vAlign w:val="center"/>
          </w:tcPr>
          <w:p w14:paraId="6D98B1FD">
            <w:pPr>
              <w:jc w:val="center"/>
              <w:rPr>
                <w:bCs/>
                <w:szCs w:val="21"/>
              </w:rPr>
            </w:pPr>
          </w:p>
        </w:tc>
        <w:tc>
          <w:tcPr>
            <w:tcW w:w="552" w:type="dxa"/>
            <w:vAlign w:val="center"/>
          </w:tcPr>
          <w:p w14:paraId="4C45E599">
            <w:pPr>
              <w:jc w:val="center"/>
              <w:rPr>
                <w:bCs/>
                <w:szCs w:val="21"/>
              </w:rPr>
            </w:pPr>
          </w:p>
        </w:tc>
        <w:tc>
          <w:tcPr>
            <w:tcW w:w="636" w:type="dxa"/>
            <w:shd w:val="clear" w:color="auto" w:fill="auto"/>
            <w:vAlign w:val="center"/>
          </w:tcPr>
          <w:p w14:paraId="1C3CC27B">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8658A98">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306E790">
            <w:pPr>
              <w:jc w:val="center"/>
              <w:rPr>
                <w:bCs/>
                <w:szCs w:val="21"/>
              </w:rPr>
            </w:pPr>
          </w:p>
        </w:tc>
        <w:tc>
          <w:tcPr>
            <w:tcW w:w="967" w:type="dxa"/>
            <w:vAlign w:val="center"/>
          </w:tcPr>
          <w:p w14:paraId="0428577E">
            <w:pPr>
              <w:jc w:val="center"/>
              <w:rPr>
                <w:bCs/>
                <w:szCs w:val="21"/>
              </w:rPr>
            </w:pPr>
          </w:p>
        </w:tc>
      </w:tr>
      <w:tr w14:paraId="47F7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D112229">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4CA7373">
            <w:pPr>
              <w:jc w:val="center"/>
              <w:rPr>
                <w:bCs/>
                <w:szCs w:val="21"/>
              </w:rPr>
            </w:pPr>
          </w:p>
        </w:tc>
        <w:tc>
          <w:tcPr>
            <w:tcW w:w="1440" w:type="dxa"/>
            <w:shd w:val="clear" w:color="auto" w:fill="auto"/>
            <w:vAlign w:val="center"/>
          </w:tcPr>
          <w:p w14:paraId="50808221">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0F3F128">
            <w:pPr>
              <w:widowControl/>
              <w:jc w:val="center"/>
              <w:textAlignment w:val="center"/>
              <w:rPr>
                <w:bCs/>
                <w:szCs w:val="21"/>
              </w:rPr>
            </w:pPr>
          </w:p>
        </w:tc>
        <w:tc>
          <w:tcPr>
            <w:tcW w:w="792" w:type="dxa"/>
            <w:vAlign w:val="center"/>
          </w:tcPr>
          <w:p w14:paraId="2D428DB9">
            <w:pPr>
              <w:widowControl/>
              <w:adjustRightInd w:val="0"/>
              <w:snapToGrid w:val="0"/>
              <w:jc w:val="center"/>
              <w:rPr>
                <w:bCs/>
                <w:szCs w:val="21"/>
              </w:rPr>
            </w:pPr>
          </w:p>
        </w:tc>
        <w:tc>
          <w:tcPr>
            <w:tcW w:w="696" w:type="dxa"/>
            <w:vAlign w:val="center"/>
          </w:tcPr>
          <w:p w14:paraId="596CA7FA">
            <w:pPr>
              <w:jc w:val="center"/>
              <w:rPr>
                <w:bCs/>
                <w:szCs w:val="21"/>
              </w:rPr>
            </w:pPr>
          </w:p>
        </w:tc>
        <w:tc>
          <w:tcPr>
            <w:tcW w:w="552" w:type="dxa"/>
            <w:vAlign w:val="center"/>
          </w:tcPr>
          <w:p w14:paraId="74B945DA">
            <w:pPr>
              <w:jc w:val="center"/>
              <w:rPr>
                <w:bCs/>
                <w:szCs w:val="21"/>
              </w:rPr>
            </w:pPr>
          </w:p>
        </w:tc>
        <w:tc>
          <w:tcPr>
            <w:tcW w:w="636" w:type="dxa"/>
            <w:shd w:val="clear" w:color="auto" w:fill="auto"/>
            <w:vAlign w:val="center"/>
          </w:tcPr>
          <w:p w14:paraId="242C7116">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C7676E0">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4B5E975">
            <w:pPr>
              <w:jc w:val="center"/>
              <w:rPr>
                <w:bCs/>
                <w:szCs w:val="21"/>
              </w:rPr>
            </w:pPr>
          </w:p>
        </w:tc>
        <w:tc>
          <w:tcPr>
            <w:tcW w:w="967" w:type="dxa"/>
            <w:vAlign w:val="center"/>
          </w:tcPr>
          <w:p w14:paraId="5D4A49A3">
            <w:pPr>
              <w:jc w:val="center"/>
              <w:rPr>
                <w:bCs/>
                <w:szCs w:val="21"/>
              </w:rPr>
            </w:pPr>
          </w:p>
        </w:tc>
      </w:tr>
      <w:tr w14:paraId="2C2C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466B8B2">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6834386C">
            <w:pPr>
              <w:jc w:val="center"/>
              <w:rPr>
                <w:bCs/>
                <w:szCs w:val="21"/>
              </w:rPr>
            </w:pPr>
          </w:p>
        </w:tc>
        <w:tc>
          <w:tcPr>
            <w:tcW w:w="1440" w:type="dxa"/>
            <w:shd w:val="clear" w:color="auto" w:fill="auto"/>
            <w:vAlign w:val="center"/>
          </w:tcPr>
          <w:p w14:paraId="7D4D1A72">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3B961CF">
            <w:pPr>
              <w:widowControl/>
              <w:jc w:val="center"/>
              <w:textAlignment w:val="center"/>
              <w:rPr>
                <w:bCs/>
                <w:szCs w:val="21"/>
              </w:rPr>
            </w:pPr>
          </w:p>
        </w:tc>
        <w:tc>
          <w:tcPr>
            <w:tcW w:w="792" w:type="dxa"/>
            <w:vAlign w:val="center"/>
          </w:tcPr>
          <w:p w14:paraId="30DDC340">
            <w:pPr>
              <w:widowControl/>
              <w:adjustRightInd w:val="0"/>
              <w:snapToGrid w:val="0"/>
              <w:jc w:val="center"/>
              <w:rPr>
                <w:bCs/>
                <w:szCs w:val="21"/>
              </w:rPr>
            </w:pPr>
          </w:p>
        </w:tc>
        <w:tc>
          <w:tcPr>
            <w:tcW w:w="696" w:type="dxa"/>
            <w:vAlign w:val="center"/>
          </w:tcPr>
          <w:p w14:paraId="13E5EE78">
            <w:pPr>
              <w:jc w:val="center"/>
              <w:rPr>
                <w:bCs/>
                <w:szCs w:val="21"/>
              </w:rPr>
            </w:pPr>
          </w:p>
        </w:tc>
        <w:tc>
          <w:tcPr>
            <w:tcW w:w="552" w:type="dxa"/>
            <w:vAlign w:val="center"/>
          </w:tcPr>
          <w:p w14:paraId="7E71E4CD">
            <w:pPr>
              <w:jc w:val="center"/>
              <w:rPr>
                <w:bCs/>
                <w:szCs w:val="21"/>
              </w:rPr>
            </w:pPr>
          </w:p>
        </w:tc>
        <w:tc>
          <w:tcPr>
            <w:tcW w:w="636" w:type="dxa"/>
            <w:shd w:val="clear" w:color="auto" w:fill="auto"/>
            <w:vAlign w:val="center"/>
          </w:tcPr>
          <w:p w14:paraId="5FC43154">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D0DE95A">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AC2ED99">
            <w:pPr>
              <w:jc w:val="center"/>
              <w:rPr>
                <w:bCs/>
                <w:szCs w:val="21"/>
              </w:rPr>
            </w:pPr>
          </w:p>
        </w:tc>
        <w:tc>
          <w:tcPr>
            <w:tcW w:w="967" w:type="dxa"/>
            <w:vAlign w:val="center"/>
          </w:tcPr>
          <w:p w14:paraId="177B82C9">
            <w:pPr>
              <w:jc w:val="center"/>
              <w:rPr>
                <w:bCs/>
                <w:szCs w:val="21"/>
              </w:rPr>
            </w:pPr>
          </w:p>
        </w:tc>
      </w:tr>
      <w:tr w14:paraId="1AF6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F27232A">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DE5B25F">
            <w:pPr>
              <w:jc w:val="center"/>
              <w:rPr>
                <w:bCs/>
                <w:szCs w:val="21"/>
              </w:rPr>
            </w:pPr>
          </w:p>
        </w:tc>
        <w:tc>
          <w:tcPr>
            <w:tcW w:w="1440" w:type="dxa"/>
            <w:shd w:val="clear" w:color="auto" w:fill="auto"/>
            <w:vAlign w:val="center"/>
          </w:tcPr>
          <w:p w14:paraId="66D5FC08">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33A256D">
            <w:pPr>
              <w:widowControl/>
              <w:jc w:val="center"/>
              <w:textAlignment w:val="center"/>
              <w:rPr>
                <w:bCs/>
                <w:szCs w:val="21"/>
              </w:rPr>
            </w:pPr>
          </w:p>
        </w:tc>
        <w:tc>
          <w:tcPr>
            <w:tcW w:w="792" w:type="dxa"/>
            <w:vAlign w:val="center"/>
          </w:tcPr>
          <w:p w14:paraId="795BCCD5">
            <w:pPr>
              <w:widowControl/>
              <w:adjustRightInd w:val="0"/>
              <w:snapToGrid w:val="0"/>
              <w:jc w:val="center"/>
              <w:rPr>
                <w:bCs/>
                <w:szCs w:val="21"/>
              </w:rPr>
            </w:pPr>
          </w:p>
        </w:tc>
        <w:tc>
          <w:tcPr>
            <w:tcW w:w="696" w:type="dxa"/>
            <w:vAlign w:val="center"/>
          </w:tcPr>
          <w:p w14:paraId="464B2C9D">
            <w:pPr>
              <w:jc w:val="center"/>
              <w:rPr>
                <w:bCs/>
                <w:szCs w:val="21"/>
              </w:rPr>
            </w:pPr>
          </w:p>
        </w:tc>
        <w:tc>
          <w:tcPr>
            <w:tcW w:w="552" w:type="dxa"/>
            <w:vAlign w:val="center"/>
          </w:tcPr>
          <w:p w14:paraId="219FAA76">
            <w:pPr>
              <w:jc w:val="center"/>
              <w:rPr>
                <w:bCs/>
                <w:szCs w:val="21"/>
              </w:rPr>
            </w:pPr>
          </w:p>
        </w:tc>
        <w:tc>
          <w:tcPr>
            <w:tcW w:w="636" w:type="dxa"/>
            <w:shd w:val="clear" w:color="auto" w:fill="auto"/>
            <w:vAlign w:val="center"/>
          </w:tcPr>
          <w:p w14:paraId="66A5A6FE">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B0A4B1A">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47F4D8AC">
            <w:pPr>
              <w:jc w:val="center"/>
              <w:rPr>
                <w:bCs/>
                <w:szCs w:val="21"/>
              </w:rPr>
            </w:pPr>
          </w:p>
        </w:tc>
        <w:tc>
          <w:tcPr>
            <w:tcW w:w="967" w:type="dxa"/>
            <w:vAlign w:val="center"/>
          </w:tcPr>
          <w:p w14:paraId="71655207">
            <w:pPr>
              <w:jc w:val="center"/>
              <w:rPr>
                <w:bCs/>
                <w:szCs w:val="21"/>
              </w:rPr>
            </w:pPr>
          </w:p>
        </w:tc>
      </w:tr>
      <w:tr w14:paraId="7DDE5EB5">
        <w:tblPrEx>
          <w:tblCellMar>
            <w:top w:w="0" w:type="dxa"/>
            <w:left w:w="108" w:type="dxa"/>
            <w:bottom w:w="0" w:type="dxa"/>
            <w:right w:w="108" w:type="dxa"/>
          </w:tblCellMar>
        </w:tblPrEx>
        <w:trPr>
          <w:jc w:val="center"/>
        </w:trPr>
        <w:tc>
          <w:tcPr>
            <w:tcW w:w="561" w:type="dxa"/>
            <w:shd w:val="clear" w:color="auto" w:fill="auto"/>
            <w:vAlign w:val="center"/>
          </w:tcPr>
          <w:p w14:paraId="490728D6">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D3198AD">
            <w:pPr>
              <w:jc w:val="center"/>
              <w:rPr>
                <w:bCs/>
                <w:szCs w:val="21"/>
              </w:rPr>
            </w:pPr>
          </w:p>
        </w:tc>
        <w:tc>
          <w:tcPr>
            <w:tcW w:w="1440" w:type="dxa"/>
            <w:shd w:val="clear" w:color="auto" w:fill="auto"/>
            <w:vAlign w:val="center"/>
          </w:tcPr>
          <w:p w14:paraId="40446803">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F185136">
            <w:pPr>
              <w:widowControl/>
              <w:jc w:val="center"/>
              <w:textAlignment w:val="center"/>
              <w:rPr>
                <w:bCs/>
                <w:szCs w:val="21"/>
              </w:rPr>
            </w:pPr>
          </w:p>
        </w:tc>
        <w:tc>
          <w:tcPr>
            <w:tcW w:w="792" w:type="dxa"/>
            <w:vAlign w:val="center"/>
          </w:tcPr>
          <w:p w14:paraId="2F0B3F93">
            <w:pPr>
              <w:widowControl/>
              <w:adjustRightInd w:val="0"/>
              <w:snapToGrid w:val="0"/>
              <w:jc w:val="center"/>
              <w:rPr>
                <w:bCs/>
                <w:szCs w:val="21"/>
              </w:rPr>
            </w:pPr>
          </w:p>
        </w:tc>
        <w:tc>
          <w:tcPr>
            <w:tcW w:w="696" w:type="dxa"/>
            <w:vAlign w:val="center"/>
          </w:tcPr>
          <w:p w14:paraId="27CD21AC">
            <w:pPr>
              <w:jc w:val="center"/>
              <w:rPr>
                <w:bCs/>
                <w:szCs w:val="21"/>
              </w:rPr>
            </w:pPr>
          </w:p>
        </w:tc>
        <w:tc>
          <w:tcPr>
            <w:tcW w:w="552" w:type="dxa"/>
            <w:vAlign w:val="center"/>
          </w:tcPr>
          <w:p w14:paraId="374AC522">
            <w:pPr>
              <w:jc w:val="center"/>
              <w:rPr>
                <w:bCs/>
                <w:szCs w:val="21"/>
              </w:rPr>
            </w:pPr>
          </w:p>
        </w:tc>
        <w:tc>
          <w:tcPr>
            <w:tcW w:w="636" w:type="dxa"/>
            <w:shd w:val="clear" w:color="auto" w:fill="auto"/>
            <w:vAlign w:val="center"/>
          </w:tcPr>
          <w:p w14:paraId="20D2206D">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9C07395">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4A788A43">
            <w:pPr>
              <w:jc w:val="center"/>
              <w:rPr>
                <w:bCs/>
                <w:szCs w:val="21"/>
              </w:rPr>
            </w:pPr>
          </w:p>
        </w:tc>
        <w:tc>
          <w:tcPr>
            <w:tcW w:w="967" w:type="dxa"/>
            <w:vAlign w:val="center"/>
          </w:tcPr>
          <w:p w14:paraId="381769DB">
            <w:pPr>
              <w:jc w:val="center"/>
              <w:rPr>
                <w:bCs/>
                <w:szCs w:val="21"/>
              </w:rPr>
            </w:pPr>
          </w:p>
        </w:tc>
      </w:tr>
      <w:tr w14:paraId="2473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5EEF443">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1A621EB1">
            <w:pPr>
              <w:jc w:val="center"/>
              <w:rPr>
                <w:bCs/>
                <w:szCs w:val="21"/>
              </w:rPr>
            </w:pPr>
          </w:p>
        </w:tc>
        <w:tc>
          <w:tcPr>
            <w:tcW w:w="1440" w:type="dxa"/>
            <w:shd w:val="clear" w:color="auto" w:fill="auto"/>
            <w:vAlign w:val="center"/>
          </w:tcPr>
          <w:p w14:paraId="74A5D330">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8C7B543">
            <w:pPr>
              <w:widowControl/>
              <w:jc w:val="center"/>
              <w:textAlignment w:val="center"/>
              <w:rPr>
                <w:bCs/>
                <w:szCs w:val="21"/>
              </w:rPr>
            </w:pPr>
          </w:p>
        </w:tc>
        <w:tc>
          <w:tcPr>
            <w:tcW w:w="792" w:type="dxa"/>
            <w:vAlign w:val="center"/>
          </w:tcPr>
          <w:p w14:paraId="0DF1782E">
            <w:pPr>
              <w:widowControl/>
              <w:adjustRightInd w:val="0"/>
              <w:snapToGrid w:val="0"/>
              <w:jc w:val="center"/>
              <w:rPr>
                <w:bCs/>
                <w:szCs w:val="21"/>
              </w:rPr>
            </w:pPr>
          </w:p>
        </w:tc>
        <w:tc>
          <w:tcPr>
            <w:tcW w:w="696" w:type="dxa"/>
            <w:vAlign w:val="center"/>
          </w:tcPr>
          <w:p w14:paraId="02BD72AB">
            <w:pPr>
              <w:jc w:val="center"/>
              <w:rPr>
                <w:bCs/>
                <w:szCs w:val="21"/>
              </w:rPr>
            </w:pPr>
          </w:p>
        </w:tc>
        <w:tc>
          <w:tcPr>
            <w:tcW w:w="552" w:type="dxa"/>
            <w:vAlign w:val="center"/>
          </w:tcPr>
          <w:p w14:paraId="367D6BBB">
            <w:pPr>
              <w:jc w:val="center"/>
              <w:rPr>
                <w:bCs/>
                <w:szCs w:val="21"/>
              </w:rPr>
            </w:pPr>
          </w:p>
        </w:tc>
        <w:tc>
          <w:tcPr>
            <w:tcW w:w="636" w:type="dxa"/>
            <w:shd w:val="clear" w:color="auto" w:fill="auto"/>
            <w:vAlign w:val="center"/>
          </w:tcPr>
          <w:p w14:paraId="38493B4D">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CC07132">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3A497F7">
            <w:pPr>
              <w:jc w:val="center"/>
              <w:rPr>
                <w:bCs/>
                <w:szCs w:val="21"/>
              </w:rPr>
            </w:pPr>
          </w:p>
        </w:tc>
        <w:tc>
          <w:tcPr>
            <w:tcW w:w="967" w:type="dxa"/>
            <w:vAlign w:val="center"/>
          </w:tcPr>
          <w:p w14:paraId="720E1435">
            <w:pPr>
              <w:jc w:val="center"/>
              <w:rPr>
                <w:bCs/>
                <w:szCs w:val="21"/>
              </w:rPr>
            </w:pPr>
          </w:p>
        </w:tc>
      </w:tr>
      <w:tr w14:paraId="4469B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75CA85DD">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F0C6970">
            <w:pPr>
              <w:jc w:val="center"/>
              <w:rPr>
                <w:bCs/>
                <w:szCs w:val="21"/>
              </w:rPr>
            </w:pPr>
          </w:p>
        </w:tc>
        <w:tc>
          <w:tcPr>
            <w:tcW w:w="1440" w:type="dxa"/>
            <w:shd w:val="clear" w:color="auto" w:fill="auto"/>
            <w:vAlign w:val="center"/>
          </w:tcPr>
          <w:p w14:paraId="4757DB24">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5D45120">
            <w:pPr>
              <w:widowControl/>
              <w:jc w:val="center"/>
              <w:textAlignment w:val="center"/>
              <w:rPr>
                <w:bCs/>
                <w:szCs w:val="21"/>
              </w:rPr>
            </w:pPr>
          </w:p>
        </w:tc>
        <w:tc>
          <w:tcPr>
            <w:tcW w:w="792" w:type="dxa"/>
            <w:vAlign w:val="center"/>
          </w:tcPr>
          <w:p w14:paraId="2E1772D2">
            <w:pPr>
              <w:widowControl/>
              <w:adjustRightInd w:val="0"/>
              <w:snapToGrid w:val="0"/>
              <w:jc w:val="center"/>
              <w:rPr>
                <w:bCs/>
                <w:szCs w:val="21"/>
              </w:rPr>
            </w:pPr>
          </w:p>
        </w:tc>
        <w:tc>
          <w:tcPr>
            <w:tcW w:w="696" w:type="dxa"/>
            <w:vAlign w:val="center"/>
          </w:tcPr>
          <w:p w14:paraId="4D8C8921">
            <w:pPr>
              <w:jc w:val="center"/>
              <w:rPr>
                <w:bCs/>
                <w:szCs w:val="21"/>
              </w:rPr>
            </w:pPr>
          </w:p>
        </w:tc>
        <w:tc>
          <w:tcPr>
            <w:tcW w:w="552" w:type="dxa"/>
            <w:vAlign w:val="center"/>
          </w:tcPr>
          <w:p w14:paraId="3CA159A0">
            <w:pPr>
              <w:jc w:val="center"/>
              <w:rPr>
                <w:bCs/>
                <w:szCs w:val="21"/>
              </w:rPr>
            </w:pPr>
          </w:p>
        </w:tc>
        <w:tc>
          <w:tcPr>
            <w:tcW w:w="636" w:type="dxa"/>
            <w:shd w:val="clear" w:color="auto" w:fill="auto"/>
            <w:vAlign w:val="center"/>
          </w:tcPr>
          <w:p w14:paraId="3D395D87">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F1D5AE1">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073E8997">
            <w:pPr>
              <w:jc w:val="center"/>
              <w:rPr>
                <w:bCs/>
                <w:szCs w:val="21"/>
              </w:rPr>
            </w:pPr>
          </w:p>
        </w:tc>
        <w:tc>
          <w:tcPr>
            <w:tcW w:w="967" w:type="dxa"/>
            <w:vAlign w:val="center"/>
          </w:tcPr>
          <w:p w14:paraId="38DC3DA6">
            <w:pPr>
              <w:jc w:val="center"/>
              <w:rPr>
                <w:bCs/>
                <w:szCs w:val="21"/>
              </w:rPr>
            </w:pPr>
          </w:p>
        </w:tc>
      </w:tr>
      <w:tr w14:paraId="1A7A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4B4E8B1">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1C09853A">
            <w:pPr>
              <w:jc w:val="center"/>
              <w:rPr>
                <w:bCs/>
                <w:szCs w:val="21"/>
              </w:rPr>
            </w:pPr>
          </w:p>
        </w:tc>
        <w:tc>
          <w:tcPr>
            <w:tcW w:w="1440" w:type="dxa"/>
            <w:shd w:val="clear" w:color="auto" w:fill="auto"/>
            <w:vAlign w:val="center"/>
          </w:tcPr>
          <w:p w14:paraId="3EF397F2">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902D755">
            <w:pPr>
              <w:widowControl/>
              <w:jc w:val="center"/>
              <w:textAlignment w:val="center"/>
              <w:rPr>
                <w:bCs/>
                <w:szCs w:val="21"/>
              </w:rPr>
            </w:pPr>
          </w:p>
        </w:tc>
        <w:tc>
          <w:tcPr>
            <w:tcW w:w="792" w:type="dxa"/>
            <w:vAlign w:val="center"/>
          </w:tcPr>
          <w:p w14:paraId="3BC7A588">
            <w:pPr>
              <w:widowControl/>
              <w:adjustRightInd w:val="0"/>
              <w:snapToGrid w:val="0"/>
              <w:jc w:val="center"/>
              <w:rPr>
                <w:bCs/>
                <w:szCs w:val="21"/>
              </w:rPr>
            </w:pPr>
          </w:p>
        </w:tc>
        <w:tc>
          <w:tcPr>
            <w:tcW w:w="696" w:type="dxa"/>
            <w:vAlign w:val="center"/>
          </w:tcPr>
          <w:p w14:paraId="2B9E77C4">
            <w:pPr>
              <w:jc w:val="center"/>
              <w:rPr>
                <w:bCs/>
                <w:szCs w:val="21"/>
              </w:rPr>
            </w:pPr>
          </w:p>
        </w:tc>
        <w:tc>
          <w:tcPr>
            <w:tcW w:w="552" w:type="dxa"/>
            <w:vAlign w:val="center"/>
          </w:tcPr>
          <w:p w14:paraId="7B8EFAA7">
            <w:pPr>
              <w:jc w:val="center"/>
              <w:rPr>
                <w:bCs/>
                <w:szCs w:val="21"/>
              </w:rPr>
            </w:pPr>
          </w:p>
        </w:tc>
        <w:tc>
          <w:tcPr>
            <w:tcW w:w="636" w:type="dxa"/>
            <w:shd w:val="clear" w:color="auto" w:fill="auto"/>
            <w:vAlign w:val="center"/>
          </w:tcPr>
          <w:p w14:paraId="5FE165F8">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D2B50F3">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B2B1635">
            <w:pPr>
              <w:jc w:val="center"/>
              <w:rPr>
                <w:bCs/>
                <w:szCs w:val="21"/>
              </w:rPr>
            </w:pPr>
          </w:p>
        </w:tc>
        <w:tc>
          <w:tcPr>
            <w:tcW w:w="967" w:type="dxa"/>
            <w:vAlign w:val="center"/>
          </w:tcPr>
          <w:p w14:paraId="74A9587A">
            <w:pPr>
              <w:jc w:val="center"/>
              <w:rPr>
                <w:bCs/>
                <w:szCs w:val="21"/>
              </w:rPr>
            </w:pPr>
          </w:p>
        </w:tc>
      </w:tr>
      <w:tr w14:paraId="0A8294A9">
        <w:tblPrEx>
          <w:tblCellMar>
            <w:top w:w="0" w:type="dxa"/>
            <w:left w:w="108" w:type="dxa"/>
            <w:bottom w:w="0" w:type="dxa"/>
            <w:right w:w="108" w:type="dxa"/>
          </w:tblCellMar>
        </w:tblPrEx>
        <w:trPr>
          <w:jc w:val="center"/>
        </w:trPr>
        <w:tc>
          <w:tcPr>
            <w:tcW w:w="561" w:type="dxa"/>
            <w:shd w:val="clear" w:color="auto" w:fill="auto"/>
            <w:vAlign w:val="center"/>
          </w:tcPr>
          <w:p w14:paraId="7FEA527A">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19D68B8">
            <w:pPr>
              <w:jc w:val="center"/>
              <w:rPr>
                <w:bCs/>
                <w:szCs w:val="21"/>
              </w:rPr>
            </w:pPr>
          </w:p>
        </w:tc>
        <w:tc>
          <w:tcPr>
            <w:tcW w:w="1440" w:type="dxa"/>
            <w:shd w:val="clear" w:color="auto" w:fill="auto"/>
            <w:vAlign w:val="center"/>
          </w:tcPr>
          <w:p w14:paraId="75BF1153">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4DCFFF1">
            <w:pPr>
              <w:widowControl/>
              <w:jc w:val="center"/>
              <w:textAlignment w:val="center"/>
              <w:rPr>
                <w:bCs/>
                <w:szCs w:val="21"/>
              </w:rPr>
            </w:pPr>
          </w:p>
        </w:tc>
        <w:tc>
          <w:tcPr>
            <w:tcW w:w="792" w:type="dxa"/>
            <w:vAlign w:val="center"/>
          </w:tcPr>
          <w:p w14:paraId="703D2E94">
            <w:pPr>
              <w:widowControl/>
              <w:adjustRightInd w:val="0"/>
              <w:snapToGrid w:val="0"/>
              <w:jc w:val="center"/>
              <w:rPr>
                <w:bCs/>
                <w:szCs w:val="21"/>
              </w:rPr>
            </w:pPr>
          </w:p>
        </w:tc>
        <w:tc>
          <w:tcPr>
            <w:tcW w:w="696" w:type="dxa"/>
            <w:vAlign w:val="center"/>
          </w:tcPr>
          <w:p w14:paraId="265D28AF">
            <w:pPr>
              <w:jc w:val="center"/>
              <w:rPr>
                <w:bCs/>
                <w:szCs w:val="21"/>
              </w:rPr>
            </w:pPr>
          </w:p>
        </w:tc>
        <w:tc>
          <w:tcPr>
            <w:tcW w:w="552" w:type="dxa"/>
            <w:vAlign w:val="center"/>
          </w:tcPr>
          <w:p w14:paraId="43992BD2">
            <w:pPr>
              <w:jc w:val="center"/>
              <w:rPr>
                <w:bCs/>
                <w:szCs w:val="21"/>
              </w:rPr>
            </w:pPr>
          </w:p>
        </w:tc>
        <w:tc>
          <w:tcPr>
            <w:tcW w:w="636" w:type="dxa"/>
            <w:shd w:val="clear" w:color="auto" w:fill="auto"/>
            <w:vAlign w:val="center"/>
          </w:tcPr>
          <w:p w14:paraId="5F75BE46">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33D9A94">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B7539AB">
            <w:pPr>
              <w:jc w:val="center"/>
              <w:rPr>
                <w:bCs/>
                <w:szCs w:val="21"/>
              </w:rPr>
            </w:pPr>
          </w:p>
        </w:tc>
        <w:tc>
          <w:tcPr>
            <w:tcW w:w="967" w:type="dxa"/>
            <w:vAlign w:val="center"/>
          </w:tcPr>
          <w:p w14:paraId="4300505C">
            <w:pPr>
              <w:jc w:val="center"/>
              <w:rPr>
                <w:bCs/>
                <w:szCs w:val="21"/>
              </w:rPr>
            </w:pPr>
          </w:p>
        </w:tc>
      </w:tr>
      <w:tr w14:paraId="0D1E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989C385">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09021CF">
            <w:pPr>
              <w:jc w:val="center"/>
              <w:rPr>
                <w:bCs/>
                <w:szCs w:val="21"/>
              </w:rPr>
            </w:pPr>
          </w:p>
        </w:tc>
        <w:tc>
          <w:tcPr>
            <w:tcW w:w="1440" w:type="dxa"/>
            <w:shd w:val="clear" w:color="auto" w:fill="auto"/>
            <w:vAlign w:val="center"/>
          </w:tcPr>
          <w:p w14:paraId="1B205D8E">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5B5BC91">
            <w:pPr>
              <w:widowControl/>
              <w:jc w:val="center"/>
              <w:textAlignment w:val="center"/>
              <w:rPr>
                <w:bCs/>
                <w:szCs w:val="21"/>
              </w:rPr>
            </w:pPr>
          </w:p>
        </w:tc>
        <w:tc>
          <w:tcPr>
            <w:tcW w:w="792" w:type="dxa"/>
            <w:vAlign w:val="center"/>
          </w:tcPr>
          <w:p w14:paraId="592994AA">
            <w:pPr>
              <w:widowControl/>
              <w:adjustRightInd w:val="0"/>
              <w:snapToGrid w:val="0"/>
              <w:jc w:val="center"/>
              <w:rPr>
                <w:bCs/>
                <w:szCs w:val="21"/>
              </w:rPr>
            </w:pPr>
          </w:p>
        </w:tc>
        <w:tc>
          <w:tcPr>
            <w:tcW w:w="696" w:type="dxa"/>
            <w:vAlign w:val="center"/>
          </w:tcPr>
          <w:p w14:paraId="3EB0D548">
            <w:pPr>
              <w:jc w:val="center"/>
              <w:rPr>
                <w:bCs/>
                <w:szCs w:val="21"/>
              </w:rPr>
            </w:pPr>
          </w:p>
        </w:tc>
        <w:tc>
          <w:tcPr>
            <w:tcW w:w="552" w:type="dxa"/>
            <w:vAlign w:val="center"/>
          </w:tcPr>
          <w:p w14:paraId="3D8CFC60">
            <w:pPr>
              <w:jc w:val="center"/>
              <w:rPr>
                <w:bCs/>
                <w:szCs w:val="21"/>
              </w:rPr>
            </w:pPr>
          </w:p>
        </w:tc>
        <w:tc>
          <w:tcPr>
            <w:tcW w:w="636" w:type="dxa"/>
            <w:shd w:val="clear" w:color="auto" w:fill="auto"/>
            <w:vAlign w:val="center"/>
          </w:tcPr>
          <w:p w14:paraId="3ED7D185">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B547782">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5204214">
            <w:pPr>
              <w:jc w:val="center"/>
              <w:rPr>
                <w:bCs/>
                <w:szCs w:val="21"/>
              </w:rPr>
            </w:pPr>
          </w:p>
        </w:tc>
        <w:tc>
          <w:tcPr>
            <w:tcW w:w="967" w:type="dxa"/>
            <w:vAlign w:val="center"/>
          </w:tcPr>
          <w:p w14:paraId="478937E7">
            <w:pPr>
              <w:jc w:val="center"/>
              <w:rPr>
                <w:bCs/>
                <w:szCs w:val="21"/>
              </w:rPr>
            </w:pPr>
          </w:p>
        </w:tc>
      </w:tr>
      <w:tr w14:paraId="46D1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9B40BA1">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41E5CDF">
            <w:pPr>
              <w:jc w:val="center"/>
              <w:rPr>
                <w:bCs/>
                <w:szCs w:val="21"/>
              </w:rPr>
            </w:pPr>
          </w:p>
        </w:tc>
        <w:tc>
          <w:tcPr>
            <w:tcW w:w="1440" w:type="dxa"/>
            <w:shd w:val="clear" w:color="auto" w:fill="auto"/>
            <w:vAlign w:val="center"/>
          </w:tcPr>
          <w:p w14:paraId="37E6BA63">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A8A8CDE">
            <w:pPr>
              <w:widowControl/>
              <w:jc w:val="center"/>
              <w:textAlignment w:val="center"/>
              <w:rPr>
                <w:bCs/>
                <w:szCs w:val="21"/>
              </w:rPr>
            </w:pPr>
          </w:p>
        </w:tc>
        <w:tc>
          <w:tcPr>
            <w:tcW w:w="792" w:type="dxa"/>
            <w:vAlign w:val="center"/>
          </w:tcPr>
          <w:p w14:paraId="5AA93EF9">
            <w:pPr>
              <w:widowControl/>
              <w:adjustRightInd w:val="0"/>
              <w:snapToGrid w:val="0"/>
              <w:jc w:val="center"/>
              <w:rPr>
                <w:bCs/>
                <w:szCs w:val="21"/>
              </w:rPr>
            </w:pPr>
          </w:p>
        </w:tc>
        <w:tc>
          <w:tcPr>
            <w:tcW w:w="696" w:type="dxa"/>
            <w:vAlign w:val="center"/>
          </w:tcPr>
          <w:p w14:paraId="31F3E58A">
            <w:pPr>
              <w:jc w:val="center"/>
              <w:rPr>
                <w:bCs/>
                <w:szCs w:val="21"/>
              </w:rPr>
            </w:pPr>
          </w:p>
        </w:tc>
        <w:tc>
          <w:tcPr>
            <w:tcW w:w="552" w:type="dxa"/>
            <w:vAlign w:val="center"/>
          </w:tcPr>
          <w:p w14:paraId="7EDD666D">
            <w:pPr>
              <w:jc w:val="center"/>
              <w:rPr>
                <w:bCs/>
                <w:szCs w:val="21"/>
              </w:rPr>
            </w:pPr>
          </w:p>
        </w:tc>
        <w:tc>
          <w:tcPr>
            <w:tcW w:w="636" w:type="dxa"/>
            <w:shd w:val="clear" w:color="auto" w:fill="auto"/>
            <w:vAlign w:val="center"/>
          </w:tcPr>
          <w:p w14:paraId="2D7A50C1">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AF2EAB1">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7D45B2E">
            <w:pPr>
              <w:jc w:val="center"/>
              <w:rPr>
                <w:bCs/>
                <w:szCs w:val="21"/>
              </w:rPr>
            </w:pPr>
          </w:p>
        </w:tc>
        <w:tc>
          <w:tcPr>
            <w:tcW w:w="967" w:type="dxa"/>
            <w:vAlign w:val="center"/>
          </w:tcPr>
          <w:p w14:paraId="68CD431E">
            <w:pPr>
              <w:jc w:val="center"/>
              <w:rPr>
                <w:bCs/>
                <w:szCs w:val="21"/>
              </w:rPr>
            </w:pPr>
          </w:p>
        </w:tc>
      </w:tr>
      <w:tr w14:paraId="6489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ABF9304">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C36EB0A">
            <w:pPr>
              <w:jc w:val="center"/>
              <w:rPr>
                <w:bCs/>
                <w:szCs w:val="21"/>
              </w:rPr>
            </w:pPr>
          </w:p>
        </w:tc>
        <w:tc>
          <w:tcPr>
            <w:tcW w:w="1440" w:type="dxa"/>
            <w:shd w:val="clear" w:color="auto" w:fill="auto"/>
            <w:vAlign w:val="center"/>
          </w:tcPr>
          <w:p w14:paraId="67283A84">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310A806">
            <w:pPr>
              <w:widowControl/>
              <w:jc w:val="center"/>
              <w:textAlignment w:val="center"/>
              <w:rPr>
                <w:bCs/>
                <w:szCs w:val="21"/>
              </w:rPr>
            </w:pPr>
          </w:p>
        </w:tc>
        <w:tc>
          <w:tcPr>
            <w:tcW w:w="792" w:type="dxa"/>
            <w:vAlign w:val="center"/>
          </w:tcPr>
          <w:p w14:paraId="25057D7B">
            <w:pPr>
              <w:widowControl/>
              <w:adjustRightInd w:val="0"/>
              <w:snapToGrid w:val="0"/>
              <w:jc w:val="center"/>
              <w:rPr>
                <w:bCs/>
                <w:szCs w:val="21"/>
              </w:rPr>
            </w:pPr>
          </w:p>
        </w:tc>
        <w:tc>
          <w:tcPr>
            <w:tcW w:w="696" w:type="dxa"/>
            <w:vAlign w:val="center"/>
          </w:tcPr>
          <w:p w14:paraId="6BB11A40">
            <w:pPr>
              <w:jc w:val="center"/>
              <w:rPr>
                <w:bCs/>
                <w:szCs w:val="21"/>
              </w:rPr>
            </w:pPr>
          </w:p>
        </w:tc>
        <w:tc>
          <w:tcPr>
            <w:tcW w:w="552" w:type="dxa"/>
            <w:vAlign w:val="center"/>
          </w:tcPr>
          <w:p w14:paraId="18ADA0A7">
            <w:pPr>
              <w:jc w:val="center"/>
              <w:rPr>
                <w:bCs/>
                <w:szCs w:val="21"/>
              </w:rPr>
            </w:pPr>
          </w:p>
        </w:tc>
        <w:tc>
          <w:tcPr>
            <w:tcW w:w="636" w:type="dxa"/>
            <w:shd w:val="clear" w:color="auto" w:fill="auto"/>
            <w:vAlign w:val="center"/>
          </w:tcPr>
          <w:p w14:paraId="4D10F1B7">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F114753">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F145227">
            <w:pPr>
              <w:jc w:val="center"/>
              <w:rPr>
                <w:bCs/>
                <w:szCs w:val="21"/>
              </w:rPr>
            </w:pPr>
          </w:p>
        </w:tc>
        <w:tc>
          <w:tcPr>
            <w:tcW w:w="967" w:type="dxa"/>
            <w:vAlign w:val="center"/>
          </w:tcPr>
          <w:p w14:paraId="5E13477B">
            <w:pPr>
              <w:jc w:val="center"/>
              <w:rPr>
                <w:bCs/>
                <w:szCs w:val="21"/>
              </w:rPr>
            </w:pPr>
          </w:p>
        </w:tc>
      </w:tr>
      <w:tr w14:paraId="7864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42EE693">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6E4FBF12">
            <w:pPr>
              <w:jc w:val="center"/>
              <w:rPr>
                <w:bCs/>
                <w:szCs w:val="21"/>
              </w:rPr>
            </w:pPr>
          </w:p>
        </w:tc>
        <w:tc>
          <w:tcPr>
            <w:tcW w:w="1440" w:type="dxa"/>
            <w:shd w:val="clear" w:color="auto" w:fill="auto"/>
            <w:vAlign w:val="center"/>
          </w:tcPr>
          <w:p w14:paraId="6DD1314E">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E58A277">
            <w:pPr>
              <w:widowControl/>
              <w:jc w:val="center"/>
              <w:textAlignment w:val="center"/>
              <w:rPr>
                <w:bCs/>
                <w:szCs w:val="21"/>
              </w:rPr>
            </w:pPr>
          </w:p>
        </w:tc>
        <w:tc>
          <w:tcPr>
            <w:tcW w:w="792" w:type="dxa"/>
            <w:vAlign w:val="center"/>
          </w:tcPr>
          <w:p w14:paraId="28E404AA">
            <w:pPr>
              <w:widowControl/>
              <w:adjustRightInd w:val="0"/>
              <w:snapToGrid w:val="0"/>
              <w:jc w:val="center"/>
              <w:rPr>
                <w:bCs/>
                <w:szCs w:val="21"/>
              </w:rPr>
            </w:pPr>
          </w:p>
        </w:tc>
        <w:tc>
          <w:tcPr>
            <w:tcW w:w="696" w:type="dxa"/>
            <w:vAlign w:val="center"/>
          </w:tcPr>
          <w:p w14:paraId="633ED001">
            <w:pPr>
              <w:jc w:val="center"/>
              <w:rPr>
                <w:bCs/>
                <w:szCs w:val="21"/>
              </w:rPr>
            </w:pPr>
          </w:p>
        </w:tc>
        <w:tc>
          <w:tcPr>
            <w:tcW w:w="552" w:type="dxa"/>
            <w:vAlign w:val="center"/>
          </w:tcPr>
          <w:p w14:paraId="79BF7ECD">
            <w:pPr>
              <w:jc w:val="center"/>
              <w:rPr>
                <w:bCs/>
                <w:szCs w:val="21"/>
              </w:rPr>
            </w:pPr>
          </w:p>
        </w:tc>
        <w:tc>
          <w:tcPr>
            <w:tcW w:w="636" w:type="dxa"/>
            <w:shd w:val="clear" w:color="auto" w:fill="auto"/>
            <w:vAlign w:val="center"/>
          </w:tcPr>
          <w:p w14:paraId="194E6905">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9858620">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709F2D3">
            <w:pPr>
              <w:jc w:val="center"/>
              <w:rPr>
                <w:bCs/>
                <w:szCs w:val="21"/>
              </w:rPr>
            </w:pPr>
          </w:p>
        </w:tc>
        <w:tc>
          <w:tcPr>
            <w:tcW w:w="967" w:type="dxa"/>
            <w:vAlign w:val="center"/>
          </w:tcPr>
          <w:p w14:paraId="33094C86">
            <w:pPr>
              <w:jc w:val="center"/>
              <w:rPr>
                <w:bCs/>
                <w:szCs w:val="21"/>
              </w:rPr>
            </w:pPr>
          </w:p>
        </w:tc>
      </w:tr>
      <w:tr w14:paraId="1CE2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DB99E1F">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055EC33">
            <w:pPr>
              <w:jc w:val="center"/>
              <w:rPr>
                <w:bCs/>
                <w:szCs w:val="21"/>
              </w:rPr>
            </w:pPr>
          </w:p>
        </w:tc>
        <w:tc>
          <w:tcPr>
            <w:tcW w:w="1440" w:type="dxa"/>
            <w:shd w:val="clear" w:color="auto" w:fill="auto"/>
            <w:vAlign w:val="center"/>
          </w:tcPr>
          <w:p w14:paraId="371D2CB6">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C54BD29">
            <w:pPr>
              <w:widowControl/>
              <w:jc w:val="center"/>
              <w:textAlignment w:val="center"/>
              <w:rPr>
                <w:bCs/>
                <w:szCs w:val="21"/>
              </w:rPr>
            </w:pPr>
          </w:p>
        </w:tc>
        <w:tc>
          <w:tcPr>
            <w:tcW w:w="792" w:type="dxa"/>
            <w:vAlign w:val="center"/>
          </w:tcPr>
          <w:p w14:paraId="2A51EF34">
            <w:pPr>
              <w:widowControl/>
              <w:adjustRightInd w:val="0"/>
              <w:snapToGrid w:val="0"/>
              <w:jc w:val="center"/>
              <w:rPr>
                <w:bCs/>
                <w:szCs w:val="21"/>
              </w:rPr>
            </w:pPr>
          </w:p>
        </w:tc>
        <w:tc>
          <w:tcPr>
            <w:tcW w:w="696" w:type="dxa"/>
            <w:vAlign w:val="center"/>
          </w:tcPr>
          <w:p w14:paraId="7661BABB">
            <w:pPr>
              <w:jc w:val="center"/>
              <w:rPr>
                <w:bCs/>
                <w:szCs w:val="21"/>
              </w:rPr>
            </w:pPr>
          </w:p>
        </w:tc>
        <w:tc>
          <w:tcPr>
            <w:tcW w:w="552" w:type="dxa"/>
            <w:vAlign w:val="center"/>
          </w:tcPr>
          <w:p w14:paraId="23AF16A1">
            <w:pPr>
              <w:jc w:val="center"/>
              <w:rPr>
                <w:bCs/>
                <w:szCs w:val="21"/>
              </w:rPr>
            </w:pPr>
          </w:p>
        </w:tc>
        <w:tc>
          <w:tcPr>
            <w:tcW w:w="636" w:type="dxa"/>
            <w:shd w:val="clear" w:color="auto" w:fill="auto"/>
            <w:vAlign w:val="center"/>
          </w:tcPr>
          <w:p w14:paraId="06779EC4">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584E586">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8FD74D3">
            <w:pPr>
              <w:jc w:val="center"/>
              <w:rPr>
                <w:bCs/>
                <w:szCs w:val="21"/>
              </w:rPr>
            </w:pPr>
          </w:p>
        </w:tc>
        <w:tc>
          <w:tcPr>
            <w:tcW w:w="967" w:type="dxa"/>
            <w:vAlign w:val="center"/>
          </w:tcPr>
          <w:p w14:paraId="3941CD1C">
            <w:pPr>
              <w:jc w:val="center"/>
              <w:rPr>
                <w:bCs/>
                <w:szCs w:val="21"/>
              </w:rPr>
            </w:pPr>
          </w:p>
        </w:tc>
      </w:tr>
      <w:tr w14:paraId="7770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1101ACB6">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15406272">
            <w:pPr>
              <w:jc w:val="center"/>
              <w:rPr>
                <w:bCs/>
                <w:szCs w:val="21"/>
              </w:rPr>
            </w:pPr>
          </w:p>
        </w:tc>
        <w:tc>
          <w:tcPr>
            <w:tcW w:w="1440" w:type="dxa"/>
            <w:shd w:val="clear" w:color="auto" w:fill="auto"/>
            <w:vAlign w:val="center"/>
          </w:tcPr>
          <w:p w14:paraId="7B7B9E6E">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7464797">
            <w:pPr>
              <w:widowControl/>
              <w:jc w:val="center"/>
              <w:textAlignment w:val="center"/>
              <w:rPr>
                <w:bCs/>
                <w:szCs w:val="21"/>
              </w:rPr>
            </w:pPr>
          </w:p>
        </w:tc>
        <w:tc>
          <w:tcPr>
            <w:tcW w:w="792" w:type="dxa"/>
            <w:vAlign w:val="center"/>
          </w:tcPr>
          <w:p w14:paraId="16955876">
            <w:pPr>
              <w:widowControl/>
              <w:adjustRightInd w:val="0"/>
              <w:snapToGrid w:val="0"/>
              <w:jc w:val="center"/>
              <w:rPr>
                <w:bCs/>
                <w:szCs w:val="21"/>
              </w:rPr>
            </w:pPr>
          </w:p>
        </w:tc>
        <w:tc>
          <w:tcPr>
            <w:tcW w:w="696" w:type="dxa"/>
            <w:vAlign w:val="center"/>
          </w:tcPr>
          <w:p w14:paraId="59D21BF8">
            <w:pPr>
              <w:jc w:val="center"/>
              <w:rPr>
                <w:bCs/>
                <w:szCs w:val="21"/>
              </w:rPr>
            </w:pPr>
          </w:p>
        </w:tc>
        <w:tc>
          <w:tcPr>
            <w:tcW w:w="552" w:type="dxa"/>
            <w:vAlign w:val="center"/>
          </w:tcPr>
          <w:p w14:paraId="6A56747A">
            <w:pPr>
              <w:jc w:val="center"/>
              <w:rPr>
                <w:bCs/>
                <w:szCs w:val="21"/>
              </w:rPr>
            </w:pPr>
          </w:p>
        </w:tc>
        <w:tc>
          <w:tcPr>
            <w:tcW w:w="636" w:type="dxa"/>
            <w:shd w:val="clear" w:color="auto" w:fill="auto"/>
            <w:vAlign w:val="center"/>
          </w:tcPr>
          <w:p w14:paraId="5456FBCC">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C04C1D7">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4BEABF87">
            <w:pPr>
              <w:jc w:val="center"/>
              <w:rPr>
                <w:bCs/>
                <w:szCs w:val="21"/>
              </w:rPr>
            </w:pPr>
          </w:p>
        </w:tc>
        <w:tc>
          <w:tcPr>
            <w:tcW w:w="967" w:type="dxa"/>
            <w:vAlign w:val="center"/>
          </w:tcPr>
          <w:p w14:paraId="71B950C6">
            <w:pPr>
              <w:jc w:val="center"/>
              <w:rPr>
                <w:bCs/>
                <w:szCs w:val="21"/>
              </w:rPr>
            </w:pPr>
          </w:p>
        </w:tc>
      </w:tr>
      <w:tr w14:paraId="0AF4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BF7809F">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342D982">
            <w:pPr>
              <w:jc w:val="center"/>
              <w:rPr>
                <w:bCs/>
                <w:szCs w:val="21"/>
              </w:rPr>
            </w:pPr>
          </w:p>
        </w:tc>
        <w:tc>
          <w:tcPr>
            <w:tcW w:w="1440" w:type="dxa"/>
            <w:shd w:val="clear" w:color="auto" w:fill="auto"/>
            <w:vAlign w:val="center"/>
          </w:tcPr>
          <w:p w14:paraId="06EE8AD6">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73562B4">
            <w:pPr>
              <w:widowControl/>
              <w:jc w:val="center"/>
              <w:textAlignment w:val="center"/>
              <w:rPr>
                <w:bCs/>
                <w:szCs w:val="21"/>
              </w:rPr>
            </w:pPr>
          </w:p>
        </w:tc>
        <w:tc>
          <w:tcPr>
            <w:tcW w:w="792" w:type="dxa"/>
            <w:vAlign w:val="center"/>
          </w:tcPr>
          <w:p w14:paraId="47D6D8E2">
            <w:pPr>
              <w:widowControl/>
              <w:adjustRightInd w:val="0"/>
              <w:snapToGrid w:val="0"/>
              <w:jc w:val="center"/>
              <w:rPr>
                <w:bCs/>
                <w:szCs w:val="21"/>
              </w:rPr>
            </w:pPr>
          </w:p>
        </w:tc>
        <w:tc>
          <w:tcPr>
            <w:tcW w:w="696" w:type="dxa"/>
            <w:vAlign w:val="center"/>
          </w:tcPr>
          <w:p w14:paraId="2737ADD8">
            <w:pPr>
              <w:jc w:val="center"/>
              <w:rPr>
                <w:bCs/>
                <w:szCs w:val="21"/>
              </w:rPr>
            </w:pPr>
          </w:p>
        </w:tc>
        <w:tc>
          <w:tcPr>
            <w:tcW w:w="552" w:type="dxa"/>
            <w:vAlign w:val="center"/>
          </w:tcPr>
          <w:p w14:paraId="0F028580">
            <w:pPr>
              <w:jc w:val="center"/>
              <w:rPr>
                <w:bCs/>
                <w:szCs w:val="21"/>
              </w:rPr>
            </w:pPr>
          </w:p>
        </w:tc>
        <w:tc>
          <w:tcPr>
            <w:tcW w:w="636" w:type="dxa"/>
            <w:shd w:val="clear" w:color="auto" w:fill="auto"/>
            <w:vAlign w:val="center"/>
          </w:tcPr>
          <w:p w14:paraId="2B3300B9">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3A00CE4">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3584FFD8">
            <w:pPr>
              <w:jc w:val="center"/>
              <w:rPr>
                <w:bCs/>
                <w:szCs w:val="21"/>
              </w:rPr>
            </w:pPr>
          </w:p>
        </w:tc>
        <w:tc>
          <w:tcPr>
            <w:tcW w:w="967" w:type="dxa"/>
            <w:vAlign w:val="center"/>
          </w:tcPr>
          <w:p w14:paraId="584CB54C">
            <w:pPr>
              <w:jc w:val="center"/>
              <w:rPr>
                <w:bCs/>
                <w:szCs w:val="21"/>
              </w:rPr>
            </w:pPr>
          </w:p>
        </w:tc>
      </w:tr>
      <w:tr w14:paraId="147A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11CB3E9C">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11597F84">
            <w:pPr>
              <w:jc w:val="center"/>
              <w:rPr>
                <w:bCs/>
                <w:szCs w:val="21"/>
              </w:rPr>
            </w:pPr>
          </w:p>
        </w:tc>
        <w:tc>
          <w:tcPr>
            <w:tcW w:w="1440" w:type="dxa"/>
            <w:shd w:val="clear" w:color="auto" w:fill="auto"/>
            <w:vAlign w:val="center"/>
          </w:tcPr>
          <w:p w14:paraId="1F8E8464">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E060F07">
            <w:pPr>
              <w:widowControl/>
              <w:jc w:val="center"/>
              <w:textAlignment w:val="center"/>
              <w:rPr>
                <w:bCs/>
                <w:szCs w:val="21"/>
              </w:rPr>
            </w:pPr>
          </w:p>
        </w:tc>
        <w:tc>
          <w:tcPr>
            <w:tcW w:w="792" w:type="dxa"/>
            <w:vAlign w:val="center"/>
          </w:tcPr>
          <w:p w14:paraId="355978C5">
            <w:pPr>
              <w:widowControl/>
              <w:adjustRightInd w:val="0"/>
              <w:snapToGrid w:val="0"/>
              <w:jc w:val="center"/>
              <w:rPr>
                <w:bCs/>
                <w:szCs w:val="21"/>
              </w:rPr>
            </w:pPr>
          </w:p>
        </w:tc>
        <w:tc>
          <w:tcPr>
            <w:tcW w:w="696" w:type="dxa"/>
            <w:vAlign w:val="center"/>
          </w:tcPr>
          <w:p w14:paraId="25AEE290">
            <w:pPr>
              <w:jc w:val="center"/>
              <w:rPr>
                <w:bCs/>
                <w:szCs w:val="21"/>
              </w:rPr>
            </w:pPr>
          </w:p>
        </w:tc>
        <w:tc>
          <w:tcPr>
            <w:tcW w:w="552" w:type="dxa"/>
            <w:vAlign w:val="center"/>
          </w:tcPr>
          <w:p w14:paraId="34D14D6D">
            <w:pPr>
              <w:jc w:val="center"/>
              <w:rPr>
                <w:bCs/>
                <w:szCs w:val="21"/>
              </w:rPr>
            </w:pPr>
          </w:p>
        </w:tc>
        <w:tc>
          <w:tcPr>
            <w:tcW w:w="636" w:type="dxa"/>
            <w:shd w:val="clear" w:color="auto" w:fill="auto"/>
            <w:vAlign w:val="center"/>
          </w:tcPr>
          <w:p w14:paraId="79299779">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148C645">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72D80FC">
            <w:pPr>
              <w:jc w:val="center"/>
              <w:rPr>
                <w:bCs/>
                <w:szCs w:val="21"/>
              </w:rPr>
            </w:pPr>
          </w:p>
        </w:tc>
        <w:tc>
          <w:tcPr>
            <w:tcW w:w="967" w:type="dxa"/>
            <w:vAlign w:val="center"/>
          </w:tcPr>
          <w:p w14:paraId="3341BCD8">
            <w:pPr>
              <w:jc w:val="center"/>
              <w:rPr>
                <w:bCs/>
                <w:szCs w:val="21"/>
              </w:rPr>
            </w:pPr>
          </w:p>
        </w:tc>
      </w:tr>
      <w:tr w14:paraId="0B34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2805FC05">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2EB1CD7">
            <w:pPr>
              <w:jc w:val="center"/>
              <w:rPr>
                <w:bCs/>
                <w:szCs w:val="21"/>
              </w:rPr>
            </w:pPr>
          </w:p>
        </w:tc>
        <w:tc>
          <w:tcPr>
            <w:tcW w:w="1440" w:type="dxa"/>
            <w:shd w:val="clear" w:color="auto" w:fill="auto"/>
            <w:vAlign w:val="center"/>
          </w:tcPr>
          <w:p w14:paraId="1CDBEFC4">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6A9F64B">
            <w:pPr>
              <w:widowControl/>
              <w:jc w:val="center"/>
              <w:textAlignment w:val="center"/>
              <w:rPr>
                <w:bCs/>
                <w:szCs w:val="21"/>
              </w:rPr>
            </w:pPr>
          </w:p>
        </w:tc>
        <w:tc>
          <w:tcPr>
            <w:tcW w:w="792" w:type="dxa"/>
            <w:vAlign w:val="center"/>
          </w:tcPr>
          <w:p w14:paraId="323F9036">
            <w:pPr>
              <w:widowControl/>
              <w:adjustRightInd w:val="0"/>
              <w:snapToGrid w:val="0"/>
              <w:jc w:val="center"/>
              <w:rPr>
                <w:bCs/>
                <w:szCs w:val="21"/>
              </w:rPr>
            </w:pPr>
          </w:p>
        </w:tc>
        <w:tc>
          <w:tcPr>
            <w:tcW w:w="696" w:type="dxa"/>
            <w:vAlign w:val="center"/>
          </w:tcPr>
          <w:p w14:paraId="7F2FA0C9">
            <w:pPr>
              <w:jc w:val="center"/>
              <w:rPr>
                <w:bCs/>
                <w:szCs w:val="21"/>
              </w:rPr>
            </w:pPr>
          </w:p>
        </w:tc>
        <w:tc>
          <w:tcPr>
            <w:tcW w:w="552" w:type="dxa"/>
            <w:vAlign w:val="center"/>
          </w:tcPr>
          <w:p w14:paraId="46F04D3A">
            <w:pPr>
              <w:jc w:val="center"/>
              <w:rPr>
                <w:bCs/>
                <w:szCs w:val="21"/>
              </w:rPr>
            </w:pPr>
          </w:p>
        </w:tc>
        <w:tc>
          <w:tcPr>
            <w:tcW w:w="636" w:type="dxa"/>
            <w:shd w:val="clear" w:color="auto" w:fill="auto"/>
            <w:vAlign w:val="center"/>
          </w:tcPr>
          <w:p w14:paraId="1E766359">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44B9E82">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EF1BC1F">
            <w:pPr>
              <w:jc w:val="center"/>
              <w:rPr>
                <w:bCs/>
                <w:szCs w:val="21"/>
              </w:rPr>
            </w:pPr>
          </w:p>
        </w:tc>
        <w:tc>
          <w:tcPr>
            <w:tcW w:w="967" w:type="dxa"/>
            <w:vAlign w:val="center"/>
          </w:tcPr>
          <w:p w14:paraId="1EED7F44">
            <w:pPr>
              <w:jc w:val="center"/>
              <w:rPr>
                <w:bCs/>
                <w:szCs w:val="21"/>
              </w:rPr>
            </w:pPr>
          </w:p>
        </w:tc>
      </w:tr>
      <w:tr w14:paraId="2D24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14C2295C">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C9DB07F">
            <w:pPr>
              <w:jc w:val="center"/>
              <w:rPr>
                <w:bCs/>
                <w:szCs w:val="21"/>
              </w:rPr>
            </w:pPr>
          </w:p>
        </w:tc>
        <w:tc>
          <w:tcPr>
            <w:tcW w:w="1440" w:type="dxa"/>
            <w:shd w:val="clear" w:color="auto" w:fill="auto"/>
            <w:vAlign w:val="center"/>
          </w:tcPr>
          <w:p w14:paraId="0A04122D">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03DC16DF">
            <w:pPr>
              <w:widowControl/>
              <w:jc w:val="center"/>
              <w:textAlignment w:val="center"/>
              <w:rPr>
                <w:bCs/>
                <w:szCs w:val="21"/>
              </w:rPr>
            </w:pPr>
          </w:p>
        </w:tc>
        <w:tc>
          <w:tcPr>
            <w:tcW w:w="792" w:type="dxa"/>
            <w:vAlign w:val="center"/>
          </w:tcPr>
          <w:p w14:paraId="25738B61">
            <w:pPr>
              <w:widowControl/>
              <w:adjustRightInd w:val="0"/>
              <w:snapToGrid w:val="0"/>
              <w:jc w:val="center"/>
              <w:rPr>
                <w:bCs/>
                <w:szCs w:val="21"/>
              </w:rPr>
            </w:pPr>
          </w:p>
        </w:tc>
        <w:tc>
          <w:tcPr>
            <w:tcW w:w="696" w:type="dxa"/>
            <w:vAlign w:val="center"/>
          </w:tcPr>
          <w:p w14:paraId="65DC33E6">
            <w:pPr>
              <w:jc w:val="center"/>
              <w:rPr>
                <w:bCs/>
                <w:szCs w:val="21"/>
              </w:rPr>
            </w:pPr>
          </w:p>
        </w:tc>
        <w:tc>
          <w:tcPr>
            <w:tcW w:w="552" w:type="dxa"/>
            <w:vAlign w:val="center"/>
          </w:tcPr>
          <w:p w14:paraId="53EC404F">
            <w:pPr>
              <w:jc w:val="center"/>
              <w:rPr>
                <w:bCs/>
                <w:szCs w:val="21"/>
              </w:rPr>
            </w:pPr>
          </w:p>
        </w:tc>
        <w:tc>
          <w:tcPr>
            <w:tcW w:w="636" w:type="dxa"/>
            <w:shd w:val="clear" w:color="auto" w:fill="auto"/>
            <w:vAlign w:val="center"/>
          </w:tcPr>
          <w:p w14:paraId="6EA8E396">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8B2E562">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4CAFE8E4">
            <w:pPr>
              <w:jc w:val="center"/>
              <w:rPr>
                <w:bCs/>
                <w:szCs w:val="21"/>
              </w:rPr>
            </w:pPr>
          </w:p>
        </w:tc>
        <w:tc>
          <w:tcPr>
            <w:tcW w:w="967" w:type="dxa"/>
            <w:vAlign w:val="center"/>
          </w:tcPr>
          <w:p w14:paraId="1F2E6944">
            <w:pPr>
              <w:jc w:val="center"/>
              <w:rPr>
                <w:bCs/>
                <w:szCs w:val="21"/>
              </w:rPr>
            </w:pPr>
          </w:p>
        </w:tc>
      </w:tr>
      <w:tr w14:paraId="7545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EECF3D6">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83BA0FE">
            <w:pPr>
              <w:jc w:val="center"/>
              <w:rPr>
                <w:bCs/>
                <w:szCs w:val="21"/>
              </w:rPr>
            </w:pPr>
          </w:p>
        </w:tc>
        <w:tc>
          <w:tcPr>
            <w:tcW w:w="1440" w:type="dxa"/>
            <w:shd w:val="clear" w:color="auto" w:fill="auto"/>
            <w:vAlign w:val="center"/>
          </w:tcPr>
          <w:p w14:paraId="71A68680">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109FD83D">
            <w:pPr>
              <w:widowControl/>
              <w:jc w:val="center"/>
              <w:textAlignment w:val="center"/>
              <w:rPr>
                <w:bCs/>
                <w:szCs w:val="21"/>
              </w:rPr>
            </w:pPr>
          </w:p>
        </w:tc>
        <w:tc>
          <w:tcPr>
            <w:tcW w:w="792" w:type="dxa"/>
            <w:vAlign w:val="center"/>
          </w:tcPr>
          <w:p w14:paraId="514563C8">
            <w:pPr>
              <w:widowControl/>
              <w:adjustRightInd w:val="0"/>
              <w:snapToGrid w:val="0"/>
              <w:jc w:val="center"/>
              <w:rPr>
                <w:bCs/>
                <w:szCs w:val="21"/>
              </w:rPr>
            </w:pPr>
          </w:p>
        </w:tc>
        <w:tc>
          <w:tcPr>
            <w:tcW w:w="696" w:type="dxa"/>
            <w:vAlign w:val="center"/>
          </w:tcPr>
          <w:p w14:paraId="1C751D9B">
            <w:pPr>
              <w:jc w:val="center"/>
              <w:rPr>
                <w:bCs/>
                <w:szCs w:val="21"/>
              </w:rPr>
            </w:pPr>
          </w:p>
        </w:tc>
        <w:tc>
          <w:tcPr>
            <w:tcW w:w="552" w:type="dxa"/>
            <w:vAlign w:val="center"/>
          </w:tcPr>
          <w:p w14:paraId="24356232">
            <w:pPr>
              <w:jc w:val="center"/>
              <w:rPr>
                <w:bCs/>
                <w:szCs w:val="21"/>
              </w:rPr>
            </w:pPr>
          </w:p>
        </w:tc>
        <w:tc>
          <w:tcPr>
            <w:tcW w:w="636" w:type="dxa"/>
            <w:shd w:val="clear" w:color="auto" w:fill="auto"/>
            <w:vAlign w:val="center"/>
          </w:tcPr>
          <w:p w14:paraId="02AB2DAB">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A6C2940">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2623412">
            <w:pPr>
              <w:jc w:val="center"/>
              <w:rPr>
                <w:bCs/>
                <w:szCs w:val="21"/>
              </w:rPr>
            </w:pPr>
          </w:p>
        </w:tc>
        <w:tc>
          <w:tcPr>
            <w:tcW w:w="967" w:type="dxa"/>
            <w:vAlign w:val="center"/>
          </w:tcPr>
          <w:p w14:paraId="31F4921A">
            <w:pPr>
              <w:jc w:val="center"/>
              <w:rPr>
                <w:bCs/>
                <w:szCs w:val="21"/>
              </w:rPr>
            </w:pPr>
          </w:p>
        </w:tc>
      </w:tr>
      <w:tr w14:paraId="172C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29F394EE">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58BFAE0">
            <w:pPr>
              <w:jc w:val="center"/>
              <w:rPr>
                <w:bCs/>
                <w:szCs w:val="21"/>
              </w:rPr>
            </w:pPr>
          </w:p>
        </w:tc>
        <w:tc>
          <w:tcPr>
            <w:tcW w:w="1440" w:type="dxa"/>
            <w:shd w:val="clear" w:color="auto" w:fill="auto"/>
            <w:vAlign w:val="center"/>
          </w:tcPr>
          <w:p w14:paraId="17F161D9">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836E6E6">
            <w:pPr>
              <w:widowControl/>
              <w:jc w:val="center"/>
              <w:textAlignment w:val="center"/>
              <w:rPr>
                <w:bCs/>
                <w:szCs w:val="21"/>
              </w:rPr>
            </w:pPr>
          </w:p>
        </w:tc>
        <w:tc>
          <w:tcPr>
            <w:tcW w:w="792" w:type="dxa"/>
            <w:vAlign w:val="center"/>
          </w:tcPr>
          <w:p w14:paraId="453C20AA">
            <w:pPr>
              <w:widowControl/>
              <w:adjustRightInd w:val="0"/>
              <w:snapToGrid w:val="0"/>
              <w:jc w:val="center"/>
              <w:rPr>
                <w:bCs/>
                <w:szCs w:val="21"/>
              </w:rPr>
            </w:pPr>
          </w:p>
        </w:tc>
        <w:tc>
          <w:tcPr>
            <w:tcW w:w="696" w:type="dxa"/>
            <w:vAlign w:val="center"/>
          </w:tcPr>
          <w:p w14:paraId="5DED419A">
            <w:pPr>
              <w:jc w:val="center"/>
              <w:rPr>
                <w:bCs/>
                <w:szCs w:val="21"/>
              </w:rPr>
            </w:pPr>
          </w:p>
        </w:tc>
        <w:tc>
          <w:tcPr>
            <w:tcW w:w="552" w:type="dxa"/>
            <w:vAlign w:val="center"/>
          </w:tcPr>
          <w:p w14:paraId="77FE4804">
            <w:pPr>
              <w:jc w:val="center"/>
              <w:rPr>
                <w:bCs/>
                <w:szCs w:val="21"/>
              </w:rPr>
            </w:pPr>
          </w:p>
        </w:tc>
        <w:tc>
          <w:tcPr>
            <w:tcW w:w="636" w:type="dxa"/>
            <w:shd w:val="clear" w:color="auto" w:fill="auto"/>
            <w:vAlign w:val="center"/>
          </w:tcPr>
          <w:p w14:paraId="3FC9ED96">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4011029">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78095D3">
            <w:pPr>
              <w:jc w:val="center"/>
              <w:rPr>
                <w:bCs/>
                <w:szCs w:val="21"/>
              </w:rPr>
            </w:pPr>
          </w:p>
        </w:tc>
        <w:tc>
          <w:tcPr>
            <w:tcW w:w="967" w:type="dxa"/>
            <w:vAlign w:val="center"/>
          </w:tcPr>
          <w:p w14:paraId="43278D1D">
            <w:pPr>
              <w:jc w:val="center"/>
              <w:rPr>
                <w:bCs/>
                <w:szCs w:val="21"/>
              </w:rPr>
            </w:pPr>
          </w:p>
        </w:tc>
      </w:tr>
      <w:tr w14:paraId="6367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87CB2F6">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6CB84B7">
            <w:pPr>
              <w:jc w:val="center"/>
              <w:rPr>
                <w:bCs/>
                <w:szCs w:val="21"/>
              </w:rPr>
            </w:pPr>
          </w:p>
        </w:tc>
        <w:tc>
          <w:tcPr>
            <w:tcW w:w="1440" w:type="dxa"/>
            <w:shd w:val="clear" w:color="auto" w:fill="auto"/>
            <w:vAlign w:val="center"/>
          </w:tcPr>
          <w:p w14:paraId="47F50C30">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CABFAA6">
            <w:pPr>
              <w:widowControl/>
              <w:jc w:val="center"/>
              <w:textAlignment w:val="center"/>
              <w:rPr>
                <w:bCs/>
                <w:szCs w:val="21"/>
              </w:rPr>
            </w:pPr>
          </w:p>
        </w:tc>
        <w:tc>
          <w:tcPr>
            <w:tcW w:w="792" w:type="dxa"/>
            <w:vAlign w:val="center"/>
          </w:tcPr>
          <w:p w14:paraId="03E170F5">
            <w:pPr>
              <w:widowControl/>
              <w:adjustRightInd w:val="0"/>
              <w:snapToGrid w:val="0"/>
              <w:jc w:val="center"/>
              <w:rPr>
                <w:bCs/>
                <w:szCs w:val="21"/>
              </w:rPr>
            </w:pPr>
          </w:p>
        </w:tc>
        <w:tc>
          <w:tcPr>
            <w:tcW w:w="696" w:type="dxa"/>
            <w:vAlign w:val="center"/>
          </w:tcPr>
          <w:p w14:paraId="11904823">
            <w:pPr>
              <w:jc w:val="center"/>
              <w:rPr>
                <w:bCs/>
                <w:szCs w:val="21"/>
              </w:rPr>
            </w:pPr>
          </w:p>
        </w:tc>
        <w:tc>
          <w:tcPr>
            <w:tcW w:w="552" w:type="dxa"/>
            <w:vAlign w:val="center"/>
          </w:tcPr>
          <w:p w14:paraId="7D36E77D">
            <w:pPr>
              <w:jc w:val="center"/>
              <w:rPr>
                <w:bCs/>
                <w:szCs w:val="21"/>
              </w:rPr>
            </w:pPr>
          </w:p>
        </w:tc>
        <w:tc>
          <w:tcPr>
            <w:tcW w:w="636" w:type="dxa"/>
            <w:shd w:val="clear" w:color="auto" w:fill="auto"/>
            <w:vAlign w:val="center"/>
          </w:tcPr>
          <w:p w14:paraId="2206BE2D">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468A4086">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380E7C0">
            <w:pPr>
              <w:jc w:val="center"/>
              <w:rPr>
                <w:bCs/>
                <w:szCs w:val="21"/>
              </w:rPr>
            </w:pPr>
          </w:p>
        </w:tc>
        <w:tc>
          <w:tcPr>
            <w:tcW w:w="967" w:type="dxa"/>
            <w:vAlign w:val="center"/>
          </w:tcPr>
          <w:p w14:paraId="495C79EC">
            <w:pPr>
              <w:jc w:val="center"/>
              <w:rPr>
                <w:bCs/>
                <w:szCs w:val="21"/>
              </w:rPr>
            </w:pPr>
          </w:p>
        </w:tc>
      </w:tr>
      <w:tr w14:paraId="5E90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2DFDEA8">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FA677AC">
            <w:pPr>
              <w:jc w:val="center"/>
              <w:rPr>
                <w:bCs/>
                <w:szCs w:val="21"/>
              </w:rPr>
            </w:pPr>
          </w:p>
        </w:tc>
        <w:tc>
          <w:tcPr>
            <w:tcW w:w="1440" w:type="dxa"/>
            <w:shd w:val="clear" w:color="auto" w:fill="auto"/>
            <w:vAlign w:val="center"/>
          </w:tcPr>
          <w:p w14:paraId="44B35CD9">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58EAA3E">
            <w:pPr>
              <w:widowControl/>
              <w:jc w:val="center"/>
              <w:textAlignment w:val="center"/>
              <w:rPr>
                <w:bCs/>
                <w:szCs w:val="21"/>
              </w:rPr>
            </w:pPr>
          </w:p>
        </w:tc>
        <w:tc>
          <w:tcPr>
            <w:tcW w:w="792" w:type="dxa"/>
            <w:vAlign w:val="center"/>
          </w:tcPr>
          <w:p w14:paraId="288E271F">
            <w:pPr>
              <w:widowControl/>
              <w:adjustRightInd w:val="0"/>
              <w:snapToGrid w:val="0"/>
              <w:jc w:val="center"/>
              <w:rPr>
                <w:bCs/>
                <w:szCs w:val="21"/>
              </w:rPr>
            </w:pPr>
          </w:p>
        </w:tc>
        <w:tc>
          <w:tcPr>
            <w:tcW w:w="696" w:type="dxa"/>
            <w:vAlign w:val="center"/>
          </w:tcPr>
          <w:p w14:paraId="40381B9E">
            <w:pPr>
              <w:jc w:val="center"/>
              <w:rPr>
                <w:bCs/>
                <w:szCs w:val="21"/>
              </w:rPr>
            </w:pPr>
          </w:p>
        </w:tc>
        <w:tc>
          <w:tcPr>
            <w:tcW w:w="552" w:type="dxa"/>
            <w:vAlign w:val="center"/>
          </w:tcPr>
          <w:p w14:paraId="725A6DE8">
            <w:pPr>
              <w:jc w:val="center"/>
              <w:rPr>
                <w:bCs/>
                <w:szCs w:val="21"/>
              </w:rPr>
            </w:pPr>
          </w:p>
        </w:tc>
        <w:tc>
          <w:tcPr>
            <w:tcW w:w="636" w:type="dxa"/>
            <w:shd w:val="clear" w:color="auto" w:fill="auto"/>
            <w:vAlign w:val="center"/>
          </w:tcPr>
          <w:p w14:paraId="63EC3567">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002CA4A">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4D223879">
            <w:pPr>
              <w:jc w:val="center"/>
              <w:rPr>
                <w:bCs/>
                <w:szCs w:val="21"/>
              </w:rPr>
            </w:pPr>
          </w:p>
        </w:tc>
        <w:tc>
          <w:tcPr>
            <w:tcW w:w="967" w:type="dxa"/>
            <w:vAlign w:val="center"/>
          </w:tcPr>
          <w:p w14:paraId="1C4DB8EE">
            <w:pPr>
              <w:jc w:val="center"/>
              <w:rPr>
                <w:bCs/>
                <w:szCs w:val="21"/>
              </w:rPr>
            </w:pPr>
          </w:p>
        </w:tc>
      </w:tr>
      <w:tr w14:paraId="7208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7A5B2C4">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BBC6699">
            <w:pPr>
              <w:jc w:val="center"/>
              <w:rPr>
                <w:bCs/>
                <w:szCs w:val="21"/>
              </w:rPr>
            </w:pPr>
          </w:p>
        </w:tc>
        <w:tc>
          <w:tcPr>
            <w:tcW w:w="1440" w:type="dxa"/>
            <w:shd w:val="clear" w:color="auto" w:fill="auto"/>
            <w:vAlign w:val="center"/>
          </w:tcPr>
          <w:p w14:paraId="49DF8388">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000833FF">
            <w:pPr>
              <w:widowControl/>
              <w:jc w:val="center"/>
              <w:textAlignment w:val="center"/>
              <w:rPr>
                <w:bCs/>
                <w:szCs w:val="21"/>
              </w:rPr>
            </w:pPr>
          </w:p>
        </w:tc>
        <w:tc>
          <w:tcPr>
            <w:tcW w:w="792" w:type="dxa"/>
            <w:vAlign w:val="center"/>
          </w:tcPr>
          <w:p w14:paraId="423AEBC4">
            <w:pPr>
              <w:widowControl/>
              <w:adjustRightInd w:val="0"/>
              <w:snapToGrid w:val="0"/>
              <w:jc w:val="center"/>
              <w:rPr>
                <w:bCs/>
                <w:szCs w:val="21"/>
              </w:rPr>
            </w:pPr>
          </w:p>
        </w:tc>
        <w:tc>
          <w:tcPr>
            <w:tcW w:w="696" w:type="dxa"/>
            <w:vAlign w:val="center"/>
          </w:tcPr>
          <w:p w14:paraId="08544963">
            <w:pPr>
              <w:jc w:val="center"/>
              <w:rPr>
                <w:bCs/>
                <w:szCs w:val="21"/>
              </w:rPr>
            </w:pPr>
          </w:p>
        </w:tc>
        <w:tc>
          <w:tcPr>
            <w:tcW w:w="552" w:type="dxa"/>
            <w:vAlign w:val="center"/>
          </w:tcPr>
          <w:p w14:paraId="3A9B637A">
            <w:pPr>
              <w:jc w:val="center"/>
              <w:rPr>
                <w:bCs/>
                <w:szCs w:val="21"/>
              </w:rPr>
            </w:pPr>
          </w:p>
        </w:tc>
        <w:tc>
          <w:tcPr>
            <w:tcW w:w="636" w:type="dxa"/>
            <w:shd w:val="clear" w:color="auto" w:fill="auto"/>
            <w:vAlign w:val="center"/>
          </w:tcPr>
          <w:p w14:paraId="3B3190F4">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3E68127">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4F03C09">
            <w:pPr>
              <w:jc w:val="center"/>
              <w:rPr>
                <w:bCs/>
                <w:szCs w:val="21"/>
              </w:rPr>
            </w:pPr>
          </w:p>
        </w:tc>
        <w:tc>
          <w:tcPr>
            <w:tcW w:w="967" w:type="dxa"/>
            <w:vAlign w:val="center"/>
          </w:tcPr>
          <w:p w14:paraId="7E3B20F3">
            <w:pPr>
              <w:jc w:val="center"/>
              <w:rPr>
                <w:bCs/>
                <w:szCs w:val="21"/>
              </w:rPr>
            </w:pPr>
          </w:p>
        </w:tc>
      </w:tr>
      <w:tr w14:paraId="5EFC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4F63D2F">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2C4BFF8">
            <w:pPr>
              <w:jc w:val="center"/>
              <w:rPr>
                <w:bCs/>
                <w:szCs w:val="21"/>
              </w:rPr>
            </w:pPr>
          </w:p>
        </w:tc>
        <w:tc>
          <w:tcPr>
            <w:tcW w:w="1440" w:type="dxa"/>
            <w:shd w:val="clear" w:color="auto" w:fill="auto"/>
            <w:vAlign w:val="center"/>
          </w:tcPr>
          <w:p w14:paraId="137F2AD8">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F4A7985">
            <w:pPr>
              <w:widowControl/>
              <w:jc w:val="center"/>
              <w:textAlignment w:val="center"/>
              <w:rPr>
                <w:bCs/>
                <w:szCs w:val="21"/>
              </w:rPr>
            </w:pPr>
          </w:p>
        </w:tc>
        <w:tc>
          <w:tcPr>
            <w:tcW w:w="792" w:type="dxa"/>
            <w:vAlign w:val="center"/>
          </w:tcPr>
          <w:p w14:paraId="3C9AAFE6">
            <w:pPr>
              <w:widowControl/>
              <w:adjustRightInd w:val="0"/>
              <w:snapToGrid w:val="0"/>
              <w:jc w:val="center"/>
              <w:rPr>
                <w:bCs/>
                <w:szCs w:val="21"/>
              </w:rPr>
            </w:pPr>
          </w:p>
        </w:tc>
        <w:tc>
          <w:tcPr>
            <w:tcW w:w="696" w:type="dxa"/>
            <w:vAlign w:val="center"/>
          </w:tcPr>
          <w:p w14:paraId="73C3AB8A">
            <w:pPr>
              <w:jc w:val="center"/>
              <w:rPr>
                <w:bCs/>
                <w:szCs w:val="21"/>
              </w:rPr>
            </w:pPr>
          </w:p>
        </w:tc>
        <w:tc>
          <w:tcPr>
            <w:tcW w:w="552" w:type="dxa"/>
            <w:vAlign w:val="center"/>
          </w:tcPr>
          <w:p w14:paraId="32F1C379">
            <w:pPr>
              <w:jc w:val="center"/>
              <w:rPr>
                <w:bCs/>
                <w:szCs w:val="21"/>
              </w:rPr>
            </w:pPr>
          </w:p>
        </w:tc>
        <w:tc>
          <w:tcPr>
            <w:tcW w:w="636" w:type="dxa"/>
            <w:shd w:val="clear" w:color="auto" w:fill="auto"/>
            <w:vAlign w:val="center"/>
          </w:tcPr>
          <w:p w14:paraId="04703A5D">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C1AC46C">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FC843DB">
            <w:pPr>
              <w:jc w:val="center"/>
              <w:rPr>
                <w:bCs/>
                <w:szCs w:val="21"/>
              </w:rPr>
            </w:pPr>
          </w:p>
        </w:tc>
        <w:tc>
          <w:tcPr>
            <w:tcW w:w="967" w:type="dxa"/>
            <w:vAlign w:val="center"/>
          </w:tcPr>
          <w:p w14:paraId="0117EEDB">
            <w:pPr>
              <w:jc w:val="center"/>
              <w:rPr>
                <w:bCs/>
                <w:szCs w:val="21"/>
              </w:rPr>
            </w:pPr>
          </w:p>
        </w:tc>
      </w:tr>
      <w:tr w14:paraId="281A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534D666">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6C3DF1BC">
            <w:pPr>
              <w:jc w:val="center"/>
              <w:rPr>
                <w:bCs/>
                <w:szCs w:val="21"/>
              </w:rPr>
            </w:pPr>
          </w:p>
        </w:tc>
        <w:tc>
          <w:tcPr>
            <w:tcW w:w="1440" w:type="dxa"/>
            <w:shd w:val="clear" w:color="auto" w:fill="auto"/>
            <w:vAlign w:val="center"/>
          </w:tcPr>
          <w:p w14:paraId="72CBCF3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04345F0">
            <w:pPr>
              <w:widowControl/>
              <w:jc w:val="center"/>
              <w:textAlignment w:val="center"/>
              <w:rPr>
                <w:bCs/>
                <w:szCs w:val="21"/>
              </w:rPr>
            </w:pPr>
          </w:p>
        </w:tc>
        <w:tc>
          <w:tcPr>
            <w:tcW w:w="792" w:type="dxa"/>
            <w:vAlign w:val="center"/>
          </w:tcPr>
          <w:p w14:paraId="69490C25">
            <w:pPr>
              <w:widowControl/>
              <w:adjustRightInd w:val="0"/>
              <w:snapToGrid w:val="0"/>
              <w:jc w:val="center"/>
              <w:rPr>
                <w:bCs/>
                <w:szCs w:val="21"/>
              </w:rPr>
            </w:pPr>
          </w:p>
        </w:tc>
        <w:tc>
          <w:tcPr>
            <w:tcW w:w="696" w:type="dxa"/>
            <w:vAlign w:val="center"/>
          </w:tcPr>
          <w:p w14:paraId="77048782">
            <w:pPr>
              <w:jc w:val="center"/>
              <w:rPr>
                <w:bCs/>
                <w:szCs w:val="21"/>
              </w:rPr>
            </w:pPr>
          </w:p>
        </w:tc>
        <w:tc>
          <w:tcPr>
            <w:tcW w:w="552" w:type="dxa"/>
            <w:vAlign w:val="center"/>
          </w:tcPr>
          <w:p w14:paraId="7F4539B6">
            <w:pPr>
              <w:jc w:val="center"/>
              <w:rPr>
                <w:bCs/>
                <w:szCs w:val="21"/>
              </w:rPr>
            </w:pPr>
          </w:p>
        </w:tc>
        <w:tc>
          <w:tcPr>
            <w:tcW w:w="636" w:type="dxa"/>
            <w:shd w:val="clear" w:color="auto" w:fill="auto"/>
            <w:vAlign w:val="center"/>
          </w:tcPr>
          <w:p w14:paraId="2BBE619C">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D2E2C3C">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2193AEA">
            <w:pPr>
              <w:jc w:val="center"/>
              <w:rPr>
                <w:bCs/>
                <w:szCs w:val="21"/>
              </w:rPr>
            </w:pPr>
          </w:p>
        </w:tc>
        <w:tc>
          <w:tcPr>
            <w:tcW w:w="967" w:type="dxa"/>
            <w:vAlign w:val="center"/>
          </w:tcPr>
          <w:p w14:paraId="1D497797">
            <w:pPr>
              <w:jc w:val="center"/>
              <w:rPr>
                <w:bCs/>
                <w:szCs w:val="21"/>
              </w:rPr>
            </w:pPr>
          </w:p>
        </w:tc>
      </w:tr>
      <w:tr w14:paraId="29B1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082A8F2">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49D7327">
            <w:pPr>
              <w:jc w:val="center"/>
              <w:rPr>
                <w:bCs/>
                <w:szCs w:val="21"/>
              </w:rPr>
            </w:pPr>
          </w:p>
        </w:tc>
        <w:tc>
          <w:tcPr>
            <w:tcW w:w="1440" w:type="dxa"/>
            <w:shd w:val="clear" w:color="auto" w:fill="auto"/>
            <w:vAlign w:val="center"/>
          </w:tcPr>
          <w:p w14:paraId="41980463">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A996FC8">
            <w:pPr>
              <w:widowControl/>
              <w:jc w:val="center"/>
              <w:textAlignment w:val="center"/>
              <w:rPr>
                <w:bCs/>
                <w:szCs w:val="21"/>
              </w:rPr>
            </w:pPr>
          </w:p>
        </w:tc>
        <w:tc>
          <w:tcPr>
            <w:tcW w:w="792" w:type="dxa"/>
            <w:vAlign w:val="center"/>
          </w:tcPr>
          <w:p w14:paraId="37E0EA04">
            <w:pPr>
              <w:widowControl/>
              <w:adjustRightInd w:val="0"/>
              <w:snapToGrid w:val="0"/>
              <w:jc w:val="center"/>
              <w:rPr>
                <w:bCs/>
                <w:szCs w:val="21"/>
              </w:rPr>
            </w:pPr>
          </w:p>
        </w:tc>
        <w:tc>
          <w:tcPr>
            <w:tcW w:w="696" w:type="dxa"/>
            <w:vAlign w:val="center"/>
          </w:tcPr>
          <w:p w14:paraId="5D345CBA">
            <w:pPr>
              <w:jc w:val="center"/>
              <w:rPr>
                <w:bCs/>
                <w:szCs w:val="21"/>
              </w:rPr>
            </w:pPr>
          </w:p>
        </w:tc>
        <w:tc>
          <w:tcPr>
            <w:tcW w:w="552" w:type="dxa"/>
            <w:vAlign w:val="center"/>
          </w:tcPr>
          <w:p w14:paraId="0EB3E606">
            <w:pPr>
              <w:jc w:val="center"/>
              <w:rPr>
                <w:bCs/>
                <w:szCs w:val="21"/>
              </w:rPr>
            </w:pPr>
          </w:p>
        </w:tc>
        <w:tc>
          <w:tcPr>
            <w:tcW w:w="636" w:type="dxa"/>
            <w:shd w:val="clear" w:color="auto" w:fill="auto"/>
            <w:vAlign w:val="center"/>
          </w:tcPr>
          <w:p w14:paraId="41B0A844">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442BA0F">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322ABAFD">
            <w:pPr>
              <w:jc w:val="center"/>
              <w:rPr>
                <w:bCs/>
                <w:szCs w:val="21"/>
              </w:rPr>
            </w:pPr>
          </w:p>
        </w:tc>
        <w:tc>
          <w:tcPr>
            <w:tcW w:w="967" w:type="dxa"/>
            <w:vAlign w:val="center"/>
          </w:tcPr>
          <w:p w14:paraId="5837AEE9">
            <w:pPr>
              <w:jc w:val="center"/>
              <w:rPr>
                <w:bCs/>
                <w:szCs w:val="21"/>
              </w:rPr>
            </w:pPr>
          </w:p>
        </w:tc>
      </w:tr>
      <w:tr w14:paraId="3C7E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3042D67">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1DBA849D">
            <w:pPr>
              <w:jc w:val="center"/>
              <w:rPr>
                <w:bCs/>
                <w:szCs w:val="21"/>
              </w:rPr>
            </w:pPr>
          </w:p>
        </w:tc>
        <w:tc>
          <w:tcPr>
            <w:tcW w:w="1440" w:type="dxa"/>
            <w:shd w:val="clear" w:color="auto" w:fill="auto"/>
            <w:vAlign w:val="center"/>
          </w:tcPr>
          <w:p w14:paraId="1B616082">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151CF32">
            <w:pPr>
              <w:widowControl/>
              <w:jc w:val="center"/>
              <w:textAlignment w:val="center"/>
              <w:rPr>
                <w:bCs/>
                <w:szCs w:val="21"/>
              </w:rPr>
            </w:pPr>
          </w:p>
        </w:tc>
        <w:tc>
          <w:tcPr>
            <w:tcW w:w="792" w:type="dxa"/>
            <w:vAlign w:val="center"/>
          </w:tcPr>
          <w:p w14:paraId="62498818">
            <w:pPr>
              <w:widowControl/>
              <w:adjustRightInd w:val="0"/>
              <w:snapToGrid w:val="0"/>
              <w:jc w:val="center"/>
              <w:rPr>
                <w:bCs/>
                <w:szCs w:val="21"/>
              </w:rPr>
            </w:pPr>
          </w:p>
        </w:tc>
        <w:tc>
          <w:tcPr>
            <w:tcW w:w="696" w:type="dxa"/>
            <w:vAlign w:val="center"/>
          </w:tcPr>
          <w:p w14:paraId="21EC1514">
            <w:pPr>
              <w:jc w:val="center"/>
              <w:rPr>
                <w:bCs/>
                <w:szCs w:val="21"/>
              </w:rPr>
            </w:pPr>
          </w:p>
        </w:tc>
        <w:tc>
          <w:tcPr>
            <w:tcW w:w="552" w:type="dxa"/>
            <w:vAlign w:val="center"/>
          </w:tcPr>
          <w:p w14:paraId="11D14787">
            <w:pPr>
              <w:jc w:val="center"/>
              <w:rPr>
                <w:bCs/>
                <w:szCs w:val="21"/>
              </w:rPr>
            </w:pPr>
          </w:p>
        </w:tc>
        <w:tc>
          <w:tcPr>
            <w:tcW w:w="636" w:type="dxa"/>
            <w:shd w:val="clear" w:color="auto" w:fill="auto"/>
            <w:vAlign w:val="center"/>
          </w:tcPr>
          <w:p w14:paraId="177435CC">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075F22F">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7EFD361">
            <w:pPr>
              <w:jc w:val="center"/>
              <w:rPr>
                <w:bCs/>
                <w:szCs w:val="21"/>
              </w:rPr>
            </w:pPr>
          </w:p>
        </w:tc>
        <w:tc>
          <w:tcPr>
            <w:tcW w:w="967" w:type="dxa"/>
            <w:vAlign w:val="center"/>
          </w:tcPr>
          <w:p w14:paraId="38C197D5">
            <w:pPr>
              <w:jc w:val="center"/>
              <w:rPr>
                <w:bCs/>
                <w:szCs w:val="21"/>
              </w:rPr>
            </w:pPr>
          </w:p>
        </w:tc>
      </w:tr>
      <w:tr w14:paraId="3467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19EF9DB4">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D7C43B0">
            <w:pPr>
              <w:jc w:val="center"/>
              <w:rPr>
                <w:bCs/>
                <w:szCs w:val="21"/>
              </w:rPr>
            </w:pPr>
          </w:p>
        </w:tc>
        <w:tc>
          <w:tcPr>
            <w:tcW w:w="1440" w:type="dxa"/>
            <w:shd w:val="clear" w:color="auto" w:fill="auto"/>
            <w:vAlign w:val="center"/>
          </w:tcPr>
          <w:p w14:paraId="6B18E281">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2B46D2E">
            <w:pPr>
              <w:widowControl/>
              <w:jc w:val="center"/>
              <w:textAlignment w:val="center"/>
              <w:rPr>
                <w:bCs/>
                <w:szCs w:val="21"/>
              </w:rPr>
            </w:pPr>
          </w:p>
        </w:tc>
        <w:tc>
          <w:tcPr>
            <w:tcW w:w="792" w:type="dxa"/>
            <w:vAlign w:val="center"/>
          </w:tcPr>
          <w:p w14:paraId="75549F4A">
            <w:pPr>
              <w:widowControl/>
              <w:adjustRightInd w:val="0"/>
              <w:snapToGrid w:val="0"/>
              <w:jc w:val="center"/>
              <w:rPr>
                <w:bCs/>
                <w:szCs w:val="21"/>
              </w:rPr>
            </w:pPr>
          </w:p>
        </w:tc>
        <w:tc>
          <w:tcPr>
            <w:tcW w:w="696" w:type="dxa"/>
            <w:vAlign w:val="center"/>
          </w:tcPr>
          <w:p w14:paraId="6AB2AC12">
            <w:pPr>
              <w:jc w:val="center"/>
              <w:rPr>
                <w:bCs/>
                <w:szCs w:val="21"/>
              </w:rPr>
            </w:pPr>
          </w:p>
        </w:tc>
        <w:tc>
          <w:tcPr>
            <w:tcW w:w="552" w:type="dxa"/>
            <w:vAlign w:val="center"/>
          </w:tcPr>
          <w:p w14:paraId="4213D38C">
            <w:pPr>
              <w:jc w:val="center"/>
              <w:rPr>
                <w:bCs/>
                <w:szCs w:val="21"/>
              </w:rPr>
            </w:pPr>
          </w:p>
        </w:tc>
        <w:tc>
          <w:tcPr>
            <w:tcW w:w="636" w:type="dxa"/>
            <w:shd w:val="clear" w:color="auto" w:fill="auto"/>
            <w:vAlign w:val="center"/>
          </w:tcPr>
          <w:p w14:paraId="3918CDAC">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DB8A9FB">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CAA6D97">
            <w:pPr>
              <w:jc w:val="center"/>
              <w:rPr>
                <w:bCs/>
                <w:szCs w:val="21"/>
              </w:rPr>
            </w:pPr>
          </w:p>
        </w:tc>
        <w:tc>
          <w:tcPr>
            <w:tcW w:w="967" w:type="dxa"/>
            <w:vAlign w:val="center"/>
          </w:tcPr>
          <w:p w14:paraId="1E5874DA">
            <w:pPr>
              <w:jc w:val="center"/>
              <w:rPr>
                <w:bCs/>
                <w:szCs w:val="21"/>
              </w:rPr>
            </w:pPr>
          </w:p>
        </w:tc>
      </w:tr>
      <w:tr w14:paraId="5D1EA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7F4A1448">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9A9AE50">
            <w:pPr>
              <w:jc w:val="center"/>
              <w:rPr>
                <w:bCs/>
                <w:szCs w:val="21"/>
              </w:rPr>
            </w:pPr>
          </w:p>
        </w:tc>
        <w:tc>
          <w:tcPr>
            <w:tcW w:w="1440" w:type="dxa"/>
            <w:shd w:val="clear" w:color="auto" w:fill="auto"/>
            <w:vAlign w:val="center"/>
          </w:tcPr>
          <w:p w14:paraId="18A26052">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55E682A">
            <w:pPr>
              <w:widowControl/>
              <w:jc w:val="center"/>
              <w:textAlignment w:val="center"/>
              <w:rPr>
                <w:bCs/>
                <w:szCs w:val="21"/>
              </w:rPr>
            </w:pPr>
          </w:p>
        </w:tc>
        <w:tc>
          <w:tcPr>
            <w:tcW w:w="792" w:type="dxa"/>
            <w:vAlign w:val="center"/>
          </w:tcPr>
          <w:p w14:paraId="22869B36">
            <w:pPr>
              <w:widowControl/>
              <w:adjustRightInd w:val="0"/>
              <w:snapToGrid w:val="0"/>
              <w:jc w:val="center"/>
              <w:rPr>
                <w:bCs/>
                <w:szCs w:val="21"/>
              </w:rPr>
            </w:pPr>
          </w:p>
        </w:tc>
        <w:tc>
          <w:tcPr>
            <w:tcW w:w="696" w:type="dxa"/>
            <w:vAlign w:val="center"/>
          </w:tcPr>
          <w:p w14:paraId="5511F09E">
            <w:pPr>
              <w:jc w:val="center"/>
              <w:rPr>
                <w:bCs/>
                <w:szCs w:val="21"/>
              </w:rPr>
            </w:pPr>
          </w:p>
        </w:tc>
        <w:tc>
          <w:tcPr>
            <w:tcW w:w="552" w:type="dxa"/>
            <w:vAlign w:val="center"/>
          </w:tcPr>
          <w:p w14:paraId="76433C9B">
            <w:pPr>
              <w:jc w:val="center"/>
              <w:rPr>
                <w:bCs/>
                <w:szCs w:val="21"/>
              </w:rPr>
            </w:pPr>
          </w:p>
        </w:tc>
        <w:tc>
          <w:tcPr>
            <w:tcW w:w="636" w:type="dxa"/>
            <w:shd w:val="clear" w:color="auto" w:fill="auto"/>
            <w:vAlign w:val="center"/>
          </w:tcPr>
          <w:p w14:paraId="5C2F4FFC">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3F0DF82">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276B7B7">
            <w:pPr>
              <w:jc w:val="center"/>
              <w:rPr>
                <w:bCs/>
                <w:szCs w:val="21"/>
              </w:rPr>
            </w:pPr>
          </w:p>
        </w:tc>
        <w:tc>
          <w:tcPr>
            <w:tcW w:w="967" w:type="dxa"/>
            <w:vAlign w:val="center"/>
          </w:tcPr>
          <w:p w14:paraId="06D33C1A">
            <w:pPr>
              <w:jc w:val="center"/>
              <w:rPr>
                <w:bCs/>
                <w:szCs w:val="21"/>
              </w:rPr>
            </w:pPr>
          </w:p>
        </w:tc>
      </w:tr>
      <w:tr w14:paraId="07AD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0ECB1C4">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D145A02">
            <w:pPr>
              <w:jc w:val="center"/>
              <w:rPr>
                <w:bCs/>
                <w:szCs w:val="21"/>
              </w:rPr>
            </w:pPr>
          </w:p>
        </w:tc>
        <w:tc>
          <w:tcPr>
            <w:tcW w:w="1440" w:type="dxa"/>
            <w:shd w:val="clear" w:color="auto" w:fill="auto"/>
            <w:vAlign w:val="center"/>
          </w:tcPr>
          <w:p w14:paraId="2D4A7958">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A79DAEC">
            <w:pPr>
              <w:widowControl/>
              <w:jc w:val="center"/>
              <w:textAlignment w:val="center"/>
              <w:rPr>
                <w:bCs/>
                <w:szCs w:val="21"/>
              </w:rPr>
            </w:pPr>
          </w:p>
        </w:tc>
        <w:tc>
          <w:tcPr>
            <w:tcW w:w="792" w:type="dxa"/>
            <w:vAlign w:val="center"/>
          </w:tcPr>
          <w:p w14:paraId="65415407">
            <w:pPr>
              <w:widowControl/>
              <w:adjustRightInd w:val="0"/>
              <w:snapToGrid w:val="0"/>
              <w:jc w:val="center"/>
              <w:rPr>
                <w:bCs/>
                <w:szCs w:val="21"/>
              </w:rPr>
            </w:pPr>
          </w:p>
        </w:tc>
        <w:tc>
          <w:tcPr>
            <w:tcW w:w="696" w:type="dxa"/>
            <w:vAlign w:val="center"/>
          </w:tcPr>
          <w:p w14:paraId="4B539FBA">
            <w:pPr>
              <w:jc w:val="center"/>
              <w:rPr>
                <w:bCs/>
                <w:szCs w:val="21"/>
              </w:rPr>
            </w:pPr>
          </w:p>
        </w:tc>
        <w:tc>
          <w:tcPr>
            <w:tcW w:w="552" w:type="dxa"/>
            <w:vAlign w:val="center"/>
          </w:tcPr>
          <w:p w14:paraId="3E4E56B7">
            <w:pPr>
              <w:jc w:val="center"/>
              <w:rPr>
                <w:bCs/>
                <w:szCs w:val="21"/>
              </w:rPr>
            </w:pPr>
          </w:p>
        </w:tc>
        <w:tc>
          <w:tcPr>
            <w:tcW w:w="636" w:type="dxa"/>
            <w:shd w:val="clear" w:color="auto" w:fill="auto"/>
            <w:vAlign w:val="center"/>
          </w:tcPr>
          <w:p w14:paraId="2B071EED">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0F7F039">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07BE812F">
            <w:pPr>
              <w:jc w:val="center"/>
              <w:rPr>
                <w:bCs/>
                <w:szCs w:val="21"/>
              </w:rPr>
            </w:pPr>
          </w:p>
        </w:tc>
        <w:tc>
          <w:tcPr>
            <w:tcW w:w="967" w:type="dxa"/>
            <w:vAlign w:val="center"/>
          </w:tcPr>
          <w:p w14:paraId="07212653">
            <w:pPr>
              <w:jc w:val="center"/>
              <w:rPr>
                <w:bCs/>
                <w:szCs w:val="21"/>
              </w:rPr>
            </w:pPr>
          </w:p>
        </w:tc>
      </w:tr>
      <w:tr w14:paraId="4975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19C08AB1">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EA7505B">
            <w:pPr>
              <w:jc w:val="center"/>
              <w:rPr>
                <w:bCs/>
                <w:szCs w:val="21"/>
              </w:rPr>
            </w:pPr>
          </w:p>
        </w:tc>
        <w:tc>
          <w:tcPr>
            <w:tcW w:w="1440" w:type="dxa"/>
            <w:shd w:val="clear" w:color="auto" w:fill="auto"/>
            <w:vAlign w:val="center"/>
          </w:tcPr>
          <w:p w14:paraId="779C550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B1E0709">
            <w:pPr>
              <w:widowControl/>
              <w:jc w:val="center"/>
              <w:textAlignment w:val="center"/>
              <w:rPr>
                <w:bCs/>
                <w:szCs w:val="21"/>
              </w:rPr>
            </w:pPr>
          </w:p>
        </w:tc>
        <w:tc>
          <w:tcPr>
            <w:tcW w:w="792" w:type="dxa"/>
            <w:vAlign w:val="center"/>
          </w:tcPr>
          <w:p w14:paraId="56AB1C60">
            <w:pPr>
              <w:widowControl/>
              <w:adjustRightInd w:val="0"/>
              <w:snapToGrid w:val="0"/>
              <w:jc w:val="center"/>
              <w:rPr>
                <w:bCs/>
                <w:szCs w:val="21"/>
              </w:rPr>
            </w:pPr>
          </w:p>
        </w:tc>
        <w:tc>
          <w:tcPr>
            <w:tcW w:w="696" w:type="dxa"/>
            <w:vAlign w:val="center"/>
          </w:tcPr>
          <w:p w14:paraId="22434993">
            <w:pPr>
              <w:jc w:val="center"/>
              <w:rPr>
                <w:bCs/>
                <w:szCs w:val="21"/>
              </w:rPr>
            </w:pPr>
          </w:p>
        </w:tc>
        <w:tc>
          <w:tcPr>
            <w:tcW w:w="552" w:type="dxa"/>
            <w:vAlign w:val="center"/>
          </w:tcPr>
          <w:p w14:paraId="1DD75B71">
            <w:pPr>
              <w:jc w:val="center"/>
              <w:rPr>
                <w:bCs/>
                <w:szCs w:val="21"/>
              </w:rPr>
            </w:pPr>
          </w:p>
        </w:tc>
        <w:tc>
          <w:tcPr>
            <w:tcW w:w="636" w:type="dxa"/>
            <w:shd w:val="clear" w:color="auto" w:fill="auto"/>
            <w:vAlign w:val="center"/>
          </w:tcPr>
          <w:p w14:paraId="3BB27A61">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DE49693">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16A3089">
            <w:pPr>
              <w:jc w:val="center"/>
              <w:rPr>
                <w:bCs/>
                <w:szCs w:val="21"/>
              </w:rPr>
            </w:pPr>
          </w:p>
        </w:tc>
        <w:tc>
          <w:tcPr>
            <w:tcW w:w="967" w:type="dxa"/>
            <w:vAlign w:val="center"/>
          </w:tcPr>
          <w:p w14:paraId="0F32C729">
            <w:pPr>
              <w:jc w:val="center"/>
              <w:rPr>
                <w:bCs/>
                <w:szCs w:val="21"/>
              </w:rPr>
            </w:pPr>
          </w:p>
        </w:tc>
      </w:tr>
      <w:tr w14:paraId="2127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979A01D">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DE2931D">
            <w:pPr>
              <w:jc w:val="center"/>
              <w:rPr>
                <w:bCs/>
                <w:szCs w:val="21"/>
              </w:rPr>
            </w:pPr>
          </w:p>
        </w:tc>
        <w:tc>
          <w:tcPr>
            <w:tcW w:w="1440" w:type="dxa"/>
            <w:shd w:val="clear" w:color="auto" w:fill="auto"/>
            <w:vAlign w:val="center"/>
          </w:tcPr>
          <w:p w14:paraId="768EC046">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B956848">
            <w:pPr>
              <w:widowControl/>
              <w:jc w:val="center"/>
              <w:textAlignment w:val="center"/>
              <w:rPr>
                <w:bCs/>
                <w:szCs w:val="21"/>
              </w:rPr>
            </w:pPr>
          </w:p>
        </w:tc>
        <w:tc>
          <w:tcPr>
            <w:tcW w:w="792" w:type="dxa"/>
            <w:vAlign w:val="center"/>
          </w:tcPr>
          <w:p w14:paraId="79F27DD4">
            <w:pPr>
              <w:widowControl/>
              <w:adjustRightInd w:val="0"/>
              <w:snapToGrid w:val="0"/>
              <w:jc w:val="center"/>
              <w:rPr>
                <w:bCs/>
                <w:szCs w:val="21"/>
              </w:rPr>
            </w:pPr>
          </w:p>
        </w:tc>
        <w:tc>
          <w:tcPr>
            <w:tcW w:w="696" w:type="dxa"/>
            <w:vAlign w:val="center"/>
          </w:tcPr>
          <w:p w14:paraId="3ECB2404">
            <w:pPr>
              <w:jc w:val="center"/>
              <w:rPr>
                <w:bCs/>
                <w:szCs w:val="21"/>
              </w:rPr>
            </w:pPr>
          </w:p>
        </w:tc>
        <w:tc>
          <w:tcPr>
            <w:tcW w:w="552" w:type="dxa"/>
            <w:vAlign w:val="center"/>
          </w:tcPr>
          <w:p w14:paraId="0F254FD9">
            <w:pPr>
              <w:jc w:val="center"/>
              <w:rPr>
                <w:bCs/>
                <w:szCs w:val="21"/>
              </w:rPr>
            </w:pPr>
          </w:p>
        </w:tc>
        <w:tc>
          <w:tcPr>
            <w:tcW w:w="636" w:type="dxa"/>
            <w:shd w:val="clear" w:color="auto" w:fill="auto"/>
            <w:vAlign w:val="center"/>
          </w:tcPr>
          <w:p w14:paraId="131CE08D">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DE6A8FE">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A9352AC">
            <w:pPr>
              <w:jc w:val="center"/>
              <w:rPr>
                <w:bCs/>
                <w:szCs w:val="21"/>
              </w:rPr>
            </w:pPr>
          </w:p>
        </w:tc>
        <w:tc>
          <w:tcPr>
            <w:tcW w:w="967" w:type="dxa"/>
            <w:vAlign w:val="center"/>
          </w:tcPr>
          <w:p w14:paraId="309021B7">
            <w:pPr>
              <w:jc w:val="center"/>
              <w:rPr>
                <w:bCs/>
                <w:szCs w:val="21"/>
              </w:rPr>
            </w:pPr>
          </w:p>
        </w:tc>
      </w:tr>
      <w:tr w14:paraId="204A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A55BD63">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409EC48">
            <w:pPr>
              <w:jc w:val="center"/>
              <w:rPr>
                <w:bCs/>
                <w:szCs w:val="21"/>
              </w:rPr>
            </w:pPr>
          </w:p>
        </w:tc>
        <w:tc>
          <w:tcPr>
            <w:tcW w:w="1440" w:type="dxa"/>
            <w:shd w:val="clear" w:color="auto" w:fill="auto"/>
            <w:vAlign w:val="center"/>
          </w:tcPr>
          <w:p w14:paraId="13CF9B86">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1274986E">
            <w:pPr>
              <w:widowControl/>
              <w:jc w:val="center"/>
              <w:textAlignment w:val="center"/>
              <w:rPr>
                <w:bCs/>
                <w:szCs w:val="21"/>
              </w:rPr>
            </w:pPr>
          </w:p>
        </w:tc>
        <w:tc>
          <w:tcPr>
            <w:tcW w:w="792" w:type="dxa"/>
            <w:vAlign w:val="center"/>
          </w:tcPr>
          <w:p w14:paraId="17C679E9">
            <w:pPr>
              <w:widowControl/>
              <w:adjustRightInd w:val="0"/>
              <w:snapToGrid w:val="0"/>
              <w:jc w:val="center"/>
              <w:rPr>
                <w:bCs/>
                <w:szCs w:val="21"/>
              </w:rPr>
            </w:pPr>
          </w:p>
        </w:tc>
        <w:tc>
          <w:tcPr>
            <w:tcW w:w="696" w:type="dxa"/>
            <w:vAlign w:val="center"/>
          </w:tcPr>
          <w:p w14:paraId="4AAEB39C">
            <w:pPr>
              <w:jc w:val="center"/>
              <w:rPr>
                <w:bCs/>
                <w:szCs w:val="21"/>
              </w:rPr>
            </w:pPr>
          </w:p>
        </w:tc>
        <w:tc>
          <w:tcPr>
            <w:tcW w:w="552" w:type="dxa"/>
            <w:vAlign w:val="center"/>
          </w:tcPr>
          <w:p w14:paraId="513B2062">
            <w:pPr>
              <w:jc w:val="center"/>
              <w:rPr>
                <w:bCs/>
                <w:szCs w:val="21"/>
              </w:rPr>
            </w:pPr>
          </w:p>
        </w:tc>
        <w:tc>
          <w:tcPr>
            <w:tcW w:w="636" w:type="dxa"/>
            <w:shd w:val="clear" w:color="auto" w:fill="auto"/>
            <w:vAlign w:val="center"/>
          </w:tcPr>
          <w:p w14:paraId="1E6032AB">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D43E22C">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6648804">
            <w:pPr>
              <w:jc w:val="center"/>
              <w:rPr>
                <w:bCs/>
                <w:szCs w:val="21"/>
              </w:rPr>
            </w:pPr>
          </w:p>
        </w:tc>
        <w:tc>
          <w:tcPr>
            <w:tcW w:w="967" w:type="dxa"/>
            <w:vAlign w:val="center"/>
          </w:tcPr>
          <w:p w14:paraId="43D20EB8">
            <w:pPr>
              <w:jc w:val="center"/>
              <w:rPr>
                <w:bCs/>
                <w:szCs w:val="21"/>
              </w:rPr>
            </w:pPr>
          </w:p>
        </w:tc>
      </w:tr>
      <w:tr w14:paraId="594F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CB441B7">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72D05CA">
            <w:pPr>
              <w:jc w:val="center"/>
              <w:rPr>
                <w:bCs/>
                <w:szCs w:val="21"/>
              </w:rPr>
            </w:pPr>
          </w:p>
        </w:tc>
        <w:tc>
          <w:tcPr>
            <w:tcW w:w="1440" w:type="dxa"/>
            <w:shd w:val="clear" w:color="auto" w:fill="auto"/>
            <w:vAlign w:val="center"/>
          </w:tcPr>
          <w:p w14:paraId="01565520">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7D09DF3">
            <w:pPr>
              <w:widowControl/>
              <w:jc w:val="center"/>
              <w:textAlignment w:val="center"/>
              <w:rPr>
                <w:bCs/>
                <w:szCs w:val="21"/>
              </w:rPr>
            </w:pPr>
          </w:p>
        </w:tc>
        <w:tc>
          <w:tcPr>
            <w:tcW w:w="792" w:type="dxa"/>
            <w:vAlign w:val="center"/>
          </w:tcPr>
          <w:p w14:paraId="46A2C66C">
            <w:pPr>
              <w:widowControl/>
              <w:adjustRightInd w:val="0"/>
              <w:snapToGrid w:val="0"/>
              <w:jc w:val="center"/>
              <w:rPr>
                <w:bCs/>
                <w:szCs w:val="21"/>
              </w:rPr>
            </w:pPr>
          </w:p>
        </w:tc>
        <w:tc>
          <w:tcPr>
            <w:tcW w:w="696" w:type="dxa"/>
            <w:vAlign w:val="center"/>
          </w:tcPr>
          <w:p w14:paraId="29ADB45F">
            <w:pPr>
              <w:jc w:val="center"/>
              <w:rPr>
                <w:bCs/>
                <w:szCs w:val="21"/>
              </w:rPr>
            </w:pPr>
          </w:p>
        </w:tc>
        <w:tc>
          <w:tcPr>
            <w:tcW w:w="552" w:type="dxa"/>
            <w:vAlign w:val="center"/>
          </w:tcPr>
          <w:p w14:paraId="6E85AEBE">
            <w:pPr>
              <w:jc w:val="center"/>
              <w:rPr>
                <w:bCs/>
                <w:szCs w:val="21"/>
              </w:rPr>
            </w:pPr>
          </w:p>
        </w:tc>
        <w:tc>
          <w:tcPr>
            <w:tcW w:w="636" w:type="dxa"/>
            <w:shd w:val="clear" w:color="auto" w:fill="auto"/>
            <w:vAlign w:val="center"/>
          </w:tcPr>
          <w:p w14:paraId="6EAAEDF3">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2D683E3">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80CD2A9">
            <w:pPr>
              <w:jc w:val="center"/>
              <w:rPr>
                <w:bCs/>
                <w:szCs w:val="21"/>
              </w:rPr>
            </w:pPr>
          </w:p>
        </w:tc>
        <w:tc>
          <w:tcPr>
            <w:tcW w:w="967" w:type="dxa"/>
            <w:vAlign w:val="center"/>
          </w:tcPr>
          <w:p w14:paraId="6F0F5494">
            <w:pPr>
              <w:jc w:val="center"/>
              <w:rPr>
                <w:bCs/>
                <w:szCs w:val="21"/>
              </w:rPr>
            </w:pPr>
          </w:p>
        </w:tc>
      </w:tr>
      <w:tr w14:paraId="58AC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BA0B83E">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13588600">
            <w:pPr>
              <w:jc w:val="center"/>
              <w:rPr>
                <w:bCs/>
                <w:szCs w:val="21"/>
              </w:rPr>
            </w:pPr>
          </w:p>
        </w:tc>
        <w:tc>
          <w:tcPr>
            <w:tcW w:w="1440" w:type="dxa"/>
            <w:shd w:val="clear" w:color="auto" w:fill="auto"/>
            <w:vAlign w:val="center"/>
          </w:tcPr>
          <w:p w14:paraId="37D7F3DD">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1F9E08C">
            <w:pPr>
              <w:widowControl/>
              <w:jc w:val="center"/>
              <w:textAlignment w:val="center"/>
              <w:rPr>
                <w:bCs/>
                <w:szCs w:val="21"/>
              </w:rPr>
            </w:pPr>
          </w:p>
        </w:tc>
        <w:tc>
          <w:tcPr>
            <w:tcW w:w="792" w:type="dxa"/>
            <w:vAlign w:val="center"/>
          </w:tcPr>
          <w:p w14:paraId="38C08178">
            <w:pPr>
              <w:widowControl/>
              <w:adjustRightInd w:val="0"/>
              <w:snapToGrid w:val="0"/>
              <w:jc w:val="center"/>
              <w:rPr>
                <w:bCs/>
                <w:szCs w:val="21"/>
              </w:rPr>
            </w:pPr>
          </w:p>
        </w:tc>
        <w:tc>
          <w:tcPr>
            <w:tcW w:w="696" w:type="dxa"/>
            <w:vAlign w:val="center"/>
          </w:tcPr>
          <w:p w14:paraId="19ED1529">
            <w:pPr>
              <w:jc w:val="center"/>
              <w:rPr>
                <w:bCs/>
                <w:szCs w:val="21"/>
              </w:rPr>
            </w:pPr>
          </w:p>
        </w:tc>
        <w:tc>
          <w:tcPr>
            <w:tcW w:w="552" w:type="dxa"/>
            <w:vAlign w:val="center"/>
          </w:tcPr>
          <w:p w14:paraId="2AB300A5">
            <w:pPr>
              <w:jc w:val="center"/>
              <w:rPr>
                <w:bCs/>
                <w:szCs w:val="21"/>
              </w:rPr>
            </w:pPr>
          </w:p>
        </w:tc>
        <w:tc>
          <w:tcPr>
            <w:tcW w:w="636" w:type="dxa"/>
            <w:shd w:val="clear" w:color="auto" w:fill="auto"/>
            <w:vAlign w:val="center"/>
          </w:tcPr>
          <w:p w14:paraId="4915433B">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4443DD96">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3F5D1E9">
            <w:pPr>
              <w:jc w:val="center"/>
              <w:rPr>
                <w:bCs/>
                <w:szCs w:val="21"/>
              </w:rPr>
            </w:pPr>
          </w:p>
        </w:tc>
        <w:tc>
          <w:tcPr>
            <w:tcW w:w="967" w:type="dxa"/>
            <w:vAlign w:val="center"/>
          </w:tcPr>
          <w:p w14:paraId="7D9D6FB9">
            <w:pPr>
              <w:jc w:val="center"/>
              <w:rPr>
                <w:bCs/>
                <w:szCs w:val="21"/>
              </w:rPr>
            </w:pPr>
          </w:p>
        </w:tc>
      </w:tr>
      <w:tr w14:paraId="7AFE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2E356340">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85BFA90">
            <w:pPr>
              <w:jc w:val="center"/>
              <w:rPr>
                <w:bCs/>
                <w:szCs w:val="21"/>
              </w:rPr>
            </w:pPr>
          </w:p>
        </w:tc>
        <w:tc>
          <w:tcPr>
            <w:tcW w:w="1440" w:type="dxa"/>
            <w:shd w:val="clear" w:color="auto" w:fill="auto"/>
            <w:vAlign w:val="center"/>
          </w:tcPr>
          <w:p w14:paraId="230E1003">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C31FBF8">
            <w:pPr>
              <w:widowControl/>
              <w:jc w:val="center"/>
              <w:textAlignment w:val="center"/>
              <w:rPr>
                <w:bCs/>
                <w:szCs w:val="21"/>
              </w:rPr>
            </w:pPr>
          </w:p>
        </w:tc>
        <w:tc>
          <w:tcPr>
            <w:tcW w:w="792" w:type="dxa"/>
            <w:vAlign w:val="center"/>
          </w:tcPr>
          <w:p w14:paraId="22D9EBFB">
            <w:pPr>
              <w:widowControl/>
              <w:adjustRightInd w:val="0"/>
              <w:snapToGrid w:val="0"/>
              <w:jc w:val="center"/>
              <w:rPr>
                <w:bCs/>
                <w:szCs w:val="21"/>
              </w:rPr>
            </w:pPr>
          </w:p>
        </w:tc>
        <w:tc>
          <w:tcPr>
            <w:tcW w:w="696" w:type="dxa"/>
            <w:vAlign w:val="center"/>
          </w:tcPr>
          <w:p w14:paraId="08B9245E">
            <w:pPr>
              <w:jc w:val="center"/>
              <w:rPr>
                <w:bCs/>
                <w:szCs w:val="21"/>
              </w:rPr>
            </w:pPr>
          </w:p>
        </w:tc>
        <w:tc>
          <w:tcPr>
            <w:tcW w:w="552" w:type="dxa"/>
            <w:vAlign w:val="center"/>
          </w:tcPr>
          <w:p w14:paraId="633AFEF2">
            <w:pPr>
              <w:jc w:val="center"/>
              <w:rPr>
                <w:bCs/>
                <w:szCs w:val="21"/>
              </w:rPr>
            </w:pPr>
          </w:p>
        </w:tc>
        <w:tc>
          <w:tcPr>
            <w:tcW w:w="636" w:type="dxa"/>
            <w:shd w:val="clear" w:color="auto" w:fill="auto"/>
            <w:vAlign w:val="center"/>
          </w:tcPr>
          <w:p w14:paraId="20227E68">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C3FB879">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5286412">
            <w:pPr>
              <w:jc w:val="center"/>
              <w:rPr>
                <w:bCs/>
                <w:szCs w:val="21"/>
              </w:rPr>
            </w:pPr>
          </w:p>
        </w:tc>
        <w:tc>
          <w:tcPr>
            <w:tcW w:w="967" w:type="dxa"/>
            <w:vAlign w:val="center"/>
          </w:tcPr>
          <w:p w14:paraId="2B3AECC3">
            <w:pPr>
              <w:jc w:val="center"/>
              <w:rPr>
                <w:bCs/>
                <w:szCs w:val="21"/>
              </w:rPr>
            </w:pPr>
          </w:p>
        </w:tc>
      </w:tr>
      <w:tr w14:paraId="3B84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7A20234C">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6DCC3211">
            <w:pPr>
              <w:jc w:val="center"/>
              <w:rPr>
                <w:bCs/>
                <w:szCs w:val="21"/>
              </w:rPr>
            </w:pPr>
          </w:p>
        </w:tc>
        <w:tc>
          <w:tcPr>
            <w:tcW w:w="1440" w:type="dxa"/>
            <w:shd w:val="clear" w:color="auto" w:fill="auto"/>
            <w:vAlign w:val="center"/>
          </w:tcPr>
          <w:p w14:paraId="125F2190">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FC48BCB">
            <w:pPr>
              <w:widowControl/>
              <w:jc w:val="center"/>
              <w:textAlignment w:val="center"/>
              <w:rPr>
                <w:bCs/>
                <w:szCs w:val="21"/>
              </w:rPr>
            </w:pPr>
          </w:p>
        </w:tc>
        <w:tc>
          <w:tcPr>
            <w:tcW w:w="792" w:type="dxa"/>
            <w:vAlign w:val="center"/>
          </w:tcPr>
          <w:p w14:paraId="43E5E88B">
            <w:pPr>
              <w:widowControl/>
              <w:adjustRightInd w:val="0"/>
              <w:snapToGrid w:val="0"/>
              <w:jc w:val="center"/>
              <w:rPr>
                <w:bCs/>
                <w:szCs w:val="21"/>
              </w:rPr>
            </w:pPr>
          </w:p>
        </w:tc>
        <w:tc>
          <w:tcPr>
            <w:tcW w:w="696" w:type="dxa"/>
            <w:vAlign w:val="center"/>
          </w:tcPr>
          <w:p w14:paraId="22C3780C">
            <w:pPr>
              <w:jc w:val="center"/>
              <w:rPr>
                <w:bCs/>
                <w:szCs w:val="21"/>
              </w:rPr>
            </w:pPr>
          </w:p>
        </w:tc>
        <w:tc>
          <w:tcPr>
            <w:tcW w:w="552" w:type="dxa"/>
            <w:vAlign w:val="center"/>
          </w:tcPr>
          <w:p w14:paraId="475EF924">
            <w:pPr>
              <w:jc w:val="center"/>
              <w:rPr>
                <w:bCs/>
                <w:szCs w:val="21"/>
              </w:rPr>
            </w:pPr>
          </w:p>
        </w:tc>
        <w:tc>
          <w:tcPr>
            <w:tcW w:w="636" w:type="dxa"/>
            <w:shd w:val="clear" w:color="auto" w:fill="auto"/>
            <w:vAlign w:val="center"/>
          </w:tcPr>
          <w:p w14:paraId="56322471">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E2511EA">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42A3785E">
            <w:pPr>
              <w:jc w:val="center"/>
              <w:rPr>
                <w:bCs/>
                <w:szCs w:val="21"/>
              </w:rPr>
            </w:pPr>
          </w:p>
        </w:tc>
        <w:tc>
          <w:tcPr>
            <w:tcW w:w="967" w:type="dxa"/>
            <w:vAlign w:val="center"/>
          </w:tcPr>
          <w:p w14:paraId="3462B2F0">
            <w:pPr>
              <w:jc w:val="center"/>
              <w:rPr>
                <w:bCs/>
                <w:szCs w:val="21"/>
              </w:rPr>
            </w:pPr>
          </w:p>
        </w:tc>
      </w:tr>
      <w:tr w14:paraId="3E53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0512A9D">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6FB6974A">
            <w:pPr>
              <w:jc w:val="center"/>
              <w:rPr>
                <w:bCs/>
                <w:szCs w:val="21"/>
              </w:rPr>
            </w:pPr>
          </w:p>
        </w:tc>
        <w:tc>
          <w:tcPr>
            <w:tcW w:w="1440" w:type="dxa"/>
            <w:shd w:val="clear" w:color="auto" w:fill="auto"/>
            <w:vAlign w:val="center"/>
          </w:tcPr>
          <w:p w14:paraId="5C9874C2">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1415798">
            <w:pPr>
              <w:widowControl/>
              <w:jc w:val="center"/>
              <w:textAlignment w:val="center"/>
              <w:rPr>
                <w:bCs/>
                <w:szCs w:val="21"/>
              </w:rPr>
            </w:pPr>
          </w:p>
        </w:tc>
        <w:tc>
          <w:tcPr>
            <w:tcW w:w="792" w:type="dxa"/>
            <w:vAlign w:val="center"/>
          </w:tcPr>
          <w:p w14:paraId="4C03A2EA">
            <w:pPr>
              <w:widowControl/>
              <w:adjustRightInd w:val="0"/>
              <w:snapToGrid w:val="0"/>
              <w:jc w:val="center"/>
              <w:rPr>
                <w:bCs/>
                <w:szCs w:val="21"/>
              </w:rPr>
            </w:pPr>
          </w:p>
        </w:tc>
        <w:tc>
          <w:tcPr>
            <w:tcW w:w="696" w:type="dxa"/>
            <w:vAlign w:val="center"/>
          </w:tcPr>
          <w:p w14:paraId="61A6DA0B">
            <w:pPr>
              <w:jc w:val="center"/>
              <w:rPr>
                <w:bCs/>
                <w:szCs w:val="21"/>
              </w:rPr>
            </w:pPr>
          </w:p>
        </w:tc>
        <w:tc>
          <w:tcPr>
            <w:tcW w:w="552" w:type="dxa"/>
            <w:vAlign w:val="center"/>
          </w:tcPr>
          <w:p w14:paraId="55ECF957">
            <w:pPr>
              <w:jc w:val="center"/>
              <w:rPr>
                <w:bCs/>
                <w:szCs w:val="21"/>
              </w:rPr>
            </w:pPr>
          </w:p>
        </w:tc>
        <w:tc>
          <w:tcPr>
            <w:tcW w:w="636" w:type="dxa"/>
            <w:shd w:val="clear" w:color="auto" w:fill="auto"/>
            <w:vAlign w:val="center"/>
          </w:tcPr>
          <w:p w14:paraId="4DBD96B8">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D46711C">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0393149">
            <w:pPr>
              <w:jc w:val="center"/>
              <w:rPr>
                <w:bCs/>
                <w:szCs w:val="21"/>
              </w:rPr>
            </w:pPr>
          </w:p>
        </w:tc>
        <w:tc>
          <w:tcPr>
            <w:tcW w:w="967" w:type="dxa"/>
            <w:vAlign w:val="center"/>
          </w:tcPr>
          <w:p w14:paraId="6A3FEADD">
            <w:pPr>
              <w:jc w:val="center"/>
              <w:rPr>
                <w:bCs/>
                <w:szCs w:val="21"/>
              </w:rPr>
            </w:pPr>
          </w:p>
        </w:tc>
      </w:tr>
      <w:tr w14:paraId="55A08B57">
        <w:tblPrEx>
          <w:tblCellMar>
            <w:top w:w="0" w:type="dxa"/>
            <w:left w:w="108" w:type="dxa"/>
            <w:bottom w:w="0" w:type="dxa"/>
            <w:right w:w="108" w:type="dxa"/>
          </w:tblCellMar>
        </w:tblPrEx>
        <w:trPr>
          <w:jc w:val="center"/>
        </w:trPr>
        <w:tc>
          <w:tcPr>
            <w:tcW w:w="561" w:type="dxa"/>
            <w:shd w:val="clear" w:color="auto" w:fill="auto"/>
            <w:vAlign w:val="center"/>
          </w:tcPr>
          <w:p w14:paraId="3D6CCECE">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D065D0A">
            <w:pPr>
              <w:jc w:val="center"/>
              <w:rPr>
                <w:bCs/>
                <w:szCs w:val="21"/>
              </w:rPr>
            </w:pPr>
          </w:p>
        </w:tc>
        <w:tc>
          <w:tcPr>
            <w:tcW w:w="1440" w:type="dxa"/>
            <w:shd w:val="clear" w:color="auto" w:fill="auto"/>
            <w:vAlign w:val="center"/>
          </w:tcPr>
          <w:p w14:paraId="2467114E">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96525DE">
            <w:pPr>
              <w:widowControl/>
              <w:jc w:val="center"/>
              <w:textAlignment w:val="center"/>
              <w:rPr>
                <w:bCs/>
                <w:szCs w:val="21"/>
              </w:rPr>
            </w:pPr>
          </w:p>
        </w:tc>
        <w:tc>
          <w:tcPr>
            <w:tcW w:w="792" w:type="dxa"/>
            <w:vAlign w:val="center"/>
          </w:tcPr>
          <w:p w14:paraId="1FB639A3">
            <w:pPr>
              <w:widowControl/>
              <w:adjustRightInd w:val="0"/>
              <w:snapToGrid w:val="0"/>
              <w:jc w:val="center"/>
              <w:rPr>
                <w:bCs/>
                <w:szCs w:val="21"/>
              </w:rPr>
            </w:pPr>
          </w:p>
        </w:tc>
        <w:tc>
          <w:tcPr>
            <w:tcW w:w="696" w:type="dxa"/>
            <w:vAlign w:val="center"/>
          </w:tcPr>
          <w:p w14:paraId="0196B606">
            <w:pPr>
              <w:jc w:val="center"/>
              <w:rPr>
                <w:bCs/>
                <w:szCs w:val="21"/>
              </w:rPr>
            </w:pPr>
          </w:p>
        </w:tc>
        <w:tc>
          <w:tcPr>
            <w:tcW w:w="552" w:type="dxa"/>
            <w:vAlign w:val="center"/>
          </w:tcPr>
          <w:p w14:paraId="7A38E056">
            <w:pPr>
              <w:jc w:val="center"/>
              <w:rPr>
                <w:bCs/>
                <w:szCs w:val="21"/>
              </w:rPr>
            </w:pPr>
          </w:p>
        </w:tc>
        <w:tc>
          <w:tcPr>
            <w:tcW w:w="636" w:type="dxa"/>
            <w:shd w:val="clear" w:color="auto" w:fill="auto"/>
            <w:vAlign w:val="center"/>
          </w:tcPr>
          <w:p w14:paraId="69CCCF38">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01B3C8E">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FE42C29">
            <w:pPr>
              <w:jc w:val="center"/>
              <w:rPr>
                <w:bCs/>
                <w:szCs w:val="21"/>
              </w:rPr>
            </w:pPr>
          </w:p>
        </w:tc>
        <w:tc>
          <w:tcPr>
            <w:tcW w:w="967" w:type="dxa"/>
            <w:vAlign w:val="center"/>
          </w:tcPr>
          <w:p w14:paraId="64BE1136">
            <w:pPr>
              <w:jc w:val="center"/>
              <w:rPr>
                <w:bCs/>
                <w:szCs w:val="21"/>
              </w:rPr>
            </w:pPr>
          </w:p>
        </w:tc>
      </w:tr>
      <w:tr w14:paraId="4058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EAA92BB">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E4E7DAF">
            <w:pPr>
              <w:jc w:val="center"/>
              <w:rPr>
                <w:bCs/>
                <w:szCs w:val="21"/>
              </w:rPr>
            </w:pPr>
          </w:p>
        </w:tc>
        <w:tc>
          <w:tcPr>
            <w:tcW w:w="1440" w:type="dxa"/>
            <w:shd w:val="clear" w:color="auto" w:fill="auto"/>
            <w:vAlign w:val="center"/>
          </w:tcPr>
          <w:p w14:paraId="368BCFCC">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8B2FFB6">
            <w:pPr>
              <w:widowControl/>
              <w:jc w:val="center"/>
              <w:textAlignment w:val="center"/>
              <w:rPr>
                <w:bCs/>
                <w:szCs w:val="21"/>
              </w:rPr>
            </w:pPr>
          </w:p>
        </w:tc>
        <w:tc>
          <w:tcPr>
            <w:tcW w:w="792" w:type="dxa"/>
            <w:vAlign w:val="center"/>
          </w:tcPr>
          <w:p w14:paraId="13883283">
            <w:pPr>
              <w:widowControl/>
              <w:adjustRightInd w:val="0"/>
              <w:snapToGrid w:val="0"/>
              <w:jc w:val="center"/>
              <w:rPr>
                <w:bCs/>
                <w:szCs w:val="21"/>
              </w:rPr>
            </w:pPr>
          </w:p>
        </w:tc>
        <w:tc>
          <w:tcPr>
            <w:tcW w:w="696" w:type="dxa"/>
            <w:vAlign w:val="center"/>
          </w:tcPr>
          <w:p w14:paraId="4F756643">
            <w:pPr>
              <w:jc w:val="center"/>
              <w:rPr>
                <w:bCs/>
                <w:szCs w:val="21"/>
              </w:rPr>
            </w:pPr>
          </w:p>
        </w:tc>
        <w:tc>
          <w:tcPr>
            <w:tcW w:w="552" w:type="dxa"/>
            <w:vAlign w:val="center"/>
          </w:tcPr>
          <w:p w14:paraId="0CBA57E0">
            <w:pPr>
              <w:jc w:val="center"/>
              <w:rPr>
                <w:bCs/>
                <w:szCs w:val="21"/>
              </w:rPr>
            </w:pPr>
          </w:p>
        </w:tc>
        <w:tc>
          <w:tcPr>
            <w:tcW w:w="636" w:type="dxa"/>
            <w:shd w:val="clear" w:color="auto" w:fill="auto"/>
            <w:vAlign w:val="center"/>
          </w:tcPr>
          <w:p w14:paraId="45BF8C0A">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BA2CF46">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1EF5872">
            <w:pPr>
              <w:jc w:val="center"/>
              <w:rPr>
                <w:bCs/>
                <w:szCs w:val="21"/>
              </w:rPr>
            </w:pPr>
          </w:p>
        </w:tc>
        <w:tc>
          <w:tcPr>
            <w:tcW w:w="967" w:type="dxa"/>
            <w:vAlign w:val="center"/>
          </w:tcPr>
          <w:p w14:paraId="467DE848">
            <w:pPr>
              <w:jc w:val="center"/>
              <w:rPr>
                <w:bCs/>
                <w:szCs w:val="21"/>
              </w:rPr>
            </w:pPr>
          </w:p>
        </w:tc>
      </w:tr>
      <w:tr w14:paraId="0F55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F713EE7">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15A9669">
            <w:pPr>
              <w:jc w:val="center"/>
              <w:rPr>
                <w:bCs/>
                <w:szCs w:val="21"/>
              </w:rPr>
            </w:pPr>
          </w:p>
        </w:tc>
        <w:tc>
          <w:tcPr>
            <w:tcW w:w="1440" w:type="dxa"/>
            <w:shd w:val="clear" w:color="auto" w:fill="auto"/>
            <w:vAlign w:val="center"/>
          </w:tcPr>
          <w:p w14:paraId="427C3968">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2FEA127">
            <w:pPr>
              <w:widowControl/>
              <w:jc w:val="center"/>
              <w:textAlignment w:val="center"/>
              <w:rPr>
                <w:bCs/>
                <w:szCs w:val="21"/>
              </w:rPr>
            </w:pPr>
          </w:p>
        </w:tc>
        <w:tc>
          <w:tcPr>
            <w:tcW w:w="792" w:type="dxa"/>
            <w:vAlign w:val="center"/>
          </w:tcPr>
          <w:p w14:paraId="62691A2C">
            <w:pPr>
              <w:widowControl/>
              <w:adjustRightInd w:val="0"/>
              <w:snapToGrid w:val="0"/>
              <w:jc w:val="center"/>
              <w:rPr>
                <w:bCs/>
                <w:szCs w:val="21"/>
              </w:rPr>
            </w:pPr>
          </w:p>
        </w:tc>
        <w:tc>
          <w:tcPr>
            <w:tcW w:w="696" w:type="dxa"/>
            <w:vAlign w:val="center"/>
          </w:tcPr>
          <w:p w14:paraId="41B3DE62">
            <w:pPr>
              <w:jc w:val="center"/>
              <w:rPr>
                <w:bCs/>
                <w:szCs w:val="21"/>
              </w:rPr>
            </w:pPr>
          </w:p>
        </w:tc>
        <w:tc>
          <w:tcPr>
            <w:tcW w:w="552" w:type="dxa"/>
            <w:vAlign w:val="center"/>
          </w:tcPr>
          <w:p w14:paraId="5B78364D">
            <w:pPr>
              <w:jc w:val="center"/>
              <w:rPr>
                <w:bCs/>
                <w:szCs w:val="21"/>
              </w:rPr>
            </w:pPr>
          </w:p>
        </w:tc>
        <w:tc>
          <w:tcPr>
            <w:tcW w:w="636" w:type="dxa"/>
            <w:shd w:val="clear" w:color="auto" w:fill="auto"/>
            <w:vAlign w:val="center"/>
          </w:tcPr>
          <w:p w14:paraId="2CDE8F02">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742006E">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57EB55B">
            <w:pPr>
              <w:jc w:val="center"/>
              <w:rPr>
                <w:bCs/>
                <w:szCs w:val="21"/>
              </w:rPr>
            </w:pPr>
          </w:p>
        </w:tc>
        <w:tc>
          <w:tcPr>
            <w:tcW w:w="967" w:type="dxa"/>
            <w:vAlign w:val="center"/>
          </w:tcPr>
          <w:p w14:paraId="02662D4E">
            <w:pPr>
              <w:jc w:val="center"/>
              <w:rPr>
                <w:bCs/>
                <w:szCs w:val="21"/>
              </w:rPr>
            </w:pPr>
          </w:p>
        </w:tc>
      </w:tr>
      <w:tr w14:paraId="21D4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BFDA257">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F677455">
            <w:pPr>
              <w:jc w:val="center"/>
              <w:rPr>
                <w:bCs/>
                <w:szCs w:val="21"/>
              </w:rPr>
            </w:pPr>
          </w:p>
        </w:tc>
        <w:tc>
          <w:tcPr>
            <w:tcW w:w="1440" w:type="dxa"/>
            <w:shd w:val="clear" w:color="auto" w:fill="auto"/>
            <w:vAlign w:val="center"/>
          </w:tcPr>
          <w:p w14:paraId="2C283858">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25E9E04">
            <w:pPr>
              <w:widowControl/>
              <w:jc w:val="center"/>
              <w:textAlignment w:val="center"/>
              <w:rPr>
                <w:bCs/>
                <w:szCs w:val="21"/>
              </w:rPr>
            </w:pPr>
          </w:p>
        </w:tc>
        <w:tc>
          <w:tcPr>
            <w:tcW w:w="792" w:type="dxa"/>
            <w:vAlign w:val="center"/>
          </w:tcPr>
          <w:p w14:paraId="487D78CD">
            <w:pPr>
              <w:widowControl/>
              <w:adjustRightInd w:val="0"/>
              <w:snapToGrid w:val="0"/>
              <w:jc w:val="center"/>
              <w:rPr>
                <w:bCs/>
                <w:szCs w:val="21"/>
              </w:rPr>
            </w:pPr>
          </w:p>
        </w:tc>
        <w:tc>
          <w:tcPr>
            <w:tcW w:w="696" w:type="dxa"/>
            <w:vAlign w:val="center"/>
          </w:tcPr>
          <w:p w14:paraId="70DDAA27">
            <w:pPr>
              <w:jc w:val="center"/>
              <w:rPr>
                <w:bCs/>
                <w:szCs w:val="21"/>
              </w:rPr>
            </w:pPr>
          </w:p>
        </w:tc>
        <w:tc>
          <w:tcPr>
            <w:tcW w:w="552" w:type="dxa"/>
            <w:vAlign w:val="center"/>
          </w:tcPr>
          <w:p w14:paraId="4B93591C">
            <w:pPr>
              <w:jc w:val="center"/>
              <w:rPr>
                <w:bCs/>
                <w:szCs w:val="21"/>
              </w:rPr>
            </w:pPr>
          </w:p>
        </w:tc>
        <w:tc>
          <w:tcPr>
            <w:tcW w:w="636" w:type="dxa"/>
            <w:shd w:val="clear" w:color="auto" w:fill="auto"/>
            <w:vAlign w:val="center"/>
          </w:tcPr>
          <w:p w14:paraId="0C00DD03">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619AC8B">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093EC3AE">
            <w:pPr>
              <w:jc w:val="center"/>
              <w:rPr>
                <w:bCs/>
                <w:szCs w:val="21"/>
              </w:rPr>
            </w:pPr>
          </w:p>
        </w:tc>
        <w:tc>
          <w:tcPr>
            <w:tcW w:w="967" w:type="dxa"/>
            <w:vAlign w:val="center"/>
          </w:tcPr>
          <w:p w14:paraId="1DC0116F">
            <w:pPr>
              <w:jc w:val="center"/>
              <w:rPr>
                <w:bCs/>
                <w:szCs w:val="21"/>
              </w:rPr>
            </w:pPr>
          </w:p>
        </w:tc>
      </w:tr>
      <w:tr w14:paraId="7EA7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79837BE6">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3B2B53F">
            <w:pPr>
              <w:jc w:val="center"/>
              <w:rPr>
                <w:bCs/>
                <w:szCs w:val="21"/>
              </w:rPr>
            </w:pPr>
          </w:p>
        </w:tc>
        <w:tc>
          <w:tcPr>
            <w:tcW w:w="1440" w:type="dxa"/>
            <w:shd w:val="clear" w:color="auto" w:fill="auto"/>
            <w:vAlign w:val="center"/>
          </w:tcPr>
          <w:p w14:paraId="1F9943F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FD9180E">
            <w:pPr>
              <w:widowControl/>
              <w:jc w:val="center"/>
              <w:textAlignment w:val="center"/>
              <w:rPr>
                <w:bCs/>
                <w:szCs w:val="21"/>
              </w:rPr>
            </w:pPr>
          </w:p>
        </w:tc>
        <w:tc>
          <w:tcPr>
            <w:tcW w:w="792" w:type="dxa"/>
            <w:vAlign w:val="center"/>
          </w:tcPr>
          <w:p w14:paraId="429AC52B">
            <w:pPr>
              <w:widowControl/>
              <w:adjustRightInd w:val="0"/>
              <w:snapToGrid w:val="0"/>
              <w:jc w:val="center"/>
              <w:rPr>
                <w:bCs/>
                <w:szCs w:val="21"/>
              </w:rPr>
            </w:pPr>
          </w:p>
        </w:tc>
        <w:tc>
          <w:tcPr>
            <w:tcW w:w="696" w:type="dxa"/>
            <w:vAlign w:val="center"/>
          </w:tcPr>
          <w:p w14:paraId="4BA760F3">
            <w:pPr>
              <w:jc w:val="center"/>
              <w:rPr>
                <w:bCs/>
                <w:szCs w:val="21"/>
              </w:rPr>
            </w:pPr>
          </w:p>
        </w:tc>
        <w:tc>
          <w:tcPr>
            <w:tcW w:w="552" w:type="dxa"/>
            <w:vAlign w:val="center"/>
          </w:tcPr>
          <w:p w14:paraId="777AED60">
            <w:pPr>
              <w:jc w:val="center"/>
              <w:rPr>
                <w:bCs/>
                <w:szCs w:val="21"/>
              </w:rPr>
            </w:pPr>
          </w:p>
        </w:tc>
        <w:tc>
          <w:tcPr>
            <w:tcW w:w="636" w:type="dxa"/>
            <w:shd w:val="clear" w:color="auto" w:fill="auto"/>
            <w:vAlign w:val="center"/>
          </w:tcPr>
          <w:p w14:paraId="22E9FA89">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659ECD2">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3FB7FC9E">
            <w:pPr>
              <w:jc w:val="center"/>
              <w:rPr>
                <w:bCs/>
                <w:szCs w:val="21"/>
              </w:rPr>
            </w:pPr>
          </w:p>
        </w:tc>
        <w:tc>
          <w:tcPr>
            <w:tcW w:w="967" w:type="dxa"/>
            <w:vAlign w:val="center"/>
          </w:tcPr>
          <w:p w14:paraId="3F3B1E07">
            <w:pPr>
              <w:jc w:val="center"/>
              <w:rPr>
                <w:bCs/>
                <w:szCs w:val="21"/>
              </w:rPr>
            </w:pPr>
          </w:p>
        </w:tc>
      </w:tr>
      <w:tr w14:paraId="5C63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700BB24">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DF3EC3F">
            <w:pPr>
              <w:jc w:val="center"/>
              <w:rPr>
                <w:bCs/>
                <w:szCs w:val="21"/>
              </w:rPr>
            </w:pPr>
          </w:p>
        </w:tc>
        <w:tc>
          <w:tcPr>
            <w:tcW w:w="1440" w:type="dxa"/>
            <w:shd w:val="clear" w:color="auto" w:fill="auto"/>
            <w:vAlign w:val="center"/>
          </w:tcPr>
          <w:p w14:paraId="5A74ECE9">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16BA244B">
            <w:pPr>
              <w:widowControl/>
              <w:jc w:val="center"/>
              <w:textAlignment w:val="center"/>
              <w:rPr>
                <w:bCs/>
                <w:szCs w:val="21"/>
              </w:rPr>
            </w:pPr>
          </w:p>
        </w:tc>
        <w:tc>
          <w:tcPr>
            <w:tcW w:w="792" w:type="dxa"/>
            <w:vAlign w:val="center"/>
          </w:tcPr>
          <w:p w14:paraId="7A493D38">
            <w:pPr>
              <w:widowControl/>
              <w:adjustRightInd w:val="0"/>
              <w:snapToGrid w:val="0"/>
              <w:jc w:val="center"/>
              <w:rPr>
                <w:bCs/>
                <w:szCs w:val="21"/>
              </w:rPr>
            </w:pPr>
          </w:p>
        </w:tc>
        <w:tc>
          <w:tcPr>
            <w:tcW w:w="696" w:type="dxa"/>
            <w:vAlign w:val="center"/>
          </w:tcPr>
          <w:p w14:paraId="5D405BA7">
            <w:pPr>
              <w:jc w:val="center"/>
              <w:rPr>
                <w:bCs/>
                <w:szCs w:val="21"/>
              </w:rPr>
            </w:pPr>
          </w:p>
        </w:tc>
        <w:tc>
          <w:tcPr>
            <w:tcW w:w="552" w:type="dxa"/>
            <w:vAlign w:val="center"/>
          </w:tcPr>
          <w:p w14:paraId="7C2D7D60">
            <w:pPr>
              <w:jc w:val="center"/>
              <w:rPr>
                <w:bCs/>
                <w:szCs w:val="21"/>
              </w:rPr>
            </w:pPr>
          </w:p>
        </w:tc>
        <w:tc>
          <w:tcPr>
            <w:tcW w:w="636" w:type="dxa"/>
            <w:shd w:val="clear" w:color="auto" w:fill="auto"/>
            <w:vAlign w:val="center"/>
          </w:tcPr>
          <w:p w14:paraId="3DBC29A6">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9D5C70E">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1F8D287">
            <w:pPr>
              <w:jc w:val="center"/>
              <w:rPr>
                <w:bCs/>
                <w:szCs w:val="21"/>
              </w:rPr>
            </w:pPr>
          </w:p>
        </w:tc>
        <w:tc>
          <w:tcPr>
            <w:tcW w:w="967" w:type="dxa"/>
            <w:vAlign w:val="center"/>
          </w:tcPr>
          <w:p w14:paraId="75578112">
            <w:pPr>
              <w:jc w:val="center"/>
              <w:rPr>
                <w:bCs/>
                <w:szCs w:val="21"/>
              </w:rPr>
            </w:pPr>
          </w:p>
        </w:tc>
      </w:tr>
      <w:tr w14:paraId="4822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71FAEDE">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14CE7454">
            <w:pPr>
              <w:jc w:val="center"/>
              <w:rPr>
                <w:bCs/>
                <w:szCs w:val="21"/>
              </w:rPr>
            </w:pPr>
          </w:p>
        </w:tc>
        <w:tc>
          <w:tcPr>
            <w:tcW w:w="1440" w:type="dxa"/>
            <w:shd w:val="clear" w:color="auto" w:fill="auto"/>
            <w:vAlign w:val="center"/>
          </w:tcPr>
          <w:p w14:paraId="1A6EAFBE">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8F82ECC">
            <w:pPr>
              <w:widowControl/>
              <w:jc w:val="center"/>
              <w:textAlignment w:val="center"/>
              <w:rPr>
                <w:bCs/>
                <w:szCs w:val="21"/>
              </w:rPr>
            </w:pPr>
          </w:p>
        </w:tc>
        <w:tc>
          <w:tcPr>
            <w:tcW w:w="792" w:type="dxa"/>
            <w:vAlign w:val="center"/>
          </w:tcPr>
          <w:p w14:paraId="0DA06BBE">
            <w:pPr>
              <w:widowControl/>
              <w:adjustRightInd w:val="0"/>
              <w:snapToGrid w:val="0"/>
              <w:jc w:val="center"/>
              <w:rPr>
                <w:bCs/>
                <w:szCs w:val="21"/>
              </w:rPr>
            </w:pPr>
          </w:p>
        </w:tc>
        <w:tc>
          <w:tcPr>
            <w:tcW w:w="696" w:type="dxa"/>
            <w:vAlign w:val="center"/>
          </w:tcPr>
          <w:p w14:paraId="185CA0CD">
            <w:pPr>
              <w:jc w:val="center"/>
              <w:rPr>
                <w:bCs/>
                <w:szCs w:val="21"/>
              </w:rPr>
            </w:pPr>
          </w:p>
        </w:tc>
        <w:tc>
          <w:tcPr>
            <w:tcW w:w="552" w:type="dxa"/>
            <w:vAlign w:val="center"/>
          </w:tcPr>
          <w:p w14:paraId="58EFC09B">
            <w:pPr>
              <w:jc w:val="center"/>
              <w:rPr>
                <w:bCs/>
                <w:szCs w:val="21"/>
              </w:rPr>
            </w:pPr>
          </w:p>
        </w:tc>
        <w:tc>
          <w:tcPr>
            <w:tcW w:w="636" w:type="dxa"/>
            <w:shd w:val="clear" w:color="auto" w:fill="auto"/>
            <w:vAlign w:val="center"/>
          </w:tcPr>
          <w:p w14:paraId="60B41EEB">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6442123">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7D2A64A">
            <w:pPr>
              <w:jc w:val="center"/>
              <w:rPr>
                <w:bCs/>
                <w:szCs w:val="21"/>
              </w:rPr>
            </w:pPr>
          </w:p>
        </w:tc>
        <w:tc>
          <w:tcPr>
            <w:tcW w:w="967" w:type="dxa"/>
            <w:vAlign w:val="center"/>
          </w:tcPr>
          <w:p w14:paraId="2A764F50">
            <w:pPr>
              <w:jc w:val="center"/>
              <w:rPr>
                <w:bCs/>
                <w:szCs w:val="21"/>
              </w:rPr>
            </w:pPr>
          </w:p>
        </w:tc>
      </w:tr>
      <w:tr w14:paraId="45CC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44791DF">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5EFE214">
            <w:pPr>
              <w:jc w:val="center"/>
              <w:rPr>
                <w:bCs/>
                <w:szCs w:val="21"/>
              </w:rPr>
            </w:pPr>
          </w:p>
        </w:tc>
        <w:tc>
          <w:tcPr>
            <w:tcW w:w="1440" w:type="dxa"/>
            <w:shd w:val="clear" w:color="auto" w:fill="auto"/>
            <w:vAlign w:val="center"/>
          </w:tcPr>
          <w:p w14:paraId="541A99F0">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2ADD48F">
            <w:pPr>
              <w:widowControl/>
              <w:jc w:val="center"/>
              <w:textAlignment w:val="center"/>
              <w:rPr>
                <w:bCs/>
                <w:szCs w:val="21"/>
              </w:rPr>
            </w:pPr>
          </w:p>
        </w:tc>
        <w:tc>
          <w:tcPr>
            <w:tcW w:w="792" w:type="dxa"/>
            <w:vAlign w:val="center"/>
          </w:tcPr>
          <w:p w14:paraId="29C772C3">
            <w:pPr>
              <w:widowControl/>
              <w:adjustRightInd w:val="0"/>
              <w:snapToGrid w:val="0"/>
              <w:jc w:val="center"/>
              <w:rPr>
                <w:bCs/>
                <w:szCs w:val="21"/>
              </w:rPr>
            </w:pPr>
          </w:p>
        </w:tc>
        <w:tc>
          <w:tcPr>
            <w:tcW w:w="696" w:type="dxa"/>
            <w:vAlign w:val="center"/>
          </w:tcPr>
          <w:p w14:paraId="37CB84DA">
            <w:pPr>
              <w:jc w:val="center"/>
              <w:rPr>
                <w:bCs/>
                <w:szCs w:val="21"/>
              </w:rPr>
            </w:pPr>
          </w:p>
        </w:tc>
        <w:tc>
          <w:tcPr>
            <w:tcW w:w="552" w:type="dxa"/>
            <w:vAlign w:val="center"/>
          </w:tcPr>
          <w:p w14:paraId="1247DFAD">
            <w:pPr>
              <w:jc w:val="center"/>
              <w:rPr>
                <w:bCs/>
                <w:szCs w:val="21"/>
              </w:rPr>
            </w:pPr>
          </w:p>
        </w:tc>
        <w:tc>
          <w:tcPr>
            <w:tcW w:w="636" w:type="dxa"/>
            <w:shd w:val="clear" w:color="auto" w:fill="auto"/>
            <w:vAlign w:val="center"/>
          </w:tcPr>
          <w:p w14:paraId="1FD2942B">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7224A62">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5657A13">
            <w:pPr>
              <w:jc w:val="center"/>
              <w:rPr>
                <w:bCs/>
                <w:szCs w:val="21"/>
              </w:rPr>
            </w:pPr>
          </w:p>
        </w:tc>
        <w:tc>
          <w:tcPr>
            <w:tcW w:w="967" w:type="dxa"/>
            <w:vAlign w:val="center"/>
          </w:tcPr>
          <w:p w14:paraId="23AAE13E">
            <w:pPr>
              <w:jc w:val="center"/>
              <w:rPr>
                <w:bCs/>
                <w:szCs w:val="21"/>
              </w:rPr>
            </w:pPr>
          </w:p>
        </w:tc>
      </w:tr>
      <w:tr w14:paraId="73AA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DC1928E">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6E7CD73F">
            <w:pPr>
              <w:jc w:val="center"/>
              <w:rPr>
                <w:bCs/>
                <w:szCs w:val="21"/>
              </w:rPr>
            </w:pPr>
          </w:p>
        </w:tc>
        <w:tc>
          <w:tcPr>
            <w:tcW w:w="1440" w:type="dxa"/>
            <w:shd w:val="clear" w:color="auto" w:fill="auto"/>
            <w:vAlign w:val="center"/>
          </w:tcPr>
          <w:p w14:paraId="5CA2645E">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1CE2F40F">
            <w:pPr>
              <w:widowControl/>
              <w:jc w:val="center"/>
              <w:textAlignment w:val="center"/>
              <w:rPr>
                <w:bCs/>
                <w:szCs w:val="21"/>
              </w:rPr>
            </w:pPr>
          </w:p>
        </w:tc>
        <w:tc>
          <w:tcPr>
            <w:tcW w:w="792" w:type="dxa"/>
            <w:vAlign w:val="center"/>
          </w:tcPr>
          <w:p w14:paraId="6AAA6C4A">
            <w:pPr>
              <w:widowControl/>
              <w:adjustRightInd w:val="0"/>
              <w:snapToGrid w:val="0"/>
              <w:jc w:val="center"/>
              <w:rPr>
                <w:bCs/>
                <w:szCs w:val="21"/>
              </w:rPr>
            </w:pPr>
          </w:p>
        </w:tc>
        <w:tc>
          <w:tcPr>
            <w:tcW w:w="696" w:type="dxa"/>
            <w:vAlign w:val="center"/>
          </w:tcPr>
          <w:p w14:paraId="625DE756">
            <w:pPr>
              <w:jc w:val="center"/>
              <w:rPr>
                <w:bCs/>
                <w:szCs w:val="21"/>
              </w:rPr>
            </w:pPr>
          </w:p>
        </w:tc>
        <w:tc>
          <w:tcPr>
            <w:tcW w:w="552" w:type="dxa"/>
            <w:vAlign w:val="center"/>
          </w:tcPr>
          <w:p w14:paraId="255594F1">
            <w:pPr>
              <w:jc w:val="center"/>
              <w:rPr>
                <w:bCs/>
                <w:szCs w:val="21"/>
              </w:rPr>
            </w:pPr>
          </w:p>
        </w:tc>
        <w:tc>
          <w:tcPr>
            <w:tcW w:w="636" w:type="dxa"/>
            <w:shd w:val="clear" w:color="auto" w:fill="auto"/>
            <w:vAlign w:val="center"/>
          </w:tcPr>
          <w:p w14:paraId="4C9AB217">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8DABADE">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88B0193">
            <w:pPr>
              <w:jc w:val="center"/>
              <w:rPr>
                <w:bCs/>
                <w:szCs w:val="21"/>
              </w:rPr>
            </w:pPr>
          </w:p>
        </w:tc>
        <w:tc>
          <w:tcPr>
            <w:tcW w:w="967" w:type="dxa"/>
            <w:vAlign w:val="center"/>
          </w:tcPr>
          <w:p w14:paraId="493A5580">
            <w:pPr>
              <w:jc w:val="center"/>
              <w:rPr>
                <w:bCs/>
                <w:szCs w:val="21"/>
              </w:rPr>
            </w:pPr>
          </w:p>
        </w:tc>
      </w:tr>
      <w:tr w14:paraId="0466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77D00E44">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E9D90D3">
            <w:pPr>
              <w:jc w:val="center"/>
              <w:rPr>
                <w:bCs/>
                <w:szCs w:val="21"/>
              </w:rPr>
            </w:pPr>
          </w:p>
        </w:tc>
        <w:tc>
          <w:tcPr>
            <w:tcW w:w="1440" w:type="dxa"/>
            <w:shd w:val="clear" w:color="auto" w:fill="auto"/>
            <w:vAlign w:val="center"/>
          </w:tcPr>
          <w:p w14:paraId="4508E5E4">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17D8257B">
            <w:pPr>
              <w:widowControl/>
              <w:jc w:val="center"/>
              <w:textAlignment w:val="center"/>
              <w:rPr>
                <w:bCs/>
                <w:szCs w:val="21"/>
              </w:rPr>
            </w:pPr>
          </w:p>
        </w:tc>
        <w:tc>
          <w:tcPr>
            <w:tcW w:w="792" w:type="dxa"/>
            <w:vAlign w:val="center"/>
          </w:tcPr>
          <w:p w14:paraId="5029FE95">
            <w:pPr>
              <w:widowControl/>
              <w:adjustRightInd w:val="0"/>
              <w:snapToGrid w:val="0"/>
              <w:jc w:val="center"/>
              <w:rPr>
                <w:bCs/>
                <w:szCs w:val="21"/>
              </w:rPr>
            </w:pPr>
          </w:p>
        </w:tc>
        <w:tc>
          <w:tcPr>
            <w:tcW w:w="696" w:type="dxa"/>
            <w:vAlign w:val="center"/>
          </w:tcPr>
          <w:p w14:paraId="0AEAF239">
            <w:pPr>
              <w:jc w:val="center"/>
              <w:rPr>
                <w:bCs/>
                <w:szCs w:val="21"/>
              </w:rPr>
            </w:pPr>
          </w:p>
        </w:tc>
        <w:tc>
          <w:tcPr>
            <w:tcW w:w="552" w:type="dxa"/>
            <w:vAlign w:val="center"/>
          </w:tcPr>
          <w:p w14:paraId="0F0D6271">
            <w:pPr>
              <w:jc w:val="center"/>
              <w:rPr>
                <w:bCs/>
                <w:szCs w:val="21"/>
              </w:rPr>
            </w:pPr>
          </w:p>
        </w:tc>
        <w:tc>
          <w:tcPr>
            <w:tcW w:w="636" w:type="dxa"/>
            <w:shd w:val="clear" w:color="auto" w:fill="auto"/>
            <w:vAlign w:val="center"/>
          </w:tcPr>
          <w:p w14:paraId="4B9E0C33">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42A37830">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48204B8E">
            <w:pPr>
              <w:jc w:val="center"/>
              <w:rPr>
                <w:bCs/>
                <w:szCs w:val="21"/>
              </w:rPr>
            </w:pPr>
          </w:p>
        </w:tc>
        <w:tc>
          <w:tcPr>
            <w:tcW w:w="967" w:type="dxa"/>
            <w:vAlign w:val="center"/>
          </w:tcPr>
          <w:p w14:paraId="6AA227E8">
            <w:pPr>
              <w:jc w:val="center"/>
              <w:rPr>
                <w:bCs/>
                <w:szCs w:val="21"/>
              </w:rPr>
            </w:pPr>
          </w:p>
        </w:tc>
      </w:tr>
      <w:tr w14:paraId="5E59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3D4D4BC">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11864DBA">
            <w:pPr>
              <w:jc w:val="center"/>
              <w:rPr>
                <w:bCs/>
                <w:szCs w:val="21"/>
              </w:rPr>
            </w:pPr>
          </w:p>
        </w:tc>
        <w:tc>
          <w:tcPr>
            <w:tcW w:w="1440" w:type="dxa"/>
            <w:shd w:val="clear" w:color="auto" w:fill="auto"/>
            <w:vAlign w:val="center"/>
          </w:tcPr>
          <w:p w14:paraId="0F971ACE">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E9C79BA">
            <w:pPr>
              <w:widowControl/>
              <w:jc w:val="center"/>
              <w:textAlignment w:val="center"/>
              <w:rPr>
                <w:bCs/>
                <w:szCs w:val="21"/>
              </w:rPr>
            </w:pPr>
          </w:p>
        </w:tc>
        <w:tc>
          <w:tcPr>
            <w:tcW w:w="792" w:type="dxa"/>
            <w:vAlign w:val="center"/>
          </w:tcPr>
          <w:p w14:paraId="13932EAC">
            <w:pPr>
              <w:widowControl/>
              <w:adjustRightInd w:val="0"/>
              <w:snapToGrid w:val="0"/>
              <w:jc w:val="center"/>
              <w:rPr>
                <w:bCs/>
                <w:szCs w:val="21"/>
              </w:rPr>
            </w:pPr>
          </w:p>
        </w:tc>
        <w:tc>
          <w:tcPr>
            <w:tcW w:w="696" w:type="dxa"/>
            <w:vAlign w:val="center"/>
          </w:tcPr>
          <w:p w14:paraId="1F963CD0">
            <w:pPr>
              <w:jc w:val="center"/>
              <w:rPr>
                <w:bCs/>
                <w:szCs w:val="21"/>
              </w:rPr>
            </w:pPr>
          </w:p>
        </w:tc>
        <w:tc>
          <w:tcPr>
            <w:tcW w:w="552" w:type="dxa"/>
            <w:vAlign w:val="center"/>
          </w:tcPr>
          <w:p w14:paraId="72C5926A">
            <w:pPr>
              <w:jc w:val="center"/>
              <w:rPr>
                <w:bCs/>
                <w:szCs w:val="21"/>
              </w:rPr>
            </w:pPr>
          </w:p>
        </w:tc>
        <w:tc>
          <w:tcPr>
            <w:tcW w:w="636" w:type="dxa"/>
            <w:shd w:val="clear" w:color="auto" w:fill="auto"/>
            <w:vAlign w:val="center"/>
          </w:tcPr>
          <w:p w14:paraId="3E7E55C4">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97B03E4">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8B4C7E6">
            <w:pPr>
              <w:jc w:val="center"/>
              <w:rPr>
                <w:bCs/>
                <w:szCs w:val="21"/>
              </w:rPr>
            </w:pPr>
          </w:p>
        </w:tc>
        <w:tc>
          <w:tcPr>
            <w:tcW w:w="967" w:type="dxa"/>
            <w:vAlign w:val="center"/>
          </w:tcPr>
          <w:p w14:paraId="6F581175">
            <w:pPr>
              <w:jc w:val="center"/>
              <w:rPr>
                <w:bCs/>
                <w:szCs w:val="21"/>
              </w:rPr>
            </w:pPr>
          </w:p>
        </w:tc>
      </w:tr>
      <w:tr w14:paraId="4877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1FF9A14">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27219CF">
            <w:pPr>
              <w:jc w:val="center"/>
              <w:rPr>
                <w:bCs/>
                <w:szCs w:val="21"/>
              </w:rPr>
            </w:pPr>
          </w:p>
        </w:tc>
        <w:tc>
          <w:tcPr>
            <w:tcW w:w="1440" w:type="dxa"/>
            <w:shd w:val="clear" w:color="auto" w:fill="auto"/>
            <w:vAlign w:val="center"/>
          </w:tcPr>
          <w:p w14:paraId="00571907">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6807756">
            <w:pPr>
              <w:widowControl/>
              <w:jc w:val="center"/>
              <w:textAlignment w:val="center"/>
              <w:rPr>
                <w:bCs/>
                <w:szCs w:val="21"/>
              </w:rPr>
            </w:pPr>
          </w:p>
        </w:tc>
        <w:tc>
          <w:tcPr>
            <w:tcW w:w="792" w:type="dxa"/>
            <w:vAlign w:val="center"/>
          </w:tcPr>
          <w:p w14:paraId="093B0679">
            <w:pPr>
              <w:widowControl/>
              <w:adjustRightInd w:val="0"/>
              <w:snapToGrid w:val="0"/>
              <w:jc w:val="center"/>
              <w:rPr>
                <w:bCs/>
                <w:szCs w:val="21"/>
              </w:rPr>
            </w:pPr>
          </w:p>
        </w:tc>
        <w:tc>
          <w:tcPr>
            <w:tcW w:w="696" w:type="dxa"/>
            <w:vAlign w:val="center"/>
          </w:tcPr>
          <w:p w14:paraId="34D12299">
            <w:pPr>
              <w:jc w:val="center"/>
              <w:rPr>
                <w:bCs/>
                <w:szCs w:val="21"/>
              </w:rPr>
            </w:pPr>
          </w:p>
        </w:tc>
        <w:tc>
          <w:tcPr>
            <w:tcW w:w="552" w:type="dxa"/>
            <w:vAlign w:val="center"/>
          </w:tcPr>
          <w:p w14:paraId="282794F1">
            <w:pPr>
              <w:jc w:val="center"/>
              <w:rPr>
                <w:bCs/>
                <w:szCs w:val="21"/>
              </w:rPr>
            </w:pPr>
          </w:p>
        </w:tc>
        <w:tc>
          <w:tcPr>
            <w:tcW w:w="636" w:type="dxa"/>
            <w:shd w:val="clear" w:color="auto" w:fill="auto"/>
            <w:vAlign w:val="center"/>
          </w:tcPr>
          <w:p w14:paraId="434E8390">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4F60BDE3">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32124935">
            <w:pPr>
              <w:jc w:val="center"/>
              <w:rPr>
                <w:bCs/>
                <w:szCs w:val="21"/>
              </w:rPr>
            </w:pPr>
          </w:p>
        </w:tc>
        <w:tc>
          <w:tcPr>
            <w:tcW w:w="967" w:type="dxa"/>
            <w:vAlign w:val="center"/>
          </w:tcPr>
          <w:p w14:paraId="50CDCD03">
            <w:pPr>
              <w:jc w:val="center"/>
              <w:rPr>
                <w:bCs/>
                <w:szCs w:val="21"/>
              </w:rPr>
            </w:pPr>
          </w:p>
        </w:tc>
      </w:tr>
      <w:tr w14:paraId="768C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68DE518">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EA8FFDF">
            <w:pPr>
              <w:jc w:val="center"/>
              <w:rPr>
                <w:bCs/>
                <w:szCs w:val="21"/>
              </w:rPr>
            </w:pPr>
          </w:p>
        </w:tc>
        <w:tc>
          <w:tcPr>
            <w:tcW w:w="1440" w:type="dxa"/>
            <w:shd w:val="clear" w:color="auto" w:fill="auto"/>
            <w:vAlign w:val="center"/>
          </w:tcPr>
          <w:p w14:paraId="71B4F29C">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AB725B6">
            <w:pPr>
              <w:widowControl/>
              <w:jc w:val="center"/>
              <w:textAlignment w:val="center"/>
              <w:rPr>
                <w:bCs/>
                <w:szCs w:val="21"/>
              </w:rPr>
            </w:pPr>
          </w:p>
        </w:tc>
        <w:tc>
          <w:tcPr>
            <w:tcW w:w="792" w:type="dxa"/>
            <w:vAlign w:val="center"/>
          </w:tcPr>
          <w:p w14:paraId="323A2779">
            <w:pPr>
              <w:widowControl/>
              <w:adjustRightInd w:val="0"/>
              <w:snapToGrid w:val="0"/>
              <w:jc w:val="center"/>
              <w:rPr>
                <w:bCs/>
                <w:szCs w:val="21"/>
              </w:rPr>
            </w:pPr>
          </w:p>
        </w:tc>
        <w:tc>
          <w:tcPr>
            <w:tcW w:w="696" w:type="dxa"/>
            <w:vAlign w:val="center"/>
          </w:tcPr>
          <w:p w14:paraId="0C8C0AC1">
            <w:pPr>
              <w:jc w:val="center"/>
              <w:rPr>
                <w:bCs/>
                <w:szCs w:val="21"/>
              </w:rPr>
            </w:pPr>
          </w:p>
        </w:tc>
        <w:tc>
          <w:tcPr>
            <w:tcW w:w="552" w:type="dxa"/>
            <w:vAlign w:val="center"/>
          </w:tcPr>
          <w:p w14:paraId="6CAC7136">
            <w:pPr>
              <w:jc w:val="center"/>
              <w:rPr>
                <w:bCs/>
                <w:szCs w:val="21"/>
              </w:rPr>
            </w:pPr>
          </w:p>
        </w:tc>
        <w:tc>
          <w:tcPr>
            <w:tcW w:w="636" w:type="dxa"/>
            <w:shd w:val="clear" w:color="auto" w:fill="auto"/>
            <w:vAlign w:val="center"/>
          </w:tcPr>
          <w:p w14:paraId="1B6090AC">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7E32660">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3368AA5">
            <w:pPr>
              <w:jc w:val="center"/>
              <w:rPr>
                <w:bCs/>
                <w:szCs w:val="21"/>
              </w:rPr>
            </w:pPr>
          </w:p>
        </w:tc>
        <w:tc>
          <w:tcPr>
            <w:tcW w:w="967" w:type="dxa"/>
            <w:vAlign w:val="center"/>
          </w:tcPr>
          <w:p w14:paraId="56EB824B">
            <w:pPr>
              <w:jc w:val="center"/>
              <w:rPr>
                <w:bCs/>
                <w:szCs w:val="21"/>
              </w:rPr>
            </w:pPr>
          </w:p>
        </w:tc>
      </w:tr>
      <w:tr w14:paraId="1F35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D5D6A1C">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AA1E42A">
            <w:pPr>
              <w:jc w:val="center"/>
              <w:rPr>
                <w:bCs/>
                <w:szCs w:val="21"/>
              </w:rPr>
            </w:pPr>
          </w:p>
        </w:tc>
        <w:tc>
          <w:tcPr>
            <w:tcW w:w="1440" w:type="dxa"/>
            <w:shd w:val="clear" w:color="auto" w:fill="auto"/>
            <w:vAlign w:val="center"/>
          </w:tcPr>
          <w:p w14:paraId="11300790">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33EF060">
            <w:pPr>
              <w:widowControl/>
              <w:jc w:val="center"/>
              <w:textAlignment w:val="center"/>
              <w:rPr>
                <w:bCs/>
                <w:szCs w:val="21"/>
              </w:rPr>
            </w:pPr>
          </w:p>
        </w:tc>
        <w:tc>
          <w:tcPr>
            <w:tcW w:w="792" w:type="dxa"/>
            <w:vAlign w:val="center"/>
          </w:tcPr>
          <w:p w14:paraId="51529790">
            <w:pPr>
              <w:widowControl/>
              <w:adjustRightInd w:val="0"/>
              <w:snapToGrid w:val="0"/>
              <w:jc w:val="center"/>
              <w:rPr>
                <w:bCs/>
                <w:szCs w:val="21"/>
              </w:rPr>
            </w:pPr>
          </w:p>
        </w:tc>
        <w:tc>
          <w:tcPr>
            <w:tcW w:w="696" w:type="dxa"/>
            <w:vAlign w:val="center"/>
          </w:tcPr>
          <w:p w14:paraId="5FCC49BB">
            <w:pPr>
              <w:jc w:val="center"/>
              <w:rPr>
                <w:bCs/>
                <w:szCs w:val="21"/>
              </w:rPr>
            </w:pPr>
          </w:p>
        </w:tc>
        <w:tc>
          <w:tcPr>
            <w:tcW w:w="552" w:type="dxa"/>
            <w:vAlign w:val="center"/>
          </w:tcPr>
          <w:p w14:paraId="0D56AD5A">
            <w:pPr>
              <w:jc w:val="center"/>
              <w:rPr>
                <w:bCs/>
                <w:szCs w:val="21"/>
              </w:rPr>
            </w:pPr>
          </w:p>
        </w:tc>
        <w:tc>
          <w:tcPr>
            <w:tcW w:w="636" w:type="dxa"/>
            <w:shd w:val="clear" w:color="auto" w:fill="auto"/>
            <w:vAlign w:val="center"/>
          </w:tcPr>
          <w:p w14:paraId="59C086E0">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803D990">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4B0A7DDB">
            <w:pPr>
              <w:jc w:val="center"/>
              <w:rPr>
                <w:bCs/>
                <w:szCs w:val="21"/>
              </w:rPr>
            </w:pPr>
          </w:p>
        </w:tc>
        <w:tc>
          <w:tcPr>
            <w:tcW w:w="967" w:type="dxa"/>
            <w:vAlign w:val="center"/>
          </w:tcPr>
          <w:p w14:paraId="234E8730">
            <w:pPr>
              <w:jc w:val="center"/>
              <w:rPr>
                <w:bCs/>
                <w:szCs w:val="21"/>
              </w:rPr>
            </w:pPr>
          </w:p>
        </w:tc>
      </w:tr>
      <w:tr w14:paraId="04DF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16C14DA">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468C0AF">
            <w:pPr>
              <w:jc w:val="center"/>
              <w:rPr>
                <w:bCs/>
                <w:szCs w:val="21"/>
              </w:rPr>
            </w:pPr>
          </w:p>
        </w:tc>
        <w:tc>
          <w:tcPr>
            <w:tcW w:w="1440" w:type="dxa"/>
            <w:shd w:val="clear" w:color="auto" w:fill="auto"/>
            <w:vAlign w:val="center"/>
          </w:tcPr>
          <w:p w14:paraId="14AA07B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7683B5E">
            <w:pPr>
              <w:widowControl/>
              <w:jc w:val="center"/>
              <w:textAlignment w:val="center"/>
              <w:rPr>
                <w:bCs/>
                <w:szCs w:val="21"/>
              </w:rPr>
            </w:pPr>
          </w:p>
        </w:tc>
        <w:tc>
          <w:tcPr>
            <w:tcW w:w="792" w:type="dxa"/>
            <w:vAlign w:val="center"/>
          </w:tcPr>
          <w:p w14:paraId="1D7E44CF">
            <w:pPr>
              <w:widowControl/>
              <w:adjustRightInd w:val="0"/>
              <w:snapToGrid w:val="0"/>
              <w:jc w:val="center"/>
              <w:rPr>
                <w:bCs/>
                <w:szCs w:val="21"/>
              </w:rPr>
            </w:pPr>
          </w:p>
        </w:tc>
        <w:tc>
          <w:tcPr>
            <w:tcW w:w="696" w:type="dxa"/>
            <w:vAlign w:val="center"/>
          </w:tcPr>
          <w:p w14:paraId="3D24ACBE">
            <w:pPr>
              <w:jc w:val="center"/>
              <w:rPr>
                <w:bCs/>
                <w:szCs w:val="21"/>
              </w:rPr>
            </w:pPr>
          </w:p>
        </w:tc>
        <w:tc>
          <w:tcPr>
            <w:tcW w:w="552" w:type="dxa"/>
            <w:vAlign w:val="center"/>
          </w:tcPr>
          <w:p w14:paraId="781853A9">
            <w:pPr>
              <w:jc w:val="center"/>
              <w:rPr>
                <w:bCs/>
                <w:szCs w:val="21"/>
              </w:rPr>
            </w:pPr>
          </w:p>
        </w:tc>
        <w:tc>
          <w:tcPr>
            <w:tcW w:w="636" w:type="dxa"/>
            <w:shd w:val="clear" w:color="auto" w:fill="auto"/>
            <w:vAlign w:val="center"/>
          </w:tcPr>
          <w:p w14:paraId="0D5CD556">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C076418">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BF2B5BA">
            <w:pPr>
              <w:jc w:val="center"/>
              <w:rPr>
                <w:bCs/>
                <w:szCs w:val="21"/>
              </w:rPr>
            </w:pPr>
          </w:p>
        </w:tc>
        <w:tc>
          <w:tcPr>
            <w:tcW w:w="967" w:type="dxa"/>
            <w:vAlign w:val="center"/>
          </w:tcPr>
          <w:p w14:paraId="143D2485">
            <w:pPr>
              <w:jc w:val="center"/>
              <w:rPr>
                <w:bCs/>
                <w:szCs w:val="21"/>
              </w:rPr>
            </w:pPr>
          </w:p>
        </w:tc>
      </w:tr>
      <w:tr w14:paraId="4BE2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BBA1278">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45E14CF">
            <w:pPr>
              <w:jc w:val="center"/>
              <w:rPr>
                <w:bCs/>
                <w:szCs w:val="21"/>
              </w:rPr>
            </w:pPr>
          </w:p>
        </w:tc>
        <w:tc>
          <w:tcPr>
            <w:tcW w:w="1440" w:type="dxa"/>
            <w:shd w:val="clear" w:color="auto" w:fill="auto"/>
            <w:vAlign w:val="center"/>
          </w:tcPr>
          <w:p w14:paraId="116E0A19">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2B5CF10">
            <w:pPr>
              <w:widowControl/>
              <w:jc w:val="center"/>
              <w:textAlignment w:val="center"/>
              <w:rPr>
                <w:bCs/>
                <w:szCs w:val="21"/>
              </w:rPr>
            </w:pPr>
          </w:p>
        </w:tc>
        <w:tc>
          <w:tcPr>
            <w:tcW w:w="792" w:type="dxa"/>
            <w:vAlign w:val="center"/>
          </w:tcPr>
          <w:p w14:paraId="0728865E">
            <w:pPr>
              <w:widowControl/>
              <w:adjustRightInd w:val="0"/>
              <w:snapToGrid w:val="0"/>
              <w:jc w:val="center"/>
              <w:rPr>
                <w:bCs/>
                <w:szCs w:val="21"/>
              </w:rPr>
            </w:pPr>
          </w:p>
        </w:tc>
        <w:tc>
          <w:tcPr>
            <w:tcW w:w="696" w:type="dxa"/>
            <w:vAlign w:val="center"/>
          </w:tcPr>
          <w:p w14:paraId="11769557">
            <w:pPr>
              <w:jc w:val="center"/>
              <w:rPr>
                <w:bCs/>
                <w:szCs w:val="21"/>
              </w:rPr>
            </w:pPr>
          </w:p>
        </w:tc>
        <w:tc>
          <w:tcPr>
            <w:tcW w:w="552" w:type="dxa"/>
            <w:vAlign w:val="center"/>
          </w:tcPr>
          <w:p w14:paraId="3505088E">
            <w:pPr>
              <w:jc w:val="center"/>
              <w:rPr>
                <w:bCs/>
                <w:szCs w:val="21"/>
              </w:rPr>
            </w:pPr>
          </w:p>
        </w:tc>
        <w:tc>
          <w:tcPr>
            <w:tcW w:w="636" w:type="dxa"/>
            <w:shd w:val="clear" w:color="auto" w:fill="auto"/>
            <w:vAlign w:val="center"/>
          </w:tcPr>
          <w:p w14:paraId="67FDEF56">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003B92B">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7536B3A">
            <w:pPr>
              <w:jc w:val="center"/>
              <w:rPr>
                <w:bCs/>
                <w:szCs w:val="21"/>
              </w:rPr>
            </w:pPr>
          </w:p>
        </w:tc>
        <w:tc>
          <w:tcPr>
            <w:tcW w:w="967" w:type="dxa"/>
            <w:vAlign w:val="center"/>
          </w:tcPr>
          <w:p w14:paraId="138B49A7">
            <w:pPr>
              <w:jc w:val="center"/>
              <w:rPr>
                <w:bCs/>
                <w:szCs w:val="21"/>
              </w:rPr>
            </w:pPr>
          </w:p>
        </w:tc>
      </w:tr>
      <w:tr w14:paraId="04FF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8F5BBBC">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1C3200DE">
            <w:pPr>
              <w:jc w:val="center"/>
              <w:rPr>
                <w:bCs/>
                <w:szCs w:val="21"/>
              </w:rPr>
            </w:pPr>
          </w:p>
        </w:tc>
        <w:tc>
          <w:tcPr>
            <w:tcW w:w="1440" w:type="dxa"/>
            <w:shd w:val="clear" w:color="auto" w:fill="auto"/>
            <w:vAlign w:val="center"/>
          </w:tcPr>
          <w:p w14:paraId="2068AACC">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E25156A">
            <w:pPr>
              <w:widowControl/>
              <w:jc w:val="center"/>
              <w:textAlignment w:val="center"/>
              <w:rPr>
                <w:bCs/>
                <w:szCs w:val="21"/>
              </w:rPr>
            </w:pPr>
          </w:p>
        </w:tc>
        <w:tc>
          <w:tcPr>
            <w:tcW w:w="792" w:type="dxa"/>
            <w:vAlign w:val="center"/>
          </w:tcPr>
          <w:p w14:paraId="2F03F848">
            <w:pPr>
              <w:widowControl/>
              <w:adjustRightInd w:val="0"/>
              <w:snapToGrid w:val="0"/>
              <w:jc w:val="center"/>
              <w:rPr>
                <w:bCs/>
                <w:szCs w:val="21"/>
              </w:rPr>
            </w:pPr>
          </w:p>
        </w:tc>
        <w:tc>
          <w:tcPr>
            <w:tcW w:w="696" w:type="dxa"/>
            <w:vAlign w:val="center"/>
          </w:tcPr>
          <w:p w14:paraId="7C13B37F">
            <w:pPr>
              <w:jc w:val="center"/>
              <w:rPr>
                <w:bCs/>
                <w:szCs w:val="21"/>
              </w:rPr>
            </w:pPr>
          </w:p>
        </w:tc>
        <w:tc>
          <w:tcPr>
            <w:tcW w:w="552" w:type="dxa"/>
            <w:vAlign w:val="center"/>
          </w:tcPr>
          <w:p w14:paraId="7B98B72B">
            <w:pPr>
              <w:jc w:val="center"/>
              <w:rPr>
                <w:bCs/>
                <w:szCs w:val="21"/>
              </w:rPr>
            </w:pPr>
          </w:p>
        </w:tc>
        <w:tc>
          <w:tcPr>
            <w:tcW w:w="636" w:type="dxa"/>
            <w:shd w:val="clear" w:color="auto" w:fill="auto"/>
            <w:vAlign w:val="center"/>
          </w:tcPr>
          <w:p w14:paraId="32233B2B">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14EE54D">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019D131A">
            <w:pPr>
              <w:jc w:val="center"/>
              <w:rPr>
                <w:bCs/>
                <w:szCs w:val="21"/>
              </w:rPr>
            </w:pPr>
          </w:p>
        </w:tc>
        <w:tc>
          <w:tcPr>
            <w:tcW w:w="967" w:type="dxa"/>
            <w:vAlign w:val="center"/>
          </w:tcPr>
          <w:p w14:paraId="2A3E01E3">
            <w:pPr>
              <w:jc w:val="center"/>
              <w:rPr>
                <w:bCs/>
                <w:szCs w:val="21"/>
              </w:rPr>
            </w:pPr>
          </w:p>
        </w:tc>
      </w:tr>
      <w:tr w14:paraId="2A03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9C40E1D">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B22422A">
            <w:pPr>
              <w:jc w:val="center"/>
              <w:rPr>
                <w:bCs/>
                <w:szCs w:val="21"/>
              </w:rPr>
            </w:pPr>
          </w:p>
        </w:tc>
        <w:tc>
          <w:tcPr>
            <w:tcW w:w="1440" w:type="dxa"/>
            <w:shd w:val="clear" w:color="auto" w:fill="auto"/>
            <w:vAlign w:val="center"/>
          </w:tcPr>
          <w:p w14:paraId="429937FD">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589D2DD">
            <w:pPr>
              <w:widowControl/>
              <w:jc w:val="center"/>
              <w:textAlignment w:val="center"/>
              <w:rPr>
                <w:bCs/>
                <w:szCs w:val="21"/>
              </w:rPr>
            </w:pPr>
          </w:p>
        </w:tc>
        <w:tc>
          <w:tcPr>
            <w:tcW w:w="792" w:type="dxa"/>
            <w:vAlign w:val="center"/>
          </w:tcPr>
          <w:p w14:paraId="5DE8DCC0">
            <w:pPr>
              <w:widowControl/>
              <w:adjustRightInd w:val="0"/>
              <w:snapToGrid w:val="0"/>
              <w:jc w:val="center"/>
              <w:rPr>
                <w:bCs/>
                <w:szCs w:val="21"/>
              </w:rPr>
            </w:pPr>
          </w:p>
        </w:tc>
        <w:tc>
          <w:tcPr>
            <w:tcW w:w="696" w:type="dxa"/>
            <w:vAlign w:val="center"/>
          </w:tcPr>
          <w:p w14:paraId="1B2446C8">
            <w:pPr>
              <w:jc w:val="center"/>
              <w:rPr>
                <w:bCs/>
                <w:szCs w:val="21"/>
              </w:rPr>
            </w:pPr>
          </w:p>
        </w:tc>
        <w:tc>
          <w:tcPr>
            <w:tcW w:w="552" w:type="dxa"/>
            <w:vAlign w:val="center"/>
          </w:tcPr>
          <w:p w14:paraId="34E601FD">
            <w:pPr>
              <w:jc w:val="center"/>
              <w:rPr>
                <w:bCs/>
                <w:szCs w:val="21"/>
              </w:rPr>
            </w:pPr>
          </w:p>
        </w:tc>
        <w:tc>
          <w:tcPr>
            <w:tcW w:w="636" w:type="dxa"/>
            <w:shd w:val="clear" w:color="auto" w:fill="auto"/>
            <w:vAlign w:val="center"/>
          </w:tcPr>
          <w:p w14:paraId="505029F3">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DF01C8B">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73701E3">
            <w:pPr>
              <w:jc w:val="center"/>
              <w:rPr>
                <w:bCs/>
                <w:szCs w:val="21"/>
              </w:rPr>
            </w:pPr>
          </w:p>
        </w:tc>
        <w:tc>
          <w:tcPr>
            <w:tcW w:w="967" w:type="dxa"/>
            <w:vAlign w:val="center"/>
          </w:tcPr>
          <w:p w14:paraId="3CAA4B2F">
            <w:pPr>
              <w:jc w:val="center"/>
              <w:rPr>
                <w:bCs/>
                <w:szCs w:val="21"/>
              </w:rPr>
            </w:pPr>
          </w:p>
        </w:tc>
      </w:tr>
      <w:tr w14:paraId="4D14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EE874C3">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FA2E3F7">
            <w:pPr>
              <w:jc w:val="center"/>
              <w:rPr>
                <w:bCs/>
                <w:szCs w:val="21"/>
              </w:rPr>
            </w:pPr>
          </w:p>
        </w:tc>
        <w:tc>
          <w:tcPr>
            <w:tcW w:w="1440" w:type="dxa"/>
            <w:shd w:val="clear" w:color="auto" w:fill="auto"/>
            <w:vAlign w:val="center"/>
          </w:tcPr>
          <w:p w14:paraId="48A3A89B">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0585B297">
            <w:pPr>
              <w:widowControl/>
              <w:jc w:val="center"/>
              <w:textAlignment w:val="center"/>
              <w:rPr>
                <w:bCs/>
                <w:szCs w:val="21"/>
              </w:rPr>
            </w:pPr>
          </w:p>
        </w:tc>
        <w:tc>
          <w:tcPr>
            <w:tcW w:w="792" w:type="dxa"/>
            <w:vAlign w:val="center"/>
          </w:tcPr>
          <w:p w14:paraId="3DD86BA0">
            <w:pPr>
              <w:widowControl/>
              <w:adjustRightInd w:val="0"/>
              <w:snapToGrid w:val="0"/>
              <w:jc w:val="center"/>
              <w:rPr>
                <w:bCs/>
                <w:szCs w:val="21"/>
              </w:rPr>
            </w:pPr>
          </w:p>
        </w:tc>
        <w:tc>
          <w:tcPr>
            <w:tcW w:w="696" w:type="dxa"/>
            <w:vAlign w:val="center"/>
          </w:tcPr>
          <w:p w14:paraId="55BE82FF">
            <w:pPr>
              <w:jc w:val="center"/>
              <w:rPr>
                <w:bCs/>
                <w:szCs w:val="21"/>
              </w:rPr>
            </w:pPr>
          </w:p>
        </w:tc>
        <w:tc>
          <w:tcPr>
            <w:tcW w:w="552" w:type="dxa"/>
            <w:vAlign w:val="center"/>
          </w:tcPr>
          <w:p w14:paraId="1FCF2F00">
            <w:pPr>
              <w:jc w:val="center"/>
              <w:rPr>
                <w:bCs/>
                <w:szCs w:val="21"/>
              </w:rPr>
            </w:pPr>
          </w:p>
        </w:tc>
        <w:tc>
          <w:tcPr>
            <w:tcW w:w="636" w:type="dxa"/>
            <w:shd w:val="clear" w:color="auto" w:fill="auto"/>
            <w:vAlign w:val="center"/>
          </w:tcPr>
          <w:p w14:paraId="1F1569EE">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4369990B">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724025C">
            <w:pPr>
              <w:jc w:val="center"/>
              <w:rPr>
                <w:bCs/>
                <w:szCs w:val="21"/>
              </w:rPr>
            </w:pPr>
          </w:p>
        </w:tc>
        <w:tc>
          <w:tcPr>
            <w:tcW w:w="967" w:type="dxa"/>
            <w:vAlign w:val="center"/>
          </w:tcPr>
          <w:p w14:paraId="171F46DE">
            <w:pPr>
              <w:jc w:val="center"/>
              <w:rPr>
                <w:bCs/>
                <w:szCs w:val="21"/>
              </w:rPr>
            </w:pPr>
          </w:p>
        </w:tc>
      </w:tr>
      <w:tr w14:paraId="4C30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9834D7E">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6D88D97D">
            <w:pPr>
              <w:jc w:val="center"/>
              <w:rPr>
                <w:bCs/>
                <w:szCs w:val="21"/>
              </w:rPr>
            </w:pPr>
          </w:p>
        </w:tc>
        <w:tc>
          <w:tcPr>
            <w:tcW w:w="1440" w:type="dxa"/>
            <w:shd w:val="clear" w:color="auto" w:fill="auto"/>
            <w:vAlign w:val="center"/>
          </w:tcPr>
          <w:p w14:paraId="05D22D62">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D3ED11B">
            <w:pPr>
              <w:widowControl/>
              <w:jc w:val="center"/>
              <w:textAlignment w:val="center"/>
              <w:rPr>
                <w:bCs/>
                <w:szCs w:val="21"/>
              </w:rPr>
            </w:pPr>
          </w:p>
        </w:tc>
        <w:tc>
          <w:tcPr>
            <w:tcW w:w="792" w:type="dxa"/>
            <w:vAlign w:val="center"/>
          </w:tcPr>
          <w:p w14:paraId="350F4D05">
            <w:pPr>
              <w:widowControl/>
              <w:adjustRightInd w:val="0"/>
              <w:snapToGrid w:val="0"/>
              <w:jc w:val="center"/>
              <w:rPr>
                <w:bCs/>
                <w:szCs w:val="21"/>
              </w:rPr>
            </w:pPr>
          </w:p>
        </w:tc>
        <w:tc>
          <w:tcPr>
            <w:tcW w:w="696" w:type="dxa"/>
            <w:vAlign w:val="center"/>
          </w:tcPr>
          <w:p w14:paraId="2867CAEA">
            <w:pPr>
              <w:jc w:val="center"/>
              <w:rPr>
                <w:bCs/>
                <w:szCs w:val="21"/>
              </w:rPr>
            </w:pPr>
          </w:p>
        </w:tc>
        <w:tc>
          <w:tcPr>
            <w:tcW w:w="552" w:type="dxa"/>
            <w:vAlign w:val="center"/>
          </w:tcPr>
          <w:p w14:paraId="04BB4494">
            <w:pPr>
              <w:jc w:val="center"/>
              <w:rPr>
                <w:bCs/>
                <w:szCs w:val="21"/>
              </w:rPr>
            </w:pPr>
          </w:p>
        </w:tc>
        <w:tc>
          <w:tcPr>
            <w:tcW w:w="636" w:type="dxa"/>
            <w:shd w:val="clear" w:color="auto" w:fill="auto"/>
            <w:vAlign w:val="center"/>
          </w:tcPr>
          <w:p w14:paraId="0EDB4B2D">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B5A4EA6">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2A985BC">
            <w:pPr>
              <w:jc w:val="center"/>
              <w:rPr>
                <w:bCs/>
                <w:szCs w:val="21"/>
              </w:rPr>
            </w:pPr>
          </w:p>
        </w:tc>
        <w:tc>
          <w:tcPr>
            <w:tcW w:w="967" w:type="dxa"/>
            <w:vAlign w:val="center"/>
          </w:tcPr>
          <w:p w14:paraId="3615BA32">
            <w:pPr>
              <w:jc w:val="center"/>
              <w:rPr>
                <w:bCs/>
                <w:szCs w:val="21"/>
              </w:rPr>
            </w:pPr>
          </w:p>
        </w:tc>
      </w:tr>
      <w:tr w14:paraId="739E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CBF437C">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3CC1C45">
            <w:pPr>
              <w:jc w:val="center"/>
              <w:rPr>
                <w:bCs/>
                <w:szCs w:val="21"/>
              </w:rPr>
            </w:pPr>
          </w:p>
        </w:tc>
        <w:tc>
          <w:tcPr>
            <w:tcW w:w="1440" w:type="dxa"/>
            <w:shd w:val="clear" w:color="auto" w:fill="auto"/>
            <w:vAlign w:val="center"/>
          </w:tcPr>
          <w:p w14:paraId="761348A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043007C">
            <w:pPr>
              <w:widowControl/>
              <w:jc w:val="center"/>
              <w:textAlignment w:val="center"/>
              <w:rPr>
                <w:bCs/>
                <w:szCs w:val="21"/>
              </w:rPr>
            </w:pPr>
          </w:p>
        </w:tc>
        <w:tc>
          <w:tcPr>
            <w:tcW w:w="792" w:type="dxa"/>
            <w:vAlign w:val="center"/>
          </w:tcPr>
          <w:p w14:paraId="205D1624">
            <w:pPr>
              <w:widowControl/>
              <w:adjustRightInd w:val="0"/>
              <w:snapToGrid w:val="0"/>
              <w:jc w:val="center"/>
              <w:rPr>
                <w:bCs/>
                <w:szCs w:val="21"/>
              </w:rPr>
            </w:pPr>
          </w:p>
        </w:tc>
        <w:tc>
          <w:tcPr>
            <w:tcW w:w="696" w:type="dxa"/>
            <w:vAlign w:val="center"/>
          </w:tcPr>
          <w:p w14:paraId="4C430267">
            <w:pPr>
              <w:jc w:val="center"/>
              <w:rPr>
                <w:bCs/>
                <w:szCs w:val="21"/>
              </w:rPr>
            </w:pPr>
          </w:p>
        </w:tc>
        <w:tc>
          <w:tcPr>
            <w:tcW w:w="552" w:type="dxa"/>
            <w:vAlign w:val="center"/>
          </w:tcPr>
          <w:p w14:paraId="06DD6B34">
            <w:pPr>
              <w:jc w:val="center"/>
              <w:rPr>
                <w:bCs/>
                <w:szCs w:val="21"/>
              </w:rPr>
            </w:pPr>
          </w:p>
        </w:tc>
        <w:tc>
          <w:tcPr>
            <w:tcW w:w="636" w:type="dxa"/>
            <w:shd w:val="clear" w:color="auto" w:fill="auto"/>
            <w:vAlign w:val="center"/>
          </w:tcPr>
          <w:p w14:paraId="7857CE88">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A68FE48">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1D4DA81">
            <w:pPr>
              <w:jc w:val="center"/>
              <w:rPr>
                <w:bCs/>
                <w:szCs w:val="21"/>
              </w:rPr>
            </w:pPr>
          </w:p>
        </w:tc>
        <w:tc>
          <w:tcPr>
            <w:tcW w:w="967" w:type="dxa"/>
            <w:vAlign w:val="center"/>
          </w:tcPr>
          <w:p w14:paraId="6A7F580A">
            <w:pPr>
              <w:jc w:val="center"/>
              <w:rPr>
                <w:bCs/>
                <w:szCs w:val="21"/>
              </w:rPr>
            </w:pPr>
          </w:p>
        </w:tc>
      </w:tr>
      <w:tr w14:paraId="5F37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34E43F0">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32DB13D">
            <w:pPr>
              <w:jc w:val="center"/>
              <w:rPr>
                <w:bCs/>
                <w:szCs w:val="21"/>
              </w:rPr>
            </w:pPr>
          </w:p>
        </w:tc>
        <w:tc>
          <w:tcPr>
            <w:tcW w:w="1440" w:type="dxa"/>
            <w:shd w:val="clear" w:color="auto" w:fill="auto"/>
            <w:vAlign w:val="center"/>
          </w:tcPr>
          <w:p w14:paraId="7B6DBA04">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F2FD6CE">
            <w:pPr>
              <w:widowControl/>
              <w:jc w:val="center"/>
              <w:textAlignment w:val="center"/>
              <w:rPr>
                <w:bCs/>
                <w:szCs w:val="21"/>
              </w:rPr>
            </w:pPr>
          </w:p>
        </w:tc>
        <w:tc>
          <w:tcPr>
            <w:tcW w:w="792" w:type="dxa"/>
            <w:vAlign w:val="center"/>
          </w:tcPr>
          <w:p w14:paraId="070ACDB1">
            <w:pPr>
              <w:widowControl/>
              <w:adjustRightInd w:val="0"/>
              <w:snapToGrid w:val="0"/>
              <w:jc w:val="center"/>
              <w:rPr>
                <w:bCs/>
                <w:szCs w:val="21"/>
              </w:rPr>
            </w:pPr>
          </w:p>
        </w:tc>
        <w:tc>
          <w:tcPr>
            <w:tcW w:w="696" w:type="dxa"/>
            <w:vAlign w:val="center"/>
          </w:tcPr>
          <w:p w14:paraId="218FCC14">
            <w:pPr>
              <w:jc w:val="center"/>
              <w:rPr>
                <w:bCs/>
                <w:szCs w:val="21"/>
              </w:rPr>
            </w:pPr>
          </w:p>
        </w:tc>
        <w:tc>
          <w:tcPr>
            <w:tcW w:w="552" w:type="dxa"/>
            <w:vAlign w:val="center"/>
          </w:tcPr>
          <w:p w14:paraId="3783369F">
            <w:pPr>
              <w:jc w:val="center"/>
              <w:rPr>
                <w:bCs/>
                <w:szCs w:val="21"/>
              </w:rPr>
            </w:pPr>
          </w:p>
        </w:tc>
        <w:tc>
          <w:tcPr>
            <w:tcW w:w="636" w:type="dxa"/>
            <w:shd w:val="clear" w:color="auto" w:fill="auto"/>
            <w:vAlign w:val="center"/>
          </w:tcPr>
          <w:p w14:paraId="43774E64">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4A2A92B7">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3ED4F358">
            <w:pPr>
              <w:jc w:val="center"/>
              <w:rPr>
                <w:bCs/>
                <w:szCs w:val="21"/>
              </w:rPr>
            </w:pPr>
          </w:p>
        </w:tc>
        <w:tc>
          <w:tcPr>
            <w:tcW w:w="967" w:type="dxa"/>
            <w:vAlign w:val="center"/>
          </w:tcPr>
          <w:p w14:paraId="0C51F132">
            <w:pPr>
              <w:jc w:val="center"/>
              <w:rPr>
                <w:bCs/>
                <w:szCs w:val="21"/>
              </w:rPr>
            </w:pPr>
          </w:p>
        </w:tc>
      </w:tr>
      <w:tr w14:paraId="695A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1418CAAA">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DB59055">
            <w:pPr>
              <w:jc w:val="center"/>
              <w:rPr>
                <w:bCs/>
                <w:szCs w:val="21"/>
              </w:rPr>
            </w:pPr>
          </w:p>
        </w:tc>
        <w:tc>
          <w:tcPr>
            <w:tcW w:w="1440" w:type="dxa"/>
            <w:shd w:val="clear" w:color="auto" w:fill="auto"/>
            <w:vAlign w:val="center"/>
          </w:tcPr>
          <w:p w14:paraId="6BA492AA">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1ECFE90">
            <w:pPr>
              <w:widowControl/>
              <w:jc w:val="center"/>
              <w:textAlignment w:val="center"/>
              <w:rPr>
                <w:bCs/>
                <w:szCs w:val="21"/>
              </w:rPr>
            </w:pPr>
          </w:p>
        </w:tc>
        <w:tc>
          <w:tcPr>
            <w:tcW w:w="792" w:type="dxa"/>
            <w:vAlign w:val="center"/>
          </w:tcPr>
          <w:p w14:paraId="246018CA">
            <w:pPr>
              <w:widowControl/>
              <w:adjustRightInd w:val="0"/>
              <w:snapToGrid w:val="0"/>
              <w:jc w:val="center"/>
              <w:rPr>
                <w:bCs/>
                <w:szCs w:val="21"/>
              </w:rPr>
            </w:pPr>
          </w:p>
        </w:tc>
        <w:tc>
          <w:tcPr>
            <w:tcW w:w="696" w:type="dxa"/>
            <w:vAlign w:val="center"/>
          </w:tcPr>
          <w:p w14:paraId="17DF62CF">
            <w:pPr>
              <w:jc w:val="center"/>
              <w:rPr>
                <w:bCs/>
                <w:szCs w:val="21"/>
              </w:rPr>
            </w:pPr>
          </w:p>
        </w:tc>
        <w:tc>
          <w:tcPr>
            <w:tcW w:w="552" w:type="dxa"/>
            <w:vAlign w:val="center"/>
          </w:tcPr>
          <w:p w14:paraId="3429AF19">
            <w:pPr>
              <w:jc w:val="center"/>
              <w:rPr>
                <w:bCs/>
                <w:szCs w:val="21"/>
              </w:rPr>
            </w:pPr>
          </w:p>
        </w:tc>
        <w:tc>
          <w:tcPr>
            <w:tcW w:w="636" w:type="dxa"/>
            <w:shd w:val="clear" w:color="auto" w:fill="auto"/>
            <w:vAlign w:val="center"/>
          </w:tcPr>
          <w:p w14:paraId="71B4E357">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5B8B1B2">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8C63C2A">
            <w:pPr>
              <w:jc w:val="center"/>
              <w:rPr>
                <w:bCs/>
                <w:szCs w:val="21"/>
              </w:rPr>
            </w:pPr>
          </w:p>
        </w:tc>
        <w:tc>
          <w:tcPr>
            <w:tcW w:w="967" w:type="dxa"/>
            <w:vAlign w:val="center"/>
          </w:tcPr>
          <w:p w14:paraId="03507D75">
            <w:pPr>
              <w:jc w:val="center"/>
              <w:rPr>
                <w:bCs/>
                <w:szCs w:val="21"/>
              </w:rPr>
            </w:pPr>
          </w:p>
        </w:tc>
      </w:tr>
      <w:tr w14:paraId="0E9B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19EE264E">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E376E34">
            <w:pPr>
              <w:jc w:val="center"/>
              <w:rPr>
                <w:bCs/>
                <w:szCs w:val="21"/>
              </w:rPr>
            </w:pPr>
          </w:p>
        </w:tc>
        <w:tc>
          <w:tcPr>
            <w:tcW w:w="1440" w:type="dxa"/>
            <w:shd w:val="clear" w:color="auto" w:fill="auto"/>
            <w:vAlign w:val="center"/>
          </w:tcPr>
          <w:p w14:paraId="2EC7A1F9">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1B0EC499">
            <w:pPr>
              <w:widowControl/>
              <w:jc w:val="center"/>
              <w:textAlignment w:val="center"/>
              <w:rPr>
                <w:bCs/>
                <w:szCs w:val="21"/>
              </w:rPr>
            </w:pPr>
          </w:p>
        </w:tc>
        <w:tc>
          <w:tcPr>
            <w:tcW w:w="792" w:type="dxa"/>
            <w:vAlign w:val="center"/>
          </w:tcPr>
          <w:p w14:paraId="2361C24F">
            <w:pPr>
              <w:widowControl/>
              <w:adjustRightInd w:val="0"/>
              <w:snapToGrid w:val="0"/>
              <w:jc w:val="center"/>
              <w:rPr>
                <w:bCs/>
                <w:szCs w:val="21"/>
              </w:rPr>
            </w:pPr>
          </w:p>
        </w:tc>
        <w:tc>
          <w:tcPr>
            <w:tcW w:w="696" w:type="dxa"/>
            <w:vAlign w:val="center"/>
          </w:tcPr>
          <w:p w14:paraId="5687A9AF">
            <w:pPr>
              <w:jc w:val="center"/>
              <w:rPr>
                <w:bCs/>
                <w:szCs w:val="21"/>
              </w:rPr>
            </w:pPr>
          </w:p>
        </w:tc>
        <w:tc>
          <w:tcPr>
            <w:tcW w:w="552" w:type="dxa"/>
            <w:vAlign w:val="center"/>
          </w:tcPr>
          <w:p w14:paraId="24E4BCD6">
            <w:pPr>
              <w:jc w:val="center"/>
              <w:rPr>
                <w:bCs/>
                <w:szCs w:val="21"/>
              </w:rPr>
            </w:pPr>
          </w:p>
        </w:tc>
        <w:tc>
          <w:tcPr>
            <w:tcW w:w="636" w:type="dxa"/>
            <w:shd w:val="clear" w:color="auto" w:fill="auto"/>
            <w:vAlign w:val="center"/>
          </w:tcPr>
          <w:p w14:paraId="71C16BC2">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BED2617">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42273799">
            <w:pPr>
              <w:jc w:val="center"/>
              <w:rPr>
                <w:bCs/>
                <w:szCs w:val="21"/>
              </w:rPr>
            </w:pPr>
          </w:p>
        </w:tc>
        <w:tc>
          <w:tcPr>
            <w:tcW w:w="967" w:type="dxa"/>
            <w:vAlign w:val="center"/>
          </w:tcPr>
          <w:p w14:paraId="1AA8B5E9">
            <w:pPr>
              <w:jc w:val="center"/>
              <w:rPr>
                <w:bCs/>
                <w:szCs w:val="21"/>
              </w:rPr>
            </w:pPr>
          </w:p>
        </w:tc>
      </w:tr>
      <w:tr w14:paraId="14E5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771AC9F3">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BC8614E">
            <w:pPr>
              <w:jc w:val="center"/>
              <w:rPr>
                <w:bCs/>
                <w:szCs w:val="21"/>
              </w:rPr>
            </w:pPr>
          </w:p>
        </w:tc>
        <w:tc>
          <w:tcPr>
            <w:tcW w:w="1440" w:type="dxa"/>
            <w:shd w:val="clear" w:color="auto" w:fill="auto"/>
            <w:vAlign w:val="center"/>
          </w:tcPr>
          <w:p w14:paraId="7B7DD4CC">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03C6C869">
            <w:pPr>
              <w:widowControl/>
              <w:jc w:val="center"/>
              <w:textAlignment w:val="center"/>
              <w:rPr>
                <w:bCs/>
                <w:szCs w:val="21"/>
              </w:rPr>
            </w:pPr>
          </w:p>
        </w:tc>
        <w:tc>
          <w:tcPr>
            <w:tcW w:w="792" w:type="dxa"/>
            <w:vAlign w:val="center"/>
          </w:tcPr>
          <w:p w14:paraId="441DFC51">
            <w:pPr>
              <w:widowControl/>
              <w:adjustRightInd w:val="0"/>
              <w:snapToGrid w:val="0"/>
              <w:jc w:val="center"/>
              <w:rPr>
                <w:bCs/>
                <w:szCs w:val="21"/>
              </w:rPr>
            </w:pPr>
          </w:p>
        </w:tc>
        <w:tc>
          <w:tcPr>
            <w:tcW w:w="696" w:type="dxa"/>
            <w:vAlign w:val="center"/>
          </w:tcPr>
          <w:p w14:paraId="6649BD18">
            <w:pPr>
              <w:jc w:val="center"/>
              <w:rPr>
                <w:bCs/>
                <w:szCs w:val="21"/>
              </w:rPr>
            </w:pPr>
          </w:p>
        </w:tc>
        <w:tc>
          <w:tcPr>
            <w:tcW w:w="552" w:type="dxa"/>
            <w:vAlign w:val="center"/>
          </w:tcPr>
          <w:p w14:paraId="49D8F274">
            <w:pPr>
              <w:jc w:val="center"/>
              <w:rPr>
                <w:bCs/>
                <w:szCs w:val="21"/>
              </w:rPr>
            </w:pPr>
          </w:p>
        </w:tc>
        <w:tc>
          <w:tcPr>
            <w:tcW w:w="636" w:type="dxa"/>
            <w:shd w:val="clear" w:color="auto" w:fill="auto"/>
            <w:vAlign w:val="center"/>
          </w:tcPr>
          <w:p w14:paraId="47E675A6">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5BDDF83">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C9B62AA">
            <w:pPr>
              <w:jc w:val="center"/>
              <w:rPr>
                <w:bCs/>
                <w:szCs w:val="21"/>
              </w:rPr>
            </w:pPr>
          </w:p>
        </w:tc>
        <w:tc>
          <w:tcPr>
            <w:tcW w:w="967" w:type="dxa"/>
            <w:vAlign w:val="center"/>
          </w:tcPr>
          <w:p w14:paraId="3FF171EC">
            <w:pPr>
              <w:jc w:val="center"/>
              <w:rPr>
                <w:bCs/>
                <w:szCs w:val="21"/>
              </w:rPr>
            </w:pPr>
          </w:p>
        </w:tc>
      </w:tr>
      <w:tr w14:paraId="7E03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A45BFEF">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A3081B8">
            <w:pPr>
              <w:jc w:val="center"/>
              <w:rPr>
                <w:bCs/>
                <w:szCs w:val="21"/>
              </w:rPr>
            </w:pPr>
          </w:p>
        </w:tc>
        <w:tc>
          <w:tcPr>
            <w:tcW w:w="1440" w:type="dxa"/>
            <w:shd w:val="clear" w:color="auto" w:fill="auto"/>
            <w:vAlign w:val="center"/>
          </w:tcPr>
          <w:p w14:paraId="14E35087">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BEF2762">
            <w:pPr>
              <w:widowControl/>
              <w:jc w:val="center"/>
              <w:textAlignment w:val="center"/>
              <w:rPr>
                <w:bCs/>
                <w:szCs w:val="21"/>
              </w:rPr>
            </w:pPr>
          </w:p>
        </w:tc>
        <w:tc>
          <w:tcPr>
            <w:tcW w:w="792" w:type="dxa"/>
            <w:vAlign w:val="center"/>
          </w:tcPr>
          <w:p w14:paraId="7FDDC497">
            <w:pPr>
              <w:widowControl/>
              <w:adjustRightInd w:val="0"/>
              <w:snapToGrid w:val="0"/>
              <w:jc w:val="center"/>
              <w:rPr>
                <w:bCs/>
                <w:szCs w:val="21"/>
              </w:rPr>
            </w:pPr>
          </w:p>
        </w:tc>
        <w:tc>
          <w:tcPr>
            <w:tcW w:w="696" w:type="dxa"/>
            <w:vAlign w:val="center"/>
          </w:tcPr>
          <w:p w14:paraId="60373B17">
            <w:pPr>
              <w:jc w:val="center"/>
              <w:rPr>
                <w:bCs/>
                <w:szCs w:val="21"/>
              </w:rPr>
            </w:pPr>
          </w:p>
        </w:tc>
        <w:tc>
          <w:tcPr>
            <w:tcW w:w="552" w:type="dxa"/>
            <w:vAlign w:val="center"/>
          </w:tcPr>
          <w:p w14:paraId="002322AF">
            <w:pPr>
              <w:jc w:val="center"/>
              <w:rPr>
                <w:bCs/>
                <w:szCs w:val="21"/>
              </w:rPr>
            </w:pPr>
          </w:p>
        </w:tc>
        <w:tc>
          <w:tcPr>
            <w:tcW w:w="636" w:type="dxa"/>
            <w:shd w:val="clear" w:color="auto" w:fill="auto"/>
            <w:vAlign w:val="center"/>
          </w:tcPr>
          <w:p w14:paraId="57E98661">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E806EA6">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032B781">
            <w:pPr>
              <w:jc w:val="center"/>
              <w:rPr>
                <w:bCs/>
                <w:szCs w:val="21"/>
              </w:rPr>
            </w:pPr>
          </w:p>
        </w:tc>
        <w:tc>
          <w:tcPr>
            <w:tcW w:w="967" w:type="dxa"/>
            <w:vAlign w:val="center"/>
          </w:tcPr>
          <w:p w14:paraId="362D5531">
            <w:pPr>
              <w:jc w:val="center"/>
              <w:rPr>
                <w:bCs/>
                <w:szCs w:val="21"/>
              </w:rPr>
            </w:pPr>
          </w:p>
        </w:tc>
      </w:tr>
      <w:tr w14:paraId="72D8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7457D84B">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D748659">
            <w:pPr>
              <w:jc w:val="center"/>
              <w:rPr>
                <w:bCs/>
                <w:szCs w:val="21"/>
              </w:rPr>
            </w:pPr>
          </w:p>
        </w:tc>
        <w:tc>
          <w:tcPr>
            <w:tcW w:w="1440" w:type="dxa"/>
            <w:shd w:val="clear" w:color="auto" w:fill="auto"/>
            <w:vAlign w:val="center"/>
          </w:tcPr>
          <w:p w14:paraId="4FB4D237">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00602EE3">
            <w:pPr>
              <w:widowControl/>
              <w:jc w:val="center"/>
              <w:textAlignment w:val="center"/>
              <w:rPr>
                <w:bCs/>
                <w:szCs w:val="21"/>
              </w:rPr>
            </w:pPr>
          </w:p>
        </w:tc>
        <w:tc>
          <w:tcPr>
            <w:tcW w:w="792" w:type="dxa"/>
            <w:vAlign w:val="center"/>
          </w:tcPr>
          <w:p w14:paraId="7D4491B2">
            <w:pPr>
              <w:widowControl/>
              <w:adjustRightInd w:val="0"/>
              <w:snapToGrid w:val="0"/>
              <w:jc w:val="center"/>
              <w:rPr>
                <w:bCs/>
                <w:szCs w:val="21"/>
              </w:rPr>
            </w:pPr>
          </w:p>
        </w:tc>
        <w:tc>
          <w:tcPr>
            <w:tcW w:w="696" w:type="dxa"/>
            <w:vAlign w:val="center"/>
          </w:tcPr>
          <w:p w14:paraId="72CE99D7">
            <w:pPr>
              <w:jc w:val="center"/>
              <w:rPr>
                <w:bCs/>
                <w:szCs w:val="21"/>
              </w:rPr>
            </w:pPr>
          </w:p>
        </w:tc>
        <w:tc>
          <w:tcPr>
            <w:tcW w:w="552" w:type="dxa"/>
            <w:vAlign w:val="center"/>
          </w:tcPr>
          <w:p w14:paraId="7FACC83C">
            <w:pPr>
              <w:jc w:val="center"/>
              <w:rPr>
                <w:bCs/>
                <w:szCs w:val="21"/>
              </w:rPr>
            </w:pPr>
          </w:p>
        </w:tc>
        <w:tc>
          <w:tcPr>
            <w:tcW w:w="636" w:type="dxa"/>
            <w:shd w:val="clear" w:color="auto" w:fill="auto"/>
            <w:vAlign w:val="center"/>
          </w:tcPr>
          <w:p w14:paraId="3DABC59C">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707517D">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01E3B69">
            <w:pPr>
              <w:jc w:val="center"/>
              <w:rPr>
                <w:bCs/>
                <w:szCs w:val="21"/>
              </w:rPr>
            </w:pPr>
          </w:p>
        </w:tc>
        <w:tc>
          <w:tcPr>
            <w:tcW w:w="967" w:type="dxa"/>
            <w:vAlign w:val="center"/>
          </w:tcPr>
          <w:p w14:paraId="6D0E3A01">
            <w:pPr>
              <w:jc w:val="center"/>
              <w:rPr>
                <w:bCs/>
                <w:szCs w:val="21"/>
              </w:rPr>
            </w:pPr>
          </w:p>
        </w:tc>
      </w:tr>
      <w:tr w14:paraId="5A64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BBC4FB8">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C0A9546">
            <w:pPr>
              <w:jc w:val="center"/>
              <w:rPr>
                <w:bCs/>
                <w:szCs w:val="21"/>
              </w:rPr>
            </w:pPr>
          </w:p>
        </w:tc>
        <w:tc>
          <w:tcPr>
            <w:tcW w:w="1440" w:type="dxa"/>
            <w:shd w:val="clear" w:color="auto" w:fill="auto"/>
            <w:vAlign w:val="center"/>
          </w:tcPr>
          <w:p w14:paraId="58AEEA9A">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BE50E2C">
            <w:pPr>
              <w:widowControl/>
              <w:jc w:val="center"/>
              <w:textAlignment w:val="center"/>
              <w:rPr>
                <w:bCs/>
                <w:szCs w:val="21"/>
              </w:rPr>
            </w:pPr>
          </w:p>
        </w:tc>
        <w:tc>
          <w:tcPr>
            <w:tcW w:w="792" w:type="dxa"/>
            <w:vAlign w:val="center"/>
          </w:tcPr>
          <w:p w14:paraId="469843C2">
            <w:pPr>
              <w:widowControl/>
              <w:adjustRightInd w:val="0"/>
              <w:snapToGrid w:val="0"/>
              <w:jc w:val="center"/>
              <w:rPr>
                <w:bCs/>
                <w:szCs w:val="21"/>
              </w:rPr>
            </w:pPr>
          </w:p>
        </w:tc>
        <w:tc>
          <w:tcPr>
            <w:tcW w:w="696" w:type="dxa"/>
            <w:vAlign w:val="center"/>
          </w:tcPr>
          <w:p w14:paraId="6A37146F">
            <w:pPr>
              <w:jc w:val="center"/>
              <w:rPr>
                <w:bCs/>
                <w:szCs w:val="21"/>
              </w:rPr>
            </w:pPr>
          </w:p>
        </w:tc>
        <w:tc>
          <w:tcPr>
            <w:tcW w:w="552" w:type="dxa"/>
            <w:vAlign w:val="center"/>
          </w:tcPr>
          <w:p w14:paraId="58A88932">
            <w:pPr>
              <w:jc w:val="center"/>
              <w:rPr>
                <w:bCs/>
                <w:szCs w:val="21"/>
              </w:rPr>
            </w:pPr>
          </w:p>
        </w:tc>
        <w:tc>
          <w:tcPr>
            <w:tcW w:w="636" w:type="dxa"/>
            <w:shd w:val="clear" w:color="auto" w:fill="auto"/>
            <w:vAlign w:val="center"/>
          </w:tcPr>
          <w:p w14:paraId="4919039A">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9EAB574">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0B7BFF1">
            <w:pPr>
              <w:jc w:val="center"/>
              <w:rPr>
                <w:bCs/>
                <w:szCs w:val="21"/>
              </w:rPr>
            </w:pPr>
          </w:p>
        </w:tc>
        <w:tc>
          <w:tcPr>
            <w:tcW w:w="967" w:type="dxa"/>
            <w:vAlign w:val="center"/>
          </w:tcPr>
          <w:p w14:paraId="54579A30">
            <w:pPr>
              <w:jc w:val="center"/>
              <w:rPr>
                <w:bCs/>
                <w:szCs w:val="21"/>
              </w:rPr>
            </w:pPr>
          </w:p>
        </w:tc>
      </w:tr>
      <w:tr w14:paraId="6CFF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494035C">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1551B14C">
            <w:pPr>
              <w:jc w:val="center"/>
              <w:rPr>
                <w:bCs/>
                <w:szCs w:val="21"/>
              </w:rPr>
            </w:pPr>
          </w:p>
        </w:tc>
        <w:tc>
          <w:tcPr>
            <w:tcW w:w="1440" w:type="dxa"/>
            <w:shd w:val="clear" w:color="auto" w:fill="auto"/>
            <w:vAlign w:val="center"/>
          </w:tcPr>
          <w:p w14:paraId="15B4282D">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295F743">
            <w:pPr>
              <w:widowControl/>
              <w:jc w:val="center"/>
              <w:textAlignment w:val="center"/>
              <w:rPr>
                <w:bCs/>
                <w:szCs w:val="21"/>
              </w:rPr>
            </w:pPr>
          </w:p>
        </w:tc>
        <w:tc>
          <w:tcPr>
            <w:tcW w:w="792" w:type="dxa"/>
            <w:vAlign w:val="center"/>
          </w:tcPr>
          <w:p w14:paraId="1764D58D">
            <w:pPr>
              <w:widowControl/>
              <w:adjustRightInd w:val="0"/>
              <w:snapToGrid w:val="0"/>
              <w:jc w:val="center"/>
              <w:rPr>
                <w:bCs/>
                <w:szCs w:val="21"/>
              </w:rPr>
            </w:pPr>
          </w:p>
        </w:tc>
        <w:tc>
          <w:tcPr>
            <w:tcW w:w="696" w:type="dxa"/>
            <w:vAlign w:val="center"/>
          </w:tcPr>
          <w:p w14:paraId="6E53848D">
            <w:pPr>
              <w:jc w:val="center"/>
              <w:rPr>
                <w:bCs/>
                <w:szCs w:val="21"/>
              </w:rPr>
            </w:pPr>
          </w:p>
        </w:tc>
        <w:tc>
          <w:tcPr>
            <w:tcW w:w="552" w:type="dxa"/>
            <w:vAlign w:val="center"/>
          </w:tcPr>
          <w:p w14:paraId="37F64C39">
            <w:pPr>
              <w:jc w:val="center"/>
              <w:rPr>
                <w:bCs/>
                <w:szCs w:val="21"/>
              </w:rPr>
            </w:pPr>
          </w:p>
        </w:tc>
        <w:tc>
          <w:tcPr>
            <w:tcW w:w="636" w:type="dxa"/>
            <w:shd w:val="clear" w:color="auto" w:fill="auto"/>
            <w:vAlign w:val="center"/>
          </w:tcPr>
          <w:p w14:paraId="54F73971">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D861B91">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0755345B">
            <w:pPr>
              <w:jc w:val="center"/>
              <w:rPr>
                <w:bCs/>
                <w:szCs w:val="21"/>
              </w:rPr>
            </w:pPr>
          </w:p>
        </w:tc>
        <w:tc>
          <w:tcPr>
            <w:tcW w:w="967" w:type="dxa"/>
            <w:vAlign w:val="center"/>
          </w:tcPr>
          <w:p w14:paraId="476E7EAE">
            <w:pPr>
              <w:jc w:val="center"/>
              <w:rPr>
                <w:bCs/>
                <w:szCs w:val="21"/>
              </w:rPr>
            </w:pPr>
          </w:p>
        </w:tc>
      </w:tr>
      <w:tr w14:paraId="681A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B06CDF0">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B44B873">
            <w:pPr>
              <w:jc w:val="center"/>
              <w:rPr>
                <w:bCs/>
                <w:szCs w:val="21"/>
              </w:rPr>
            </w:pPr>
          </w:p>
        </w:tc>
        <w:tc>
          <w:tcPr>
            <w:tcW w:w="1440" w:type="dxa"/>
            <w:shd w:val="clear" w:color="auto" w:fill="auto"/>
            <w:vAlign w:val="center"/>
          </w:tcPr>
          <w:p w14:paraId="6CE420B8">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E9AF328">
            <w:pPr>
              <w:widowControl/>
              <w:jc w:val="center"/>
              <w:textAlignment w:val="center"/>
              <w:rPr>
                <w:bCs/>
                <w:szCs w:val="21"/>
              </w:rPr>
            </w:pPr>
          </w:p>
        </w:tc>
        <w:tc>
          <w:tcPr>
            <w:tcW w:w="792" w:type="dxa"/>
            <w:vAlign w:val="center"/>
          </w:tcPr>
          <w:p w14:paraId="2CAA691A">
            <w:pPr>
              <w:widowControl/>
              <w:adjustRightInd w:val="0"/>
              <w:snapToGrid w:val="0"/>
              <w:jc w:val="center"/>
              <w:rPr>
                <w:bCs/>
                <w:szCs w:val="21"/>
              </w:rPr>
            </w:pPr>
          </w:p>
        </w:tc>
        <w:tc>
          <w:tcPr>
            <w:tcW w:w="696" w:type="dxa"/>
            <w:vAlign w:val="center"/>
          </w:tcPr>
          <w:p w14:paraId="276946DA">
            <w:pPr>
              <w:jc w:val="center"/>
              <w:rPr>
                <w:bCs/>
                <w:szCs w:val="21"/>
              </w:rPr>
            </w:pPr>
          </w:p>
        </w:tc>
        <w:tc>
          <w:tcPr>
            <w:tcW w:w="552" w:type="dxa"/>
            <w:vAlign w:val="center"/>
          </w:tcPr>
          <w:p w14:paraId="6F508064">
            <w:pPr>
              <w:jc w:val="center"/>
              <w:rPr>
                <w:bCs/>
                <w:szCs w:val="21"/>
              </w:rPr>
            </w:pPr>
          </w:p>
        </w:tc>
        <w:tc>
          <w:tcPr>
            <w:tcW w:w="636" w:type="dxa"/>
            <w:shd w:val="clear" w:color="auto" w:fill="auto"/>
            <w:vAlign w:val="center"/>
          </w:tcPr>
          <w:p w14:paraId="6FF4DFB6">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2DC04DD">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45B6C96">
            <w:pPr>
              <w:jc w:val="center"/>
              <w:rPr>
                <w:bCs/>
                <w:szCs w:val="21"/>
              </w:rPr>
            </w:pPr>
          </w:p>
        </w:tc>
        <w:tc>
          <w:tcPr>
            <w:tcW w:w="967" w:type="dxa"/>
            <w:vAlign w:val="center"/>
          </w:tcPr>
          <w:p w14:paraId="15BCB657">
            <w:pPr>
              <w:jc w:val="center"/>
              <w:rPr>
                <w:bCs/>
                <w:szCs w:val="21"/>
              </w:rPr>
            </w:pPr>
          </w:p>
        </w:tc>
      </w:tr>
      <w:tr w14:paraId="5C6E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46B3CF0">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18955116">
            <w:pPr>
              <w:jc w:val="center"/>
              <w:rPr>
                <w:bCs/>
                <w:szCs w:val="21"/>
              </w:rPr>
            </w:pPr>
          </w:p>
        </w:tc>
        <w:tc>
          <w:tcPr>
            <w:tcW w:w="1440" w:type="dxa"/>
            <w:shd w:val="clear" w:color="auto" w:fill="auto"/>
            <w:vAlign w:val="center"/>
          </w:tcPr>
          <w:p w14:paraId="4EAEF44E">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91B07FF">
            <w:pPr>
              <w:widowControl/>
              <w:jc w:val="center"/>
              <w:textAlignment w:val="center"/>
              <w:rPr>
                <w:bCs/>
                <w:szCs w:val="21"/>
              </w:rPr>
            </w:pPr>
          </w:p>
        </w:tc>
        <w:tc>
          <w:tcPr>
            <w:tcW w:w="792" w:type="dxa"/>
            <w:vAlign w:val="center"/>
          </w:tcPr>
          <w:p w14:paraId="7E64C342">
            <w:pPr>
              <w:widowControl/>
              <w:adjustRightInd w:val="0"/>
              <w:snapToGrid w:val="0"/>
              <w:jc w:val="center"/>
              <w:rPr>
                <w:bCs/>
                <w:szCs w:val="21"/>
              </w:rPr>
            </w:pPr>
          </w:p>
        </w:tc>
        <w:tc>
          <w:tcPr>
            <w:tcW w:w="696" w:type="dxa"/>
            <w:vAlign w:val="center"/>
          </w:tcPr>
          <w:p w14:paraId="7148BD82">
            <w:pPr>
              <w:jc w:val="center"/>
              <w:rPr>
                <w:bCs/>
                <w:szCs w:val="21"/>
              </w:rPr>
            </w:pPr>
          </w:p>
        </w:tc>
        <w:tc>
          <w:tcPr>
            <w:tcW w:w="552" w:type="dxa"/>
            <w:vAlign w:val="center"/>
          </w:tcPr>
          <w:p w14:paraId="43FF00C5">
            <w:pPr>
              <w:jc w:val="center"/>
              <w:rPr>
                <w:bCs/>
                <w:szCs w:val="21"/>
              </w:rPr>
            </w:pPr>
          </w:p>
        </w:tc>
        <w:tc>
          <w:tcPr>
            <w:tcW w:w="636" w:type="dxa"/>
            <w:shd w:val="clear" w:color="auto" w:fill="auto"/>
            <w:vAlign w:val="center"/>
          </w:tcPr>
          <w:p w14:paraId="6AFFD13D">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C57AF5D">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BFFE653">
            <w:pPr>
              <w:jc w:val="center"/>
              <w:rPr>
                <w:bCs/>
                <w:szCs w:val="21"/>
              </w:rPr>
            </w:pPr>
          </w:p>
        </w:tc>
        <w:tc>
          <w:tcPr>
            <w:tcW w:w="967" w:type="dxa"/>
            <w:vAlign w:val="center"/>
          </w:tcPr>
          <w:p w14:paraId="1798F6D2">
            <w:pPr>
              <w:jc w:val="center"/>
              <w:rPr>
                <w:bCs/>
                <w:szCs w:val="21"/>
              </w:rPr>
            </w:pPr>
          </w:p>
        </w:tc>
      </w:tr>
      <w:tr w14:paraId="4777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7A3BAD2A">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2EE48ED">
            <w:pPr>
              <w:jc w:val="center"/>
              <w:rPr>
                <w:bCs/>
                <w:szCs w:val="21"/>
              </w:rPr>
            </w:pPr>
          </w:p>
        </w:tc>
        <w:tc>
          <w:tcPr>
            <w:tcW w:w="1440" w:type="dxa"/>
            <w:shd w:val="clear" w:color="auto" w:fill="auto"/>
            <w:vAlign w:val="center"/>
          </w:tcPr>
          <w:p w14:paraId="00034436">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0FAB33E">
            <w:pPr>
              <w:widowControl/>
              <w:jc w:val="center"/>
              <w:textAlignment w:val="center"/>
              <w:rPr>
                <w:bCs/>
                <w:szCs w:val="21"/>
              </w:rPr>
            </w:pPr>
          </w:p>
        </w:tc>
        <w:tc>
          <w:tcPr>
            <w:tcW w:w="792" w:type="dxa"/>
            <w:vAlign w:val="center"/>
          </w:tcPr>
          <w:p w14:paraId="2A08F644">
            <w:pPr>
              <w:widowControl/>
              <w:adjustRightInd w:val="0"/>
              <w:snapToGrid w:val="0"/>
              <w:jc w:val="center"/>
              <w:rPr>
                <w:bCs/>
                <w:szCs w:val="21"/>
              </w:rPr>
            </w:pPr>
          </w:p>
        </w:tc>
        <w:tc>
          <w:tcPr>
            <w:tcW w:w="696" w:type="dxa"/>
            <w:vAlign w:val="center"/>
          </w:tcPr>
          <w:p w14:paraId="35B82DDE">
            <w:pPr>
              <w:jc w:val="center"/>
              <w:rPr>
                <w:bCs/>
                <w:szCs w:val="21"/>
              </w:rPr>
            </w:pPr>
          </w:p>
        </w:tc>
        <w:tc>
          <w:tcPr>
            <w:tcW w:w="552" w:type="dxa"/>
            <w:vAlign w:val="center"/>
          </w:tcPr>
          <w:p w14:paraId="7EEFA878">
            <w:pPr>
              <w:jc w:val="center"/>
              <w:rPr>
                <w:bCs/>
                <w:szCs w:val="21"/>
              </w:rPr>
            </w:pPr>
          </w:p>
        </w:tc>
        <w:tc>
          <w:tcPr>
            <w:tcW w:w="636" w:type="dxa"/>
            <w:shd w:val="clear" w:color="auto" w:fill="auto"/>
            <w:vAlign w:val="center"/>
          </w:tcPr>
          <w:p w14:paraId="3146A4EF">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C1EEDB6">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0F5D459">
            <w:pPr>
              <w:jc w:val="center"/>
              <w:rPr>
                <w:bCs/>
                <w:szCs w:val="21"/>
              </w:rPr>
            </w:pPr>
          </w:p>
        </w:tc>
        <w:tc>
          <w:tcPr>
            <w:tcW w:w="967" w:type="dxa"/>
            <w:vAlign w:val="center"/>
          </w:tcPr>
          <w:p w14:paraId="01F53690">
            <w:pPr>
              <w:jc w:val="center"/>
              <w:rPr>
                <w:bCs/>
                <w:szCs w:val="21"/>
              </w:rPr>
            </w:pPr>
          </w:p>
        </w:tc>
      </w:tr>
      <w:tr w14:paraId="11D9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E2F8583">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BF3063B">
            <w:pPr>
              <w:jc w:val="center"/>
              <w:rPr>
                <w:bCs/>
                <w:szCs w:val="21"/>
              </w:rPr>
            </w:pPr>
          </w:p>
        </w:tc>
        <w:tc>
          <w:tcPr>
            <w:tcW w:w="1440" w:type="dxa"/>
            <w:shd w:val="clear" w:color="auto" w:fill="auto"/>
            <w:vAlign w:val="center"/>
          </w:tcPr>
          <w:p w14:paraId="4F324019">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73B1A20">
            <w:pPr>
              <w:widowControl/>
              <w:jc w:val="center"/>
              <w:textAlignment w:val="center"/>
              <w:rPr>
                <w:bCs/>
                <w:szCs w:val="21"/>
              </w:rPr>
            </w:pPr>
          </w:p>
        </w:tc>
        <w:tc>
          <w:tcPr>
            <w:tcW w:w="792" w:type="dxa"/>
            <w:vAlign w:val="center"/>
          </w:tcPr>
          <w:p w14:paraId="6F55F577">
            <w:pPr>
              <w:widowControl/>
              <w:adjustRightInd w:val="0"/>
              <w:snapToGrid w:val="0"/>
              <w:jc w:val="center"/>
              <w:rPr>
                <w:bCs/>
                <w:szCs w:val="21"/>
              </w:rPr>
            </w:pPr>
          </w:p>
        </w:tc>
        <w:tc>
          <w:tcPr>
            <w:tcW w:w="696" w:type="dxa"/>
            <w:vAlign w:val="center"/>
          </w:tcPr>
          <w:p w14:paraId="3DEE02A3">
            <w:pPr>
              <w:jc w:val="center"/>
              <w:rPr>
                <w:bCs/>
                <w:szCs w:val="21"/>
              </w:rPr>
            </w:pPr>
          </w:p>
        </w:tc>
        <w:tc>
          <w:tcPr>
            <w:tcW w:w="552" w:type="dxa"/>
            <w:vAlign w:val="center"/>
          </w:tcPr>
          <w:p w14:paraId="7030F7DB">
            <w:pPr>
              <w:jc w:val="center"/>
              <w:rPr>
                <w:bCs/>
                <w:szCs w:val="21"/>
              </w:rPr>
            </w:pPr>
          </w:p>
        </w:tc>
        <w:tc>
          <w:tcPr>
            <w:tcW w:w="636" w:type="dxa"/>
            <w:shd w:val="clear" w:color="auto" w:fill="auto"/>
            <w:vAlign w:val="center"/>
          </w:tcPr>
          <w:p w14:paraId="24CAC24C">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488D173">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6A7DF72">
            <w:pPr>
              <w:jc w:val="center"/>
              <w:rPr>
                <w:bCs/>
                <w:szCs w:val="21"/>
              </w:rPr>
            </w:pPr>
          </w:p>
        </w:tc>
        <w:tc>
          <w:tcPr>
            <w:tcW w:w="967" w:type="dxa"/>
            <w:vAlign w:val="center"/>
          </w:tcPr>
          <w:p w14:paraId="3B649C12">
            <w:pPr>
              <w:jc w:val="center"/>
              <w:rPr>
                <w:bCs/>
                <w:szCs w:val="21"/>
              </w:rPr>
            </w:pPr>
          </w:p>
        </w:tc>
      </w:tr>
      <w:tr w14:paraId="03C7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A5EC3F1">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F36E44A">
            <w:pPr>
              <w:jc w:val="center"/>
              <w:rPr>
                <w:bCs/>
                <w:szCs w:val="21"/>
              </w:rPr>
            </w:pPr>
          </w:p>
        </w:tc>
        <w:tc>
          <w:tcPr>
            <w:tcW w:w="1440" w:type="dxa"/>
            <w:shd w:val="clear" w:color="auto" w:fill="auto"/>
            <w:vAlign w:val="center"/>
          </w:tcPr>
          <w:p w14:paraId="7CE0B580">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552D1E5">
            <w:pPr>
              <w:widowControl/>
              <w:jc w:val="center"/>
              <w:textAlignment w:val="center"/>
              <w:rPr>
                <w:bCs/>
                <w:szCs w:val="21"/>
              </w:rPr>
            </w:pPr>
          </w:p>
        </w:tc>
        <w:tc>
          <w:tcPr>
            <w:tcW w:w="792" w:type="dxa"/>
            <w:vAlign w:val="center"/>
          </w:tcPr>
          <w:p w14:paraId="0C4D96CD">
            <w:pPr>
              <w:widowControl/>
              <w:adjustRightInd w:val="0"/>
              <w:snapToGrid w:val="0"/>
              <w:jc w:val="center"/>
              <w:rPr>
                <w:bCs/>
                <w:szCs w:val="21"/>
              </w:rPr>
            </w:pPr>
          </w:p>
        </w:tc>
        <w:tc>
          <w:tcPr>
            <w:tcW w:w="696" w:type="dxa"/>
            <w:vAlign w:val="center"/>
          </w:tcPr>
          <w:p w14:paraId="2ED59F32">
            <w:pPr>
              <w:jc w:val="center"/>
              <w:rPr>
                <w:bCs/>
                <w:szCs w:val="21"/>
              </w:rPr>
            </w:pPr>
          </w:p>
        </w:tc>
        <w:tc>
          <w:tcPr>
            <w:tcW w:w="552" w:type="dxa"/>
            <w:vAlign w:val="center"/>
          </w:tcPr>
          <w:p w14:paraId="3BB203B6">
            <w:pPr>
              <w:jc w:val="center"/>
              <w:rPr>
                <w:bCs/>
                <w:szCs w:val="21"/>
              </w:rPr>
            </w:pPr>
          </w:p>
        </w:tc>
        <w:tc>
          <w:tcPr>
            <w:tcW w:w="636" w:type="dxa"/>
            <w:shd w:val="clear" w:color="auto" w:fill="auto"/>
            <w:vAlign w:val="center"/>
          </w:tcPr>
          <w:p w14:paraId="67DE258A">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63A6B25">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E4FE561">
            <w:pPr>
              <w:jc w:val="center"/>
              <w:rPr>
                <w:bCs/>
                <w:szCs w:val="21"/>
              </w:rPr>
            </w:pPr>
          </w:p>
        </w:tc>
        <w:tc>
          <w:tcPr>
            <w:tcW w:w="967" w:type="dxa"/>
            <w:vAlign w:val="center"/>
          </w:tcPr>
          <w:p w14:paraId="7B4FE767">
            <w:pPr>
              <w:jc w:val="center"/>
              <w:rPr>
                <w:bCs/>
                <w:szCs w:val="21"/>
              </w:rPr>
            </w:pPr>
          </w:p>
        </w:tc>
      </w:tr>
      <w:tr w14:paraId="07ED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043A90B">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F9AB8DF">
            <w:pPr>
              <w:jc w:val="center"/>
              <w:rPr>
                <w:bCs/>
                <w:szCs w:val="21"/>
              </w:rPr>
            </w:pPr>
          </w:p>
        </w:tc>
        <w:tc>
          <w:tcPr>
            <w:tcW w:w="1440" w:type="dxa"/>
            <w:shd w:val="clear" w:color="auto" w:fill="auto"/>
            <w:vAlign w:val="center"/>
          </w:tcPr>
          <w:p w14:paraId="053E07D1">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1795476F">
            <w:pPr>
              <w:widowControl/>
              <w:jc w:val="center"/>
              <w:textAlignment w:val="center"/>
              <w:rPr>
                <w:bCs/>
                <w:szCs w:val="21"/>
              </w:rPr>
            </w:pPr>
          </w:p>
        </w:tc>
        <w:tc>
          <w:tcPr>
            <w:tcW w:w="792" w:type="dxa"/>
            <w:vAlign w:val="center"/>
          </w:tcPr>
          <w:p w14:paraId="30D2934E">
            <w:pPr>
              <w:widowControl/>
              <w:adjustRightInd w:val="0"/>
              <w:snapToGrid w:val="0"/>
              <w:jc w:val="center"/>
              <w:rPr>
                <w:bCs/>
                <w:szCs w:val="21"/>
              </w:rPr>
            </w:pPr>
          </w:p>
        </w:tc>
        <w:tc>
          <w:tcPr>
            <w:tcW w:w="696" w:type="dxa"/>
            <w:vAlign w:val="center"/>
          </w:tcPr>
          <w:p w14:paraId="5359AC38">
            <w:pPr>
              <w:jc w:val="center"/>
              <w:rPr>
                <w:bCs/>
                <w:szCs w:val="21"/>
              </w:rPr>
            </w:pPr>
          </w:p>
        </w:tc>
        <w:tc>
          <w:tcPr>
            <w:tcW w:w="552" w:type="dxa"/>
            <w:vAlign w:val="center"/>
          </w:tcPr>
          <w:p w14:paraId="70C858E1">
            <w:pPr>
              <w:jc w:val="center"/>
              <w:rPr>
                <w:bCs/>
                <w:szCs w:val="21"/>
              </w:rPr>
            </w:pPr>
          </w:p>
        </w:tc>
        <w:tc>
          <w:tcPr>
            <w:tcW w:w="636" w:type="dxa"/>
            <w:shd w:val="clear" w:color="auto" w:fill="auto"/>
            <w:vAlign w:val="center"/>
          </w:tcPr>
          <w:p w14:paraId="49BDD45B">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D9FB44C">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33413D81">
            <w:pPr>
              <w:jc w:val="center"/>
              <w:rPr>
                <w:bCs/>
                <w:szCs w:val="21"/>
              </w:rPr>
            </w:pPr>
          </w:p>
        </w:tc>
        <w:tc>
          <w:tcPr>
            <w:tcW w:w="967" w:type="dxa"/>
            <w:vAlign w:val="center"/>
          </w:tcPr>
          <w:p w14:paraId="291BAD01">
            <w:pPr>
              <w:jc w:val="center"/>
              <w:rPr>
                <w:bCs/>
                <w:szCs w:val="21"/>
              </w:rPr>
            </w:pPr>
          </w:p>
        </w:tc>
      </w:tr>
      <w:tr w14:paraId="210AB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FF839A6">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B219A5D">
            <w:pPr>
              <w:jc w:val="center"/>
              <w:rPr>
                <w:bCs/>
                <w:szCs w:val="21"/>
              </w:rPr>
            </w:pPr>
          </w:p>
        </w:tc>
        <w:tc>
          <w:tcPr>
            <w:tcW w:w="1440" w:type="dxa"/>
            <w:shd w:val="clear" w:color="auto" w:fill="auto"/>
            <w:vAlign w:val="center"/>
          </w:tcPr>
          <w:p w14:paraId="095062C2">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4655FBB">
            <w:pPr>
              <w:widowControl/>
              <w:jc w:val="center"/>
              <w:textAlignment w:val="center"/>
              <w:rPr>
                <w:bCs/>
                <w:szCs w:val="21"/>
              </w:rPr>
            </w:pPr>
          </w:p>
        </w:tc>
        <w:tc>
          <w:tcPr>
            <w:tcW w:w="792" w:type="dxa"/>
            <w:vAlign w:val="center"/>
          </w:tcPr>
          <w:p w14:paraId="6E261304">
            <w:pPr>
              <w:widowControl/>
              <w:adjustRightInd w:val="0"/>
              <w:snapToGrid w:val="0"/>
              <w:jc w:val="center"/>
              <w:rPr>
                <w:bCs/>
                <w:szCs w:val="21"/>
              </w:rPr>
            </w:pPr>
          </w:p>
        </w:tc>
        <w:tc>
          <w:tcPr>
            <w:tcW w:w="696" w:type="dxa"/>
            <w:vAlign w:val="center"/>
          </w:tcPr>
          <w:p w14:paraId="1A1FDEBB">
            <w:pPr>
              <w:jc w:val="center"/>
              <w:rPr>
                <w:bCs/>
                <w:szCs w:val="21"/>
              </w:rPr>
            </w:pPr>
          </w:p>
        </w:tc>
        <w:tc>
          <w:tcPr>
            <w:tcW w:w="552" w:type="dxa"/>
            <w:vAlign w:val="center"/>
          </w:tcPr>
          <w:p w14:paraId="75997FF0">
            <w:pPr>
              <w:jc w:val="center"/>
              <w:rPr>
                <w:bCs/>
                <w:szCs w:val="21"/>
              </w:rPr>
            </w:pPr>
          </w:p>
        </w:tc>
        <w:tc>
          <w:tcPr>
            <w:tcW w:w="636" w:type="dxa"/>
            <w:shd w:val="clear" w:color="auto" w:fill="auto"/>
            <w:vAlign w:val="center"/>
          </w:tcPr>
          <w:p w14:paraId="532B41D2">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2CF98E4">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4F2385B">
            <w:pPr>
              <w:jc w:val="center"/>
              <w:rPr>
                <w:bCs/>
                <w:szCs w:val="21"/>
              </w:rPr>
            </w:pPr>
          </w:p>
        </w:tc>
        <w:tc>
          <w:tcPr>
            <w:tcW w:w="967" w:type="dxa"/>
            <w:vAlign w:val="center"/>
          </w:tcPr>
          <w:p w14:paraId="18C4F9CC">
            <w:pPr>
              <w:jc w:val="center"/>
              <w:rPr>
                <w:bCs/>
                <w:szCs w:val="21"/>
              </w:rPr>
            </w:pPr>
          </w:p>
        </w:tc>
      </w:tr>
      <w:tr w14:paraId="4AD7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63E3F29">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95C1A9C">
            <w:pPr>
              <w:jc w:val="center"/>
              <w:rPr>
                <w:bCs/>
                <w:szCs w:val="21"/>
              </w:rPr>
            </w:pPr>
          </w:p>
        </w:tc>
        <w:tc>
          <w:tcPr>
            <w:tcW w:w="1440" w:type="dxa"/>
            <w:shd w:val="clear" w:color="auto" w:fill="auto"/>
            <w:vAlign w:val="center"/>
          </w:tcPr>
          <w:p w14:paraId="65C5E9CE">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0E9F8DC7">
            <w:pPr>
              <w:widowControl/>
              <w:jc w:val="center"/>
              <w:textAlignment w:val="center"/>
              <w:rPr>
                <w:bCs/>
                <w:szCs w:val="21"/>
              </w:rPr>
            </w:pPr>
          </w:p>
        </w:tc>
        <w:tc>
          <w:tcPr>
            <w:tcW w:w="792" w:type="dxa"/>
            <w:vAlign w:val="center"/>
          </w:tcPr>
          <w:p w14:paraId="468BD16F">
            <w:pPr>
              <w:widowControl/>
              <w:adjustRightInd w:val="0"/>
              <w:snapToGrid w:val="0"/>
              <w:jc w:val="center"/>
              <w:rPr>
                <w:bCs/>
                <w:szCs w:val="21"/>
              </w:rPr>
            </w:pPr>
          </w:p>
        </w:tc>
        <w:tc>
          <w:tcPr>
            <w:tcW w:w="696" w:type="dxa"/>
            <w:vAlign w:val="center"/>
          </w:tcPr>
          <w:p w14:paraId="0797D9EC">
            <w:pPr>
              <w:jc w:val="center"/>
              <w:rPr>
                <w:bCs/>
                <w:szCs w:val="21"/>
              </w:rPr>
            </w:pPr>
          </w:p>
        </w:tc>
        <w:tc>
          <w:tcPr>
            <w:tcW w:w="552" w:type="dxa"/>
            <w:vAlign w:val="center"/>
          </w:tcPr>
          <w:p w14:paraId="16F271D0">
            <w:pPr>
              <w:jc w:val="center"/>
              <w:rPr>
                <w:bCs/>
                <w:szCs w:val="21"/>
              </w:rPr>
            </w:pPr>
          </w:p>
        </w:tc>
        <w:tc>
          <w:tcPr>
            <w:tcW w:w="636" w:type="dxa"/>
            <w:shd w:val="clear" w:color="auto" w:fill="auto"/>
            <w:vAlign w:val="center"/>
          </w:tcPr>
          <w:p w14:paraId="425C170E">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B914A4F">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07C99E4">
            <w:pPr>
              <w:jc w:val="center"/>
              <w:rPr>
                <w:bCs/>
                <w:szCs w:val="21"/>
              </w:rPr>
            </w:pPr>
          </w:p>
        </w:tc>
        <w:tc>
          <w:tcPr>
            <w:tcW w:w="967" w:type="dxa"/>
            <w:vAlign w:val="center"/>
          </w:tcPr>
          <w:p w14:paraId="03652190">
            <w:pPr>
              <w:jc w:val="center"/>
              <w:rPr>
                <w:bCs/>
                <w:szCs w:val="21"/>
              </w:rPr>
            </w:pPr>
          </w:p>
        </w:tc>
      </w:tr>
      <w:tr w14:paraId="46A3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BFE7DE4">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D33844D">
            <w:pPr>
              <w:jc w:val="center"/>
              <w:rPr>
                <w:bCs/>
                <w:szCs w:val="21"/>
              </w:rPr>
            </w:pPr>
          </w:p>
        </w:tc>
        <w:tc>
          <w:tcPr>
            <w:tcW w:w="1440" w:type="dxa"/>
            <w:shd w:val="clear" w:color="auto" w:fill="auto"/>
            <w:vAlign w:val="center"/>
          </w:tcPr>
          <w:p w14:paraId="7E6C6485">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97C743B">
            <w:pPr>
              <w:widowControl/>
              <w:jc w:val="center"/>
              <w:textAlignment w:val="center"/>
              <w:rPr>
                <w:bCs/>
                <w:szCs w:val="21"/>
              </w:rPr>
            </w:pPr>
          </w:p>
        </w:tc>
        <w:tc>
          <w:tcPr>
            <w:tcW w:w="792" w:type="dxa"/>
            <w:vAlign w:val="center"/>
          </w:tcPr>
          <w:p w14:paraId="3398355A">
            <w:pPr>
              <w:widowControl/>
              <w:adjustRightInd w:val="0"/>
              <w:snapToGrid w:val="0"/>
              <w:jc w:val="center"/>
              <w:rPr>
                <w:bCs/>
                <w:szCs w:val="21"/>
              </w:rPr>
            </w:pPr>
          </w:p>
        </w:tc>
        <w:tc>
          <w:tcPr>
            <w:tcW w:w="696" w:type="dxa"/>
            <w:vAlign w:val="center"/>
          </w:tcPr>
          <w:p w14:paraId="62C22DED">
            <w:pPr>
              <w:jc w:val="center"/>
              <w:rPr>
                <w:bCs/>
                <w:szCs w:val="21"/>
              </w:rPr>
            </w:pPr>
          </w:p>
        </w:tc>
        <w:tc>
          <w:tcPr>
            <w:tcW w:w="552" w:type="dxa"/>
            <w:vAlign w:val="center"/>
          </w:tcPr>
          <w:p w14:paraId="3482B435">
            <w:pPr>
              <w:jc w:val="center"/>
              <w:rPr>
                <w:bCs/>
                <w:szCs w:val="21"/>
              </w:rPr>
            </w:pPr>
          </w:p>
        </w:tc>
        <w:tc>
          <w:tcPr>
            <w:tcW w:w="636" w:type="dxa"/>
            <w:shd w:val="clear" w:color="auto" w:fill="auto"/>
            <w:vAlign w:val="center"/>
          </w:tcPr>
          <w:p w14:paraId="2C3BB52A">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ADF38CF">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31CE744">
            <w:pPr>
              <w:jc w:val="center"/>
              <w:rPr>
                <w:bCs/>
                <w:szCs w:val="21"/>
              </w:rPr>
            </w:pPr>
          </w:p>
        </w:tc>
        <w:tc>
          <w:tcPr>
            <w:tcW w:w="967" w:type="dxa"/>
            <w:vAlign w:val="center"/>
          </w:tcPr>
          <w:p w14:paraId="3E2C4E9D">
            <w:pPr>
              <w:jc w:val="center"/>
              <w:rPr>
                <w:bCs/>
                <w:szCs w:val="21"/>
              </w:rPr>
            </w:pPr>
          </w:p>
        </w:tc>
      </w:tr>
      <w:tr w14:paraId="4EE8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13BB366">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6F3F30FF">
            <w:pPr>
              <w:jc w:val="center"/>
              <w:rPr>
                <w:bCs/>
                <w:szCs w:val="21"/>
              </w:rPr>
            </w:pPr>
          </w:p>
        </w:tc>
        <w:tc>
          <w:tcPr>
            <w:tcW w:w="1440" w:type="dxa"/>
            <w:shd w:val="clear" w:color="auto" w:fill="auto"/>
            <w:vAlign w:val="center"/>
          </w:tcPr>
          <w:p w14:paraId="6BC4157D">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688B951">
            <w:pPr>
              <w:widowControl/>
              <w:jc w:val="center"/>
              <w:textAlignment w:val="center"/>
              <w:rPr>
                <w:bCs/>
                <w:szCs w:val="21"/>
              </w:rPr>
            </w:pPr>
          </w:p>
        </w:tc>
        <w:tc>
          <w:tcPr>
            <w:tcW w:w="792" w:type="dxa"/>
            <w:vAlign w:val="center"/>
          </w:tcPr>
          <w:p w14:paraId="7D1F1F3F">
            <w:pPr>
              <w:widowControl/>
              <w:adjustRightInd w:val="0"/>
              <w:snapToGrid w:val="0"/>
              <w:jc w:val="center"/>
              <w:rPr>
                <w:bCs/>
                <w:szCs w:val="21"/>
              </w:rPr>
            </w:pPr>
          </w:p>
        </w:tc>
        <w:tc>
          <w:tcPr>
            <w:tcW w:w="696" w:type="dxa"/>
            <w:vAlign w:val="center"/>
          </w:tcPr>
          <w:p w14:paraId="534AB5CB">
            <w:pPr>
              <w:jc w:val="center"/>
              <w:rPr>
                <w:bCs/>
                <w:szCs w:val="21"/>
              </w:rPr>
            </w:pPr>
          </w:p>
        </w:tc>
        <w:tc>
          <w:tcPr>
            <w:tcW w:w="552" w:type="dxa"/>
            <w:vAlign w:val="center"/>
          </w:tcPr>
          <w:p w14:paraId="56BADCBE">
            <w:pPr>
              <w:jc w:val="center"/>
              <w:rPr>
                <w:bCs/>
                <w:szCs w:val="21"/>
              </w:rPr>
            </w:pPr>
          </w:p>
        </w:tc>
        <w:tc>
          <w:tcPr>
            <w:tcW w:w="636" w:type="dxa"/>
            <w:shd w:val="clear" w:color="auto" w:fill="auto"/>
            <w:vAlign w:val="center"/>
          </w:tcPr>
          <w:p w14:paraId="301817C6">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C424472">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B9083F0">
            <w:pPr>
              <w:jc w:val="center"/>
              <w:rPr>
                <w:bCs/>
                <w:szCs w:val="21"/>
              </w:rPr>
            </w:pPr>
          </w:p>
        </w:tc>
        <w:tc>
          <w:tcPr>
            <w:tcW w:w="967" w:type="dxa"/>
            <w:vAlign w:val="center"/>
          </w:tcPr>
          <w:p w14:paraId="080D7E73">
            <w:pPr>
              <w:jc w:val="center"/>
              <w:rPr>
                <w:bCs/>
                <w:szCs w:val="21"/>
              </w:rPr>
            </w:pPr>
          </w:p>
        </w:tc>
      </w:tr>
      <w:tr w14:paraId="7C9F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99837C5">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1D5DB09">
            <w:pPr>
              <w:jc w:val="center"/>
              <w:rPr>
                <w:bCs/>
                <w:szCs w:val="21"/>
              </w:rPr>
            </w:pPr>
          </w:p>
        </w:tc>
        <w:tc>
          <w:tcPr>
            <w:tcW w:w="1440" w:type="dxa"/>
            <w:shd w:val="clear" w:color="auto" w:fill="auto"/>
            <w:vAlign w:val="center"/>
          </w:tcPr>
          <w:p w14:paraId="0E3825F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DDD83F3">
            <w:pPr>
              <w:widowControl/>
              <w:jc w:val="center"/>
              <w:textAlignment w:val="center"/>
              <w:rPr>
                <w:bCs/>
                <w:szCs w:val="21"/>
              </w:rPr>
            </w:pPr>
          </w:p>
        </w:tc>
        <w:tc>
          <w:tcPr>
            <w:tcW w:w="792" w:type="dxa"/>
            <w:vAlign w:val="center"/>
          </w:tcPr>
          <w:p w14:paraId="55861585">
            <w:pPr>
              <w:widowControl/>
              <w:adjustRightInd w:val="0"/>
              <w:snapToGrid w:val="0"/>
              <w:jc w:val="center"/>
              <w:rPr>
                <w:bCs/>
                <w:szCs w:val="21"/>
              </w:rPr>
            </w:pPr>
          </w:p>
        </w:tc>
        <w:tc>
          <w:tcPr>
            <w:tcW w:w="696" w:type="dxa"/>
            <w:vAlign w:val="center"/>
          </w:tcPr>
          <w:p w14:paraId="3AC58FE8">
            <w:pPr>
              <w:jc w:val="center"/>
              <w:rPr>
                <w:bCs/>
                <w:szCs w:val="21"/>
              </w:rPr>
            </w:pPr>
          </w:p>
        </w:tc>
        <w:tc>
          <w:tcPr>
            <w:tcW w:w="552" w:type="dxa"/>
            <w:vAlign w:val="center"/>
          </w:tcPr>
          <w:p w14:paraId="56B6D0D5">
            <w:pPr>
              <w:jc w:val="center"/>
              <w:rPr>
                <w:bCs/>
                <w:szCs w:val="21"/>
              </w:rPr>
            </w:pPr>
          </w:p>
        </w:tc>
        <w:tc>
          <w:tcPr>
            <w:tcW w:w="636" w:type="dxa"/>
            <w:shd w:val="clear" w:color="auto" w:fill="auto"/>
            <w:vAlign w:val="center"/>
          </w:tcPr>
          <w:p w14:paraId="3DF1F1B7">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FA730E5">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06EF5EAE">
            <w:pPr>
              <w:jc w:val="center"/>
              <w:rPr>
                <w:bCs/>
                <w:szCs w:val="21"/>
              </w:rPr>
            </w:pPr>
          </w:p>
        </w:tc>
        <w:tc>
          <w:tcPr>
            <w:tcW w:w="967" w:type="dxa"/>
            <w:vAlign w:val="center"/>
          </w:tcPr>
          <w:p w14:paraId="7F99B6D6">
            <w:pPr>
              <w:jc w:val="center"/>
              <w:rPr>
                <w:bCs/>
                <w:szCs w:val="21"/>
              </w:rPr>
            </w:pPr>
          </w:p>
        </w:tc>
      </w:tr>
      <w:tr w14:paraId="145E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C897B1D">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49FE1B91">
            <w:pPr>
              <w:jc w:val="center"/>
              <w:rPr>
                <w:bCs/>
                <w:szCs w:val="21"/>
              </w:rPr>
            </w:pPr>
          </w:p>
        </w:tc>
        <w:tc>
          <w:tcPr>
            <w:tcW w:w="1440" w:type="dxa"/>
            <w:shd w:val="clear" w:color="auto" w:fill="auto"/>
            <w:vAlign w:val="center"/>
          </w:tcPr>
          <w:p w14:paraId="575A93E3">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D56AFC2">
            <w:pPr>
              <w:widowControl/>
              <w:jc w:val="center"/>
              <w:textAlignment w:val="center"/>
              <w:rPr>
                <w:bCs/>
                <w:szCs w:val="21"/>
              </w:rPr>
            </w:pPr>
          </w:p>
        </w:tc>
        <w:tc>
          <w:tcPr>
            <w:tcW w:w="792" w:type="dxa"/>
            <w:vAlign w:val="center"/>
          </w:tcPr>
          <w:p w14:paraId="52E2FFC9">
            <w:pPr>
              <w:widowControl/>
              <w:adjustRightInd w:val="0"/>
              <w:snapToGrid w:val="0"/>
              <w:jc w:val="center"/>
              <w:rPr>
                <w:bCs/>
                <w:szCs w:val="21"/>
              </w:rPr>
            </w:pPr>
          </w:p>
        </w:tc>
        <w:tc>
          <w:tcPr>
            <w:tcW w:w="696" w:type="dxa"/>
            <w:vAlign w:val="center"/>
          </w:tcPr>
          <w:p w14:paraId="0433A7DA">
            <w:pPr>
              <w:jc w:val="center"/>
              <w:rPr>
                <w:bCs/>
                <w:szCs w:val="21"/>
              </w:rPr>
            </w:pPr>
          </w:p>
        </w:tc>
        <w:tc>
          <w:tcPr>
            <w:tcW w:w="552" w:type="dxa"/>
            <w:vAlign w:val="center"/>
          </w:tcPr>
          <w:p w14:paraId="04FC65F6">
            <w:pPr>
              <w:jc w:val="center"/>
              <w:rPr>
                <w:bCs/>
                <w:szCs w:val="21"/>
              </w:rPr>
            </w:pPr>
          </w:p>
        </w:tc>
        <w:tc>
          <w:tcPr>
            <w:tcW w:w="636" w:type="dxa"/>
            <w:shd w:val="clear" w:color="auto" w:fill="auto"/>
            <w:vAlign w:val="center"/>
          </w:tcPr>
          <w:p w14:paraId="3744C424">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F8CEDF2">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B5AEAE9">
            <w:pPr>
              <w:jc w:val="center"/>
              <w:rPr>
                <w:bCs/>
                <w:szCs w:val="21"/>
              </w:rPr>
            </w:pPr>
          </w:p>
        </w:tc>
        <w:tc>
          <w:tcPr>
            <w:tcW w:w="967" w:type="dxa"/>
            <w:vAlign w:val="center"/>
          </w:tcPr>
          <w:p w14:paraId="238D200F">
            <w:pPr>
              <w:jc w:val="center"/>
              <w:rPr>
                <w:bCs/>
                <w:szCs w:val="21"/>
              </w:rPr>
            </w:pPr>
          </w:p>
        </w:tc>
      </w:tr>
      <w:tr w14:paraId="4F9C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C6FE94F">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519CF6E">
            <w:pPr>
              <w:jc w:val="center"/>
              <w:rPr>
                <w:bCs/>
                <w:szCs w:val="21"/>
              </w:rPr>
            </w:pPr>
          </w:p>
        </w:tc>
        <w:tc>
          <w:tcPr>
            <w:tcW w:w="1440" w:type="dxa"/>
            <w:shd w:val="clear" w:color="auto" w:fill="auto"/>
            <w:vAlign w:val="center"/>
          </w:tcPr>
          <w:p w14:paraId="3EAED508">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DB0F292">
            <w:pPr>
              <w:widowControl/>
              <w:jc w:val="center"/>
              <w:textAlignment w:val="center"/>
              <w:rPr>
                <w:bCs/>
                <w:szCs w:val="21"/>
              </w:rPr>
            </w:pPr>
          </w:p>
        </w:tc>
        <w:tc>
          <w:tcPr>
            <w:tcW w:w="792" w:type="dxa"/>
            <w:vAlign w:val="center"/>
          </w:tcPr>
          <w:p w14:paraId="5AFAFE29">
            <w:pPr>
              <w:widowControl/>
              <w:adjustRightInd w:val="0"/>
              <w:snapToGrid w:val="0"/>
              <w:jc w:val="center"/>
              <w:rPr>
                <w:bCs/>
                <w:szCs w:val="21"/>
              </w:rPr>
            </w:pPr>
          </w:p>
        </w:tc>
        <w:tc>
          <w:tcPr>
            <w:tcW w:w="696" w:type="dxa"/>
            <w:vAlign w:val="center"/>
          </w:tcPr>
          <w:p w14:paraId="744BA658">
            <w:pPr>
              <w:jc w:val="center"/>
              <w:rPr>
                <w:bCs/>
                <w:szCs w:val="21"/>
              </w:rPr>
            </w:pPr>
          </w:p>
        </w:tc>
        <w:tc>
          <w:tcPr>
            <w:tcW w:w="552" w:type="dxa"/>
            <w:vAlign w:val="center"/>
          </w:tcPr>
          <w:p w14:paraId="1B139618">
            <w:pPr>
              <w:jc w:val="center"/>
              <w:rPr>
                <w:bCs/>
                <w:szCs w:val="21"/>
              </w:rPr>
            </w:pPr>
          </w:p>
        </w:tc>
        <w:tc>
          <w:tcPr>
            <w:tcW w:w="636" w:type="dxa"/>
            <w:shd w:val="clear" w:color="auto" w:fill="auto"/>
            <w:vAlign w:val="center"/>
          </w:tcPr>
          <w:p w14:paraId="5AF29258">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FC0362E">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D9F1B46">
            <w:pPr>
              <w:jc w:val="center"/>
              <w:rPr>
                <w:bCs/>
                <w:szCs w:val="21"/>
              </w:rPr>
            </w:pPr>
          </w:p>
        </w:tc>
        <w:tc>
          <w:tcPr>
            <w:tcW w:w="967" w:type="dxa"/>
            <w:vAlign w:val="center"/>
          </w:tcPr>
          <w:p w14:paraId="6658F0A2">
            <w:pPr>
              <w:jc w:val="center"/>
              <w:rPr>
                <w:bCs/>
                <w:szCs w:val="21"/>
              </w:rPr>
            </w:pPr>
          </w:p>
        </w:tc>
      </w:tr>
      <w:tr w14:paraId="61F7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478E614">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6CCE383E">
            <w:pPr>
              <w:jc w:val="center"/>
              <w:rPr>
                <w:bCs/>
                <w:szCs w:val="21"/>
              </w:rPr>
            </w:pPr>
          </w:p>
        </w:tc>
        <w:tc>
          <w:tcPr>
            <w:tcW w:w="1440" w:type="dxa"/>
            <w:shd w:val="clear" w:color="auto" w:fill="auto"/>
            <w:vAlign w:val="center"/>
          </w:tcPr>
          <w:p w14:paraId="7FDBBA65">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068DEDB">
            <w:pPr>
              <w:widowControl/>
              <w:jc w:val="center"/>
              <w:textAlignment w:val="center"/>
              <w:rPr>
                <w:bCs/>
                <w:szCs w:val="21"/>
              </w:rPr>
            </w:pPr>
          </w:p>
        </w:tc>
        <w:tc>
          <w:tcPr>
            <w:tcW w:w="792" w:type="dxa"/>
            <w:vAlign w:val="center"/>
          </w:tcPr>
          <w:p w14:paraId="627DA2C7">
            <w:pPr>
              <w:widowControl/>
              <w:adjustRightInd w:val="0"/>
              <w:snapToGrid w:val="0"/>
              <w:jc w:val="center"/>
              <w:rPr>
                <w:bCs/>
                <w:szCs w:val="21"/>
              </w:rPr>
            </w:pPr>
          </w:p>
        </w:tc>
        <w:tc>
          <w:tcPr>
            <w:tcW w:w="696" w:type="dxa"/>
            <w:vAlign w:val="center"/>
          </w:tcPr>
          <w:p w14:paraId="4C76BEAB">
            <w:pPr>
              <w:jc w:val="center"/>
              <w:rPr>
                <w:bCs/>
                <w:szCs w:val="21"/>
              </w:rPr>
            </w:pPr>
          </w:p>
        </w:tc>
        <w:tc>
          <w:tcPr>
            <w:tcW w:w="552" w:type="dxa"/>
            <w:vAlign w:val="center"/>
          </w:tcPr>
          <w:p w14:paraId="4CA0ADF1">
            <w:pPr>
              <w:jc w:val="center"/>
              <w:rPr>
                <w:bCs/>
                <w:szCs w:val="21"/>
              </w:rPr>
            </w:pPr>
          </w:p>
        </w:tc>
        <w:tc>
          <w:tcPr>
            <w:tcW w:w="636" w:type="dxa"/>
            <w:shd w:val="clear" w:color="auto" w:fill="auto"/>
            <w:vAlign w:val="center"/>
          </w:tcPr>
          <w:p w14:paraId="1D0EEC9C">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4C0A7280">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31411BCC">
            <w:pPr>
              <w:jc w:val="center"/>
              <w:rPr>
                <w:bCs/>
                <w:szCs w:val="21"/>
              </w:rPr>
            </w:pPr>
          </w:p>
        </w:tc>
        <w:tc>
          <w:tcPr>
            <w:tcW w:w="967" w:type="dxa"/>
            <w:vAlign w:val="center"/>
          </w:tcPr>
          <w:p w14:paraId="187FA967">
            <w:pPr>
              <w:jc w:val="center"/>
              <w:rPr>
                <w:bCs/>
                <w:szCs w:val="21"/>
              </w:rPr>
            </w:pPr>
          </w:p>
        </w:tc>
      </w:tr>
      <w:tr w14:paraId="0024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2AE93E2">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9434734">
            <w:pPr>
              <w:jc w:val="center"/>
              <w:rPr>
                <w:bCs/>
                <w:szCs w:val="21"/>
              </w:rPr>
            </w:pPr>
          </w:p>
        </w:tc>
        <w:tc>
          <w:tcPr>
            <w:tcW w:w="1440" w:type="dxa"/>
            <w:shd w:val="clear" w:color="auto" w:fill="auto"/>
            <w:vAlign w:val="center"/>
          </w:tcPr>
          <w:p w14:paraId="0EF114BE">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FE9B722">
            <w:pPr>
              <w:widowControl/>
              <w:jc w:val="center"/>
              <w:textAlignment w:val="center"/>
              <w:rPr>
                <w:bCs/>
                <w:szCs w:val="21"/>
              </w:rPr>
            </w:pPr>
          </w:p>
        </w:tc>
        <w:tc>
          <w:tcPr>
            <w:tcW w:w="792" w:type="dxa"/>
            <w:vAlign w:val="center"/>
          </w:tcPr>
          <w:p w14:paraId="17C231C3">
            <w:pPr>
              <w:widowControl/>
              <w:adjustRightInd w:val="0"/>
              <w:snapToGrid w:val="0"/>
              <w:jc w:val="center"/>
              <w:rPr>
                <w:bCs/>
                <w:szCs w:val="21"/>
              </w:rPr>
            </w:pPr>
          </w:p>
        </w:tc>
        <w:tc>
          <w:tcPr>
            <w:tcW w:w="696" w:type="dxa"/>
            <w:vAlign w:val="center"/>
          </w:tcPr>
          <w:p w14:paraId="163FF021">
            <w:pPr>
              <w:jc w:val="center"/>
              <w:rPr>
                <w:bCs/>
                <w:szCs w:val="21"/>
              </w:rPr>
            </w:pPr>
          </w:p>
        </w:tc>
        <w:tc>
          <w:tcPr>
            <w:tcW w:w="552" w:type="dxa"/>
            <w:vAlign w:val="center"/>
          </w:tcPr>
          <w:p w14:paraId="44538316">
            <w:pPr>
              <w:jc w:val="center"/>
              <w:rPr>
                <w:bCs/>
                <w:szCs w:val="21"/>
              </w:rPr>
            </w:pPr>
          </w:p>
        </w:tc>
        <w:tc>
          <w:tcPr>
            <w:tcW w:w="636" w:type="dxa"/>
            <w:shd w:val="clear" w:color="auto" w:fill="auto"/>
            <w:vAlign w:val="center"/>
          </w:tcPr>
          <w:p w14:paraId="145FB6DF">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990CB94">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366FEE7">
            <w:pPr>
              <w:jc w:val="center"/>
              <w:rPr>
                <w:bCs/>
                <w:szCs w:val="21"/>
              </w:rPr>
            </w:pPr>
          </w:p>
        </w:tc>
        <w:tc>
          <w:tcPr>
            <w:tcW w:w="967" w:type="dxa"/>
            <w:vAlign w:val="center"/>
          </w:tcPr>
          <w:p w14:paraId="01555448">
            <w:pPr>
              <w:jc w:val="center"/>
              <w:rPr>
                <w:bCs/>
                <w:szCs w:val="21"/>
              </w:rPr>
            </w:pPr>
          </w:p>
        </w:tc>
      </w:tr>
      <w:tr w14:paraId="4AD4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AD21EE6">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4B680BF">
            <w:pPr>
              <w:jc w:val="center"/>
              <w:rPr>
                <w:bCs/>
                <w:szCs w:val="21"/>
              </w:rPr>
            </w:pPr>
          </w:p>
        </w:tc>
        <w:tc>
          <w:tcPr>
            <w:tcW w:w="1440" w:type="dxa"/>
            <w:shd w:val="clear" w:color="auto" w:fill="auto"/>
            <w:vAlign w:val="center"/>
          </w:tcPr>
          <w:p w14:paraId="5004DA2E">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C9566CD">
            <w:pPr>
              <w:widowControl/>
              <w:jc w:val="center"/>
              <w:textAlignment w:val="center"/>
              <w:rPr>
                <w:bCs/>
                <w:szCs w:val="21"/>
              </w:rPr>
            </w:pPr>
          </w:p>
        </w:tc>
        <w:tc>
          <w:tcPr>
            <w:tcW w:w="792" w:type="dxa"/>
            <w:vAlign w:val="center"/>
          </w:tcPr>
          <w:p w14:paraId="057604B7">
            <w:pPr>
              <w:widowControl/>
              <w:adjustRightInd w:val="0"/>
              <w:snapToGrid w:val="0"/>
              <w:jc w:val="center"/>
              <w:rPr>
                <w:bCs/>
                <w:szCs w:val="21"/>
              </w:rPr>
            </w:pPr>
          </w:p>
        </w:tc>
        <w:tc>
          <w:tcPr>
            <w:tcW w:w="696" w:type="dxa"/>
            <w:vAlign w:val="center"/>
          </w:tcPr>
          <w:p w14:paraId="26C1F7A1">
            <w:pPr>
              <w:jc w:val="center"/>
              <w:rPr>
                <w:bCs/>
                <w:szCs w:val="21"/>
              </w:rPr>
            </w:pPr>
          </w:p>
        </w:tc>
        <w:tc>
          <w:tcPr>
            <w:tcW w:w="552" w:type="dxa"/>
            <w:vAlign w:val="center"/>
          </w:tcPr>
          <w:p w14:paraId="229E12D6">
            <w:pPr>
              <w:jc w:val="center"/>
              <w:rPr>
                <w:bCs/>
                <w:szCs w:val="21"/>
              </w:rPr>
            </w:pPr>
          </w:p>
        </w:tc>
        <w:tc>
          <w:tcPr>
            <w:tcW w:w="636" w:type="dxa"/>
            <w:shd w:val="clear" w:color="auto" w:fill="auto"/>
            <w:vAlign w:val="center"/>
          </w:tcPr>
          <w:p w14:paraId="0A192ABF">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F8E3854">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5F197E2">
            <w:pPr>
              <w:jc w:val="center"/>
              <w:rPr>
                <w:bCs/>
                <w:szCs w:val="21"/>
              </w:rPr>
            </w:pPr>
          </w:p>
        </w:tc>
        <w:tc>
          <w:tcPr>
            <w:tcW w:w="967" w:type="dxa"/>
            <w:vAlign w:val="center"/>
          </w:tcPr>
          <w:p w14:paraId="7BAC2F3E">
            <w:pPr>
              <w:jc w:val="center"/>
              <w:rPr>
                <w:bCs/>
                <w:szCs w:val="21"/>
              </w:rPr>
            </w:pPr>
          </w:p>
        </w:tc>
      </w:tr>
      <w:tr w14:paraId="2C71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675DEA8">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8F02273">
            <w:pPr>
              <w:jc w:val="center"/>
              <w:rPr>
                <w:bCs/>
                <w:szCs w:val="21"/>
              </w:rPr>
            </w:pPr>
          </w:p>
        </w:tc>
        <w:tc>
          <w:tcPr>
            <w:tcW w:w="1440" w:type="dxa"/>
            <w:shd w:val="clear" w:color="auto" w:fill="auto"/>
            <w:vAlign w:val="center"/>
          </w:tcPr>
          <w:p w14:paraId="4885EAC7">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1505B4AE">
            <w:pPr>
              <w:widowControl/>
              <w:jc w:val="center"/>
              <w:textAlignment w:val="center"/>
              <w:rPr>
                <w:bCs/>
                <w:szCs w:val="21"/>
              </w:rPr>
            </w:pPr>
          </w:p>
        </w:tc>
        <w:tc>
          <w:tcPr>
            <w:tcW w:w="792" w:type="dxa"/>
            <w:vAlign w:val="center"/>
          </w:tcPr>
          <w:p w14:paraId="2BF409D6">
            <w:pPr>
              <w:widowControl/>
              <w:adjustRightInd w:val="0"/>
              <w:snapToGrid w:val="0"/>
              <w:jc w:val="center"/>
              <w:rPr>
                <w:bCs/>
                <w:szCs w:val="21"/>
              </w:rPr>
            </w:pPr>
          </w:p>
        </w:tc>
        <w:tc>
          <w:tcPr>
            <w:tcW w:w="696" w:type="dxa"/>
            <w:vAlign w:val="center"/>
          </w:tcPr>
          <w:p w14:paraId="661FA8F6">
            <w:pPr>
              <w:jc w:val="center"/>
              <w:rPr>
                <w:bCs/>
                <w:szCs w:val="21"/>
              </w:rPr>
            </w:pPr>
          </w:p>
        </w:tc>
        <w:tc>
          <w:tcPr>
            <w:tcW w:w="552" w:type="dxa"/>
            <w:vAlign w:val="center"/>
          </w:tcPr>
          <w:p w14:paraId="677DBF2D">
            <w:pPr>
              <w:jc w:val="center"/>
              <w:rPr>
                <w:bCs/>
                <w:szCs w:val="21"/>
              </w:rPr>
            </w:pPr>
          </w:p>
        </w:tc>
        <w:tc>
          <w:tcPr>
            <w:tcW w:w="636" w:type="dxa"/>
            <w:shd w:val="clear" w:color="auto" w:fill="auto"/>
            <w:vAlign w:val="center"/>
          </w:tcPr>
          <w:p w14:paraId="15763251">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3216C2E">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3B50DF67">
            <w:pPr>
              <w:jc w:val="center"/>
              <w:rPr>
                <w:bCs/>
                <w:szCs w:val="21"/>
              </w:rPr>
            </w:pPr>
          </w:p>
        </w:tc>
        <w:tc>
          <w:tcPr>
            <w:tcW w:w="967" w:type="dxa"/>
            <w:vAlign w:val="center"/>
          </w:tcPr>
          <w:p w14:paraId="4CEFAD3F">
            <w:pPr>
              <w:jc w:val="center"/>
              <w:rPr>
                <w:bCs/>
                <w:szCs w:val="21"/>
              </w:rPr>
            </w:pPr>
          </w:p>
        </w:tc>
      </w:tr>
      <w:tr w14:paraId="2E62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22419DA">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2A819E6">
            <w:pPr>
              <w:jc w:val="center"/>
              <w:rPr>
                <w:bCs/>
                <w:szCs w:val="21"/>
              </w:rPr>
            </w:pPr>
          </w:p>
        </w:tc>
        <w:tc>
          <w:tcPr>
            <w:tcW w:w="1440" w:type="dxa"/>
            <w:shd w:val="clear" w:color="auto" w:fill="auto"/>
            <w:vAlign w:val="center"/>
          </w:tcPr>
          <w:p w14:paraId="4009CCA8">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392D2C7">
            <w:pPr>
              <w:widowControl/>
              <w:jc w:val="center"/>
              <w:textAlignment w:val="center"/>
              <w:rPr>
                <w:bCs/>
                <w:szCs w:val="21"/>
              </w:rPr>
            </w:pPr>
          </w:p>
        </w:tc>
        <w:tc>
          <w:tcPr>
            <w:tcW w:w="792" w:type="dxa"/>
            <w:vAlign w:val="center"/>
          </w:tcPr>
          <w:p w14:paraId="1CD568D6">
            <w:pPr>
              <w:widowControl/>
              <w:adjustRightInd w:val="0"/>
              <w:snapToGrid w:val="0"/>
              <w:jc w:val="center"/>
              <w:rPr>
                <w:bCs/>
                <w:szCs w:val="21"/>
              </w:rPr>
            </w:pPr>
          </w:p>
        </w:tc>
        <w:tc>
          <w:tcPr>
            <w:tcW w:w="696" w:type="dxa"/>
            <w:vAlign w:val="center"/>
          </w:tcPr>
          <w:p w14:paraId="1D78633E">
            <w:pPr>
              <w:jc w:val="center"/>
              <w:rPr>
                <w:bCs/>
                <w:szCs w:val="21"/>
              </w:rPr>
            </w:pPr>
          </w:p>
        </w:tc>
        <w:tc>
          <w:tcPr>
            <w:tcW w:w="552" w:type="dxa"/>
            <w:vAlign w:val="center"/>
          </w:tcPr>
          <w:p w14:paraId="66106754">
            <w:pPr>
              <w:jc w:val="center"/>
              <w:rPr>
                <w:bCs/>
                <w:szCs w:val="21"/>
              </w:rPr>
            </w:pPr>
          </w:p>
        </w:tc>
        <w:tc>
          <w:tcPr>
            <w:tcW w:w="636" w:type="dxa"/>
            <w:shd w:val="clear" w:color="auto" w:fill="auto"/>
            <w:vAlign w:val="center"/>
          </w:tcPr>
          <w:p w14:paraId="21A8DE65">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6161ABE">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E7EC8A4">
            <w:pPr>
              <w:jc w:val="center"/>
              <w:rPr>
                <w:bCs/>
                <w:szCs w:val="21"/>
              </w:rPr>
            </w:pPr>
          </w:p>
        </w:tc>
        <w:tc>
          <w:tcPr>
            <w:tcW w:w="967" w:type="dxa"/>
            <w:vAlign w:val="center"/>
          </w:tcPr>
          <w:p w14:paraId="391479E3">
            <w:pPr>
              <w:jc w:val="center"/>
              <w:rPr>
                <w:bCs/>
                <w:szCs w:val="21"/>
              </w:rPr>
            </w:pPr>
          </w:p>
        </w:tc>
      </w:tr>
      <w:tr w14:paraId="5A06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2238E755">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47BE0E5">
            <w:pPr>
              <w:jc w:val="center"/>
              <w:rPr>
                <w:bCs/>
                <w:szCs w:val="21"/>
              </w:rPr>
            </w:pPr>
          </w:p>
        </w:tc>
        <w:tc>
          <w:tcPr>
            <w:tcW w:w="1440" w:type="dxa"/>
            <w:shd w:val="clear" w:color="auto" w:fill="auto"/>
            <w:vAlign w:val="center"/>
          </w:tcPr>
          <w:p w14:paraId="4F44D14D">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F7420FB">
            <w:pPr>
              <w:widowControl/>
              <w:jc w:val="center"/>
              <w:textAlignment w:val="center"/>
              <w:rPr>
                <w:bCs/>
                <w:szCs w:val="21"/>
              </w:rPr>
            </w:pPr>
          </w:p>
        </w:tc>
        <w:tc>
          <w:tcPr>
            <w:tcW w:w="792" w:type="dxa"/>
            <w:vAlign w:val="center"/>
          </w:tcPr>
          <w:p w14:paraId="59D713F2">
            <w:pPr>
              <w:widowControl/>
              <w:adjustRightInd w:val="0"/>
              <w:snapToGrid w:val="0"/>
              <w:jc w:val="center"/>
              <w:rPr>
                <w:bCs/>
                <w:szCs w:val="21"/>
              </w:rPr>
            </w:pPr>
          </w:p>
        </w:tc>
        <w:tc>
          <w:tcPr>
            <w:tcW w:w="696" w:type="dxa"/>
            <w:vAlign w:val="center"/>
          </w:tcPr>
          <w:p w14:paraId="5EF7BDA3">
            <w:pPr>
              <w:jc w:val="center"/>
              <w:rPr>
                <w:bCs/>
                <w:szCs w:val="21"/>
              </w:rPr>
            </w:pPr>
          </w:p>
        </w:tc>
        <w:tc>
          <w:tcPr>
            <w:tcW w:w="552" w:type="dxa"/>
            <w:vAlign w:val="center"/>
          </w:tcPr>
          <w:p w14:paraId="3BBE1BFF">
            <w:pPr>
              <w:jc w:val="center"/>
              <w:rPr>
                <w:bCs/>
                <w:szCs w:val="21"/>
              </w:rPr>
            </w:pPr>
          </w:p>
        </w:tc>
        <w:tc>
          <w:tcPr>
            <w:tcW w:w="636" w:type="dxa"/>
            <w:shd w:val="clear" w:color="auto" w:fill="auto"/>
            <w:vAlign w:val="center"/>
          </w:tcPr>
          <w:p w14:paraId="77206F54">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F966CE2">
            <w:pPr>
              <w:snapToGrid w:val="0"/>
              <w:jc w:val="center"/>
              <w:rPr>
                <w:rFonts w:hint="eastAsia" w:ascii="新宋体" w:hAnsi="宋体" w:eastAsia="新宋体" w:cs="宋体"/>
                <w:kern w:val="2"/>
                <w:sz w:val="20"/>
                <w:szCs w:val="21"/>
                <w:lang w:val="en-US" w:eastAsia="zh-CN" w:bidi="ar-SA"/>
              </w:rPr>
            </w:pPr>
          </w:p>
        </w:tc>
        <w:tc>
          <w:tcPr>
            <w:tcW w:w="917" w:type="dxa"/>
            <w:vAlign w:val="center"/>
          </w:tcPr>
          <w:p w14:paraId="2C7EBD60">
            <w:pPr>
              <w:jc w:val="center"/>
              <w:rPr>
                <w:bCs/>
                <w:szCs w:val="21"/>
              </w:rPr>
            </w:pPr>
          </w:p>
        </w:tc>
        <w:tc>
          <w:tcPr>
            <w:tcW w:w="967" w:type="dxa"/>
            <w:vAlign w:val="center"/>
          </w:tcPr>
          <w:p w14:paraId="6285C80D">
            <w:pPr>
              <w:jc w:val="center"/>
              <w:rPr>
                <w:bCs/>
                <w:szCs w:val="21"/>
              </w:rPr>
            </w:pPr>
          </w:p>
        </w:tc>
      </w:tr>
      <w:tr w14:paraId="4DA6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E165ED7">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A9464B5">
            <w:pPr>
              <w:jc w:val="center"/>
              <w:rPr>
                <w:bCs/>
                <w:szCs w:val="21"/>
              </w:rPr>
            </w:pPr>
          </w:p>
        </w:tc>
        <w:tc>
          <w:tcPr>
            <w:tcW w:w="1440" w:type="dxa"/>
            <w:shd w:val="clear" w:color="auto" w:fill="auto"/>
            <w:vAlign w:val="center"/>
          </w:tcPr>
          <w:p w14:paraId="08352A0D">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0EA4D059">
            <w:pPr>
              <w:widowControl/>
              <w:jc w:val="center"/>
              <w:textAlignment w:val="center"/>
              <w:rPr>
                <w:bCs/>
                <w:szCs w:val="21"/>
              </w:rPr>
            </w:pPr>
          </w:p>
        </w:tc>
        <w:tc>
          <w:tcPr>
            <w:tcW w:w="792" w:type="dxa"/>
            <w:vAlign w:val="center"/>
          </w:tcPr>
          <w:p w14:paraId="23C80B57">
            <w:pPr>
              <w:widowControl/>
              <w:adjustRightInd w:val="0"/>
              <w:snapToGrid w:val="0"/>
              <w:jc w:val="center"/>
              <w:rPr>
                <w:bCs/>
                <w:szCs w:val="21"/>
              </w:rPr>
            </w:pPr>
          </w:p>
        </w:tc>
        <w:tc>
          <w:tcPr>
            <w:tcW w:w="696" w:type="dxa"/>
            <w:vAlign w:val="center"/>
          </w:tcPr>
          <w:p w14:paraId="41605729">
            <w:pPr>
              <w:jc w:val="center"/>
              <w:rPr>
                <w:bCs/>
                <w:szCs w:val="21"/>
              </w:rPr>
            </w:pPr>
          </w:p>
        </w:tc>
        <w:tc>
          <w:tcPr>
            <w:tcW w:w="552" w:type="dxa"/>
            <w:vAlign w:val="center"/>
          </w:tcPr>
          <w:p w14:paraId="69522E26">
            <w:pPr>
              <w:jc w:val="center"/>
              <w:rPr>
                <w:bCs/>
                <w:szCs w:val="21"/>
              </w:rPr>
            </w:pPr>
          </w:p>
        </w:tc>
        <w:tc>
          <w:tcPr>
            <w:tcW w:w="636" w:type="dxa"/>
            <w:shd w:val="clear" w:color="auto" w:fill="auto"/>
            <w:vAlign w:val="center"/>
          </w:tcPr>
          <w:p w14:paraId="79297E91">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DDEB0B0">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3307603C">
            <w:pPr>
              <w:jc w:val="center"/>
              <w:rPr>
                <w:bCs/>
                <w:szCs w:val="21"/>
              </w:rPr>
            </w:pPr>
          </w:p>
        </w:tc>
        <w:tc>
          <w:tcPr>
            <w:tcW w:w="967" w:type="dxa"/>
            <w:vAlign w:val="center"/>
          </w:tcPr>
          <w:p w14:paraId="262E0007">
            <w:pPr>
              <w:jc w:val="center"/>
              <w:rPr>
                <w:bCs/>
                <w:szCs w:val="21"/>
              </w:rPr>
            </w:pPr>
          </w:p>
        </w:tc>
      </w:tr>
      <w:tr w14:paraId="65CC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2BB864E9">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4752FB2">
            <w:pPr>
              <w:jc w:val="center"/>
              <w:rPr>
                <w:bCs/>
                <w:szCs w:val="21"/>
              </w:rPr>
            </w:pPr>
          </w:p>
        </w:tc>
        <w:tc>
          <w:tcPr>
            <w:tcW w:w="1440" w:type="dxa"/>
            <w:shd w:val="clear" w:color="auto" w:fill="auto"/>
            <w:vAlign w:val="center"/>
          </w:tcPr>
          <w:p w14:paraId="4B35C8D7">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E69874C">
            <w:pPr>
              <w:widowControl/>
              <w:jc w:val="center"/>
              <w:textAlignment w:val="center"/>
              <w:rPr>
                <w:bCs/>
                <w:szCs w:val="21"/>
              </w:rPr>
            </w:pPr>
          </w:p>
        </w:tc>
        <w:tc>
          <w:tcPr>
            <w:tcW w:w="792" w:type="dxa"/>
            <w:vAlign w:val="center"/>
          </w:tcPr>
          <w:p w14:paraId="107AA908">
            <w:pPr>
              <w:widowControl/>
              <w:adjustRightInd w:val="0"/>
              <w:snapToGrid w:val="0"/>
              <w:jc w:val="center"/>
              <w:rPr>
                <w:bCs/>
                <w:szCs w:val="21"/>
              </w:rPr>
            </w:pPr>
          </w:p>
        </w:tc>
        <w:tc>
          <w:tcPr>
            <w:tcW w:w="696" w:type="dxa"/>
            <w:vAlign w:val="center"/>
          </w:tcPr>
          <w:p w14:paraId="7D416359">
            <w:pPr>
              <w:jc w:val="center"/>
              <w:rPr>
                <w:bCs/>
                <w:szCs w:val="21"/>
              </w:rPr>
            </w:pPr>
          </w:p>
        </w:tc>
        <w:tc>
          <w:tcPr>
            <w:tcW w:w="552" w:type="dxa"/>
            <w:vAlign w:val="center"/>
          </w:tcPr>
          <w:p w14:paraId="5A094CE2">
            <w:pPr>
              <w:jc w:val="center"/>
              <w:rPr>
                <w:bCs/>
                <w:szCs w:val="21"/>
              </w:rPr>
            </w:pPr>
          </w:p>
        </w:tc>
        <w:tc>
          <w:tcPr>
            <w:tcW w:w="636" w:type="dxa"/>
            <w:shd w:val="clear" w:color="auto" w:fill="auto"/>
            <w:vAlign w:val="center"/>
          </w:tcPr>
          <w:p w14:paraId="1FC473F8">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08C2B6C">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DFDEAA0">
            <w:pPr>
              <w:jc w:val="center"/>
              <w:rPr>
                <w:bCs/>
                <w:szCs w:val="21"/>
              </w:rPr>
            </w:pPr>
          </w:p>
        </w:tc>
        <w:tc>
          <w:tcPr>
            <w:tcW w:w="967" w:type="dxa"/>
            <w:vAlign w:val="center"/>
          </w:tcPr>
          <w:p w14:paraId="2AF5E7A9">
            <w:pPr>
              <w:jc w:val="center"/>
              <w:rPr>
                <w:bCs/>
                <w:szCs w:val="21"/>
              </w:rPr>
            </w:pPr>
          </w:p>
        </w:tc>
      </w:tr>
      <w:tr w14:paraId="475B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050C054">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C8E154C">
            <w:pPr>
              <w:jc w:val="center"/>
              <w:rPr>
                <w:bCs/>
                <w:szCs w:val="21"/>
              </w:rPr>
            </w:pPr>
          </w:p>
        </w:tc>
        <w:tc>
          <w:tcPr>
            <w:tcW w:w="1440" w:type="dxa"/>
            <w:shd w:val="clear" w:color="auto" w:fill="auto"/>
            <w:vAlign w:val="center"/>
          </w:tcPr>
          <w:p w14:paraId="7D9B4726">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E97FFB1">
            <w:pPr>
              <w:widowControl/>
              <w:jc w:val="center"/>
              <w:textAlignment w:val="center"/>
              <w:rPr>
                <w:bCs/>
                <w:szCs w:val="21"/>
              </w:rPr>
            </w:pPr>
          </w:p>
        </w:tc>
        <w:tc>
          <w:tcPr>
            <w:tcW w:w="792" w:type="dxa"/>
            <w:vAlign w:val="center"/>
          </w:tcPr>
          <w:p w14:paraId="6DB6B302">
            <w:pPr>
              <w:widowControl/>
              <w:adjustRightInd w:val="0"/>
              <w:snapToGrid w:val="0"/>
              <w:jc w:val="center"/>
              <w:rPr>
                <w:bCs/>
                <w:szCs w:val="21"/>
              </w:rPr>
            </w:pPr>
          </w:p>
        </w:tc>
        <w:tc>
          <w:tcPr>
            <w:tcW w:w="696" w:type="dxa"/>
            <w:vAlign w:val="center"/>
          </w:tcPr>
          <w:p w14:paraId="5BBAFAB1">
            <w:pPr>
              <w:jc w:val="center"/>
              <w:rPr>
                <w:bCs/>
                <w:szCs w:val="21"/>
              </w:rPr>
            </w:pPr>
          </w:p>
        </w:tc>
        <w:tc>
          <w:tcPr>
            <w:tcW w:w="552" w:type="dxa"/>
            <w:vAlign w:val="center"/>
          </w:tcPr>
          <w:p w14:paraId="4CE8D5C2">
            <w:pPr>
              <w:jc w:val="center"/>
              <w:rPr>
                <w:bCs/>
                <w:szCs w:val="21"/>
              </w:rPr>
            </w:pPr>
          </w:p>
        </w:tc>
        <w:tc>
          <w:tcPr>
            <w:tcW w:w="636" w:type="dxa"/>
            <w:shd w:val="clear" w:color="auto" w:fill="auto"/>
            <w:vAlign w:val="center"/>
          </w:tcPr>
          <w:p w14:paraId="6FF59F18">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446C8B8">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301C6586">
            <w:pPr>
              <w:jc w:val="center"/>
              <w:rPr>
                <w:bCs/>
                <w:szCs w:val="21"/>
              </w:rPr>
            </w:pPr>
          </w:p>
        </w:tc>
        <w:tc>
          <w:tcPr>
            <w:tcW w:w="967" w:type="dxa"/>
            <w:vAlign w:val="center"/>
          </w:tcPr>
          <w:p w14:paraId="656E7190">
            <w:pPr>
              <w:jc w:val="center"/>
              <w:rPr>
                <w:bCs/>
                <w:szCs w:val="21"/>
              </w:rPr>
            </w:pPr>
          </w:p>
        </w:tc>
      </w:tr>
      <w:tr w14:paraId="1DF7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B881B91">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D954109">
            <w:pPr>
              <w:jc w:val="center"/>
              <w:rPr>
                <w:bCs/>
                <w:szCs w:val="21"/>
              </w:rPr>
            </w:pPr>
          </w:p>
        </w:tc>
        <w:tc>
          <w:tcPr>
            <w:tcW w:w="1440" w:type="dxa"/>
            <w:shd w:val="clear" w:color="auto" w:fill="auto"/>
            <w:vAlign w:val="center"/>
          </w:tcPr>
          <w:p w14:paraId="72A15787">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11AEEE18">
            <w:pPr>
              <w:widowControl/>
              <w:jc w:val="center"/>
              <w:textAlignment w:val="center"/>
              <w:rPr>
                <w:bCs/>
                <w:szCs w:val="21"/>
              </w:rPr>
            </w:pPr>
          </w:p>
        </w:tc>
        <w:tc>
          <w:tcPr>
            <w:tcW w:w="792" w:type="dxa"/>
            <w:vAlign w:val="center"/>
          </w:tcPr>
          <w:p w14:paraId="00259A81">
            <w:pPr>
              <w:widowControl/>
              <w:adjustRightInd w:val="0"/>
              <w:snapToGrid w:val="0"/>
              <w:jc w:val="center"/>
              <w:rPr>
                <w:bCs/>
                <w:szCs w:val="21"/>
              </w:rPr>
            </w:pPr>
          </w:p>
        </w:tc>
        <w:tc>
          <w:tcPr>
            <w:tcW w:w="696" w:type="dxa"/>
            <w:vAlign w:val="center"/>
          </w:tcPr>
          <w:p w14:paraId="583C9AEC">
            <w:pPr>
              <w:jc w:val="center"/>
              <w:rPr>
                <w:bCs/>
                <w:szCs w:val="21"/>
              </w:rPr>
            </w:pPr>
          </w:p>
        </w:tc>
        <w:tc>
          <w:tcPr>
            <w:tcW w:w="552" w:type="dxa"/>
            <w:vAlign w:val="center"/>
          </w:tcPr>
          <w:p w14:paraId="1D220D81">
            <w:pPr>
              <w:jc w:val="center"/>
              <w:rPr>
                <w:bCs/>
                <w:szCs w:val="21"/>
              </w:rPr>
            </w:pPr>
          </w:p>
        </w:tc>
        <w:tc>
          <w:tcPr>
            <w:tcW w:w="636" w:type="dxa"/>
            <w:shd w:val="clear" w:color="auto" w:fill="auto"/>
            <w:vAlign w:val="center"/>
          </w:tcPr>
          <w:p w14:paraId="5E75513D">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437ED406">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3C0F235">
            <w:pPr>
              <w:jc w:val="center"/>
              <w:rPr>
                <w:bCs/>
                <w:szCs w:val="21"/>
              </w:rPr>
            </w:pPr>
          </w:p>
        </w:tc>
        <w:tc>
          <w:tcPr>
            <w:tcW w:w="967" w:type="dxa"/>
            <w:vAlign w:val="center"/>
          </w:tcPr>
          <w:p w14:paraId="7A25915A">
            <w:pPr>
              <w:jc w:val="center"/>
              <w:rPr>
                <w:bCs/>
                <w:szCs w:val="21"/>
              </w:rPr>
            </w:pPr>
          </w:p>
        </w:tc>
      </w:tr>
      <w:tr w14:paraId="04FD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28BE979">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AF9FCEA">
            <w:pPr>
              <w:jc w:val="center"/>
              <w:rPr>
                <w:bCs/>
                <w:szCs w:val="21"/>
              </w:rPr>
            </w:pPr>
          </w:p>
        </w:tc>
        <w:tc>
          <w:tcPr>
            <w:tcW w:w="1440" w:type="dxa"/>
            <w:shd w:val="clear" w:color="auto" w:fill="auto"/>
            <w:vAlign w:val="center"/>
          </w:tcPr>
          <w:p w14:paraId="27EFED11">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C436F83">
            <w:pPr>
              <w:widowControl/>
              <w:jc w:val="center"/>
              <w:textAlignment w:val="center"/>
              <w:rPr>
                <w:bCs/>
                <w:szCs w:val="21"/>
              </w:rPr>
            </w:pPr>
          </w:p>
        </w:tc>
        <w:tc>
          <w:tcPr>
            <w:tcW w:w="792" w:type="dxa"/>
            <w:vAlign w:val="center"/>
          </w:tcPr>
          <w:p w14:paraId="576A3235">
            <w:pPr>
              <w:widowControl/>
              <w:adjustRightInd w:val="0"/>
              <w:snapToGrid w:val="0"/>
              <w:jc w:val="center"/>
              <w:rPr>
                <w:bCs/>
                <w:szCs w:val="21"/>
              </w:rPr>
            </w:pPr>
          </w:p>
        </w:tc>
        <w:tc>
          <w:tcPr>
            <w:tcW w:w="696" w:type="dxa"/>
            <w:vAlign w:val="center"/>
          </w:tcPr>
          <w:p w14:paraId="12259292">
            <w:pPr>
              <w:jc w:val="center"/>
              <w:rPr>
                <w:bCs/>
                <w:szCs w:val="21"/>
              </w:rPr>
            </w:pPr>
          </w:p>
        </w:tc>
        <w:tc>
          <w:tcPr>
            <w:tcW w:w="552" w:type="dxa"/>
            <w:vAlign w:val="center"/>
          </w:tcPr>
          <w:p w14:paraId="5F2DCFBA">
            <w:pPr>
              <w:jc w:val="center"/>
              <w:rPr>
                <w:bCs/>
                <w:szCs w:val="21"/>
              </w:rPr>
            </w:pPr>
          </w:p>
        </w:tc>
        <w:tc>
          <w:tcPr>
            <w:tcW w:w="636" w:type="dxa"/>
            <w:shd w:val="clear" w:color="auto" w:fill="auto"/>
            <w:vAlign w:val="center"/>
          </w:tcPr>
          <w:p w14:paraId="782E6B9C">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24A1FC4">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0446B76E">
            <w:pPr>
              <w:jc w:val="center"/>
              <w:rPr>
                <w:bCs/>
                <w:szCs w:val="21"/>
              </w:rPr>
            </w:pPr>
          </w:p>
        </w:tc>
        <w:tc>
          <w:tcPr>
            <w:tcW w:w="967" w:type="dxa"/>
            <w:vAlign w:val="center"/>
          </w:tcPr>
          <w:p w14:paraId="61ED3192">
            <w:pPr>
              <w:jc w:val="center"/>
              <w:rPr>
                <w:bCs/>
                <w:szCs w:val="21"/>
              </w:rPr>
            </w:pPr>
          </w:p>
        </w:tc>
      </w:tr>
      <w:tr w14:paraId="4AF7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4123F4C">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1766290C">
            <w:pPr>
              <w:jc w:val="center"/>
              <w:rPr>
                <w:bCs/>
                <w:szCs w:val="21"/>
              </w:rPr>
            </w:pPr>
          </w:p>
        </w:tc>
        <w:tc>
          <w:tcPr>
            <w:tcW w:w="1440" w:type="dxa"/>
            <w:shd w:val="clear" w:color="auto" w:fill="auto"/>
            <w:vAlign w:val="center"/>
          </w:tcPr>
          <w:p w14:paraId="3EADEE4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7AB1137">
            <w:pPr>
              <w:widowControl/>
              <w:jc w:val="center"/>
              <w:textAlignment w:val="center"/>
              <w:rPr>
                <w:bCs/>
                <w:szCs w:val="21"/>
              </w:rPr>
            </w:pPr>
          </w:p>
        </w:tc>
        <w:tc>
          <w:tcPr>
            <w:tcW w:w="792" w:type="dxa"/>
            <w:vAlign w:val="center"/>
          </w:tcPr>
          <w:p w14:paraId="657C3866">
            <w:pPr>
              <w:widowControl/>
              <w:adjustRightInd w:val="0"/>
              <w:snapToGrid w:val="0"/>
              <w:jc w:val="center"/>
              <w:rPr>
                <w:bCs/>
                <w:szCs w:val="21"/>
              </w:rPr>
            </w:pPr>
          </w:p>
        </w:tc>
        <w:tc>
          <w:tcPr>
            <w:tcW w:w="696" w:type="dxa"/>
            <w:vAlign w:val="center"/>
          </w:tcPr>
          <w:p w14:paraId="7E34A66B">
            <w:pPr>
              <w:jc w:val="center"/>
              <w:rPr>
                <w:bCs/>
                <w:szCs w:val="21"/>
              </w:rPr>
            </w:pPr>
          </w:p>
        </w:tc>
        <w:tc>
          <w:tcPr>
            <w:tcW w:w="552" w:type="dxa"/>
            <w:vAlign w:val="center"/>
          </w:tcPr>
          <w:p w14:paraId="21149F8B">
            <w:pPr>
              <w:jc w:val="center"/>
              <w:rPr>
                <w:bCs/>
                <w:szCs w:val="21"/>
              </w:rPr>
            </w:pPr>
          </w:p>
        </w:tc>
        <w:tc>
          <w:tcPr>
            <w:tcW w:w="636" w:type="dxa"/>
            <w:shd w:val="clear" w:color="auto" w:fill="auto"/>
            <w:vAlign w:val="center"/>
          </w:tcPr>
          <w:p w14:paraId="69790A26">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2C356D2">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480A6F4">
            <w:pPr>
              <w:jc w:val="center"/>
              <w:rPr>
                <w:bCs/>
                <w:szCs w:val="21"/>
              </w:rPr>
            </w:pPr>
          </w:p>
        </w:tc>
        <w:tc>
          <w:tcPr>
            <w:tcW w:w="967" w:type="dxa"/>
            <w:vAlign w:val="center"/>
          </w:tcPr>
          <w:p w14:paraId="6FA58F11">
            <w:pPr>
              <w:jc w:val="center"/>
              <w:rPr>
                <w:bCs/>
                <w:szCs w:val="21"/>
              </w:rPr>
            </w:pPr>
          </w:p>
        </w:tc>
      </w:tr>
      <w:tr w14:paraId="2F9C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E43120C">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4A1FBFA">
            <w:pPr>
              <w:jc w:val="center"/>
              <w:rPr>
                <w:bCs/>
                <w:szCs w:val="21"/>
              </w:rPr>
            </w:pPr>
          </w:p>
        </w:tc>
        <w:tc>
          <w:tcPr>
            <w:tcW w:w="1440" w:type="dxa"/>
            <w:shd w:val="clear" w:color="auto" w:fill="auto"/>
            <w:vAlign w:val="center"/>
          </w:tcPr>
          <w:p w14:paraId="5B1B4013">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C9E7CDC">
            <w:pPr>
              <w:widowControl/>
              <w:jc w:val="center"/>
              <w:textAlignment w:val="center"/>
              <w:rPr>
                <w:bCs/>
                <w:szCs w:val="21"/>
              </w:rPr>
            </w:pPr>
          </w:p>
        </w:tc>
        <w:tc>
          <w:tcPr>
            <w:tcW w:w="792" w:type="dxa"/>
            <w:vAlign w:val="center"/>
          </w:tcPr>
          <w:p w14:paraId="39A1E089">
            <w:pPr>
              <w:widowControl/>
              <w:adjustRightInd w:val="0"/>
              <w:snapToGrid w:val="0"/>
              <w:jc w:val="center"/>
              <w:rPr>
                <w:bCs/>
                <w:szCs w:val="21"/>
              </w:rPr>
            </w:pPr>
          </w:p>
        </w:tc>
        <w:tc>
          <w:tcPr>
            <w:tcW w:w="696" w:type="dxa"/>
            <w:vAlign w:val="center"/>
          </w:tcPr>
          <w:p w14:paraId="2A59429E">
            <w:pPr>
              <w:jc w:val="center"/>
              <w:rPr>
                <w:bCs/>
                <w:szCs w:val="21"/>
              </w:rPr>
            </w:pPr>
          </w:p>
        </w:tc>
        <w:tc>
          <w:tcPr>
            <w:tcW w:w="552" w:type="dxa"/>
            <w:vAlign w:val="center"/>
          </w:tcPr>
          <w:p w14:paraId="56F52253">
            <w:pPr>
              <w:jc w:val="center"/>
              <w:rPr>
                <w:bCs/>
                <w:szCs w:val="21"/>
              </w:rPr>
            </w:pPr>
          </w:p>
        </w:tc>
        <w:tc>
          <w:tcPr>
            <w:tcW w:w="636" w:type="dxa"/>
            <w:shd w:val="clear" w:color="auto" w:fill="auto"/>
            <w:vAlign w:val="center"/>
          </w:tcPr>
          <w:p w14:paraId="1EAF7FBB">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D6971BE">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E6278B7">
            <w:pPr>
              <w:jc w:val="center"/>
              <w:rPr>
                <w:bCs/>
                <w:szCs w:val="21"/>
              </w:rPr>
            </w:pPr>
          </w:p>
        </w:tc>
        <w:tc>
          <w:tcPr>
            <w:tcW w:w="967" w:type="dxa"/>
            <w:vAlign w:val="center"/>
          </w:tcPr>
          <w:p w14:paraId="45C1238C">
            <w:pPr>
              <w:jc w:val="center"/>
              <w:rPr>
                <w:bCs/>
                <w:szCs w:val="21"/>
              </w:rPr>
            </w:pPr>
          </w:p>
        </w:tc>
      </w:tr>
      <w:tr w14:paraId="1F63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0527675">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E5A3A13">
            <w:pPr>
              <w:jc w:val="center"/>
              <w:rPr>
                <w:bCs/>
                <w:szCs w:val="21"/>
              </w:rPr>
            </w:pPr>
          </w:p>
        </w:tc>
        <w:tc>
          <w:tcPr>
            <w:tcW w:w="1440" w:type="dxa"/>
            <w:shd w:val="clear" w:color="auto" w:fill="auto"/>
            <w:vAlign w:val="center"/>
          </w:tcPr>
          <w:p w14:paraId="7E841A40">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70DF877">
            <w:pPr>
              <w:widowControl/>
              <w:jc w:val="center"/>
              <w:textAlignment w:val="center"/>
              <w:rPr>
                <w:bCs/>
                <w:szCs w:val="21"/>
              </w:rPr>
            </w:pPr>
          </w:p>
        </w:tc>
        <w:tc>
          <w:tcPr>
            <w:tcW w:w="792" w:type="dxa"/>
            <w:vAlign w:val="center"/>
          </w:tcPr>
          <w:p w14:paraId="7B01F542">
            <w:pPr>
              <w:widowControl/>
              <w:adjustRightInd w:val="0"/>
              <w:snapToGrid w:val="0"/>
              <w:jc w:val="center"/>
              <w:rPr>
                <w:bCs/>
                <w:szCs w:val="21"/>
              </w:rPr>
            </w:pPr>
          </w:p>
        </w:tc>
        <w:tc>
          <w:tcPr>
            <w:tcW w:w="696" w:type="dxa"/>
            <w:vAlign w:val="center"/>
          </w:tcPr>
          <w:p w14:paraId="783A703C">
            <w:pPr>
              <w:jc w:val="center"/>
              <w:rPr>
                <w:bCs/>
                <w:szCs w:val="21"/>
              </w:rPr>
            </w:pPr>
          </w:p>
        </w:tc>
        <w:tc>
          <w:tcPr>
            <w:tcW w:w="552" w:type="dxa"/>
            <w:vAlign w:val="center"/>
          </w:tcPr>
          <w:p w14:paraId="5870619C">
            <w:pPr>
              <w:jc w:val="center"/>
              <w:rPr>
                <w:bCs/>
                <w:szCs w:val="21"/>
              </w:rPr>
            </w:pPr>
          </w:p>
        </w:tc>
        <w:tc>
          <w:tcPr>
            <w:tcW w:w="636" w:type="dxa"/>
            <w:shd w:val="clear" w:color="auto" w:fill="auto"/>
            <w:vAlign w:val="center"/>
          </w:tcPr>
          <w:p w14:paraId="0D38567F">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A7F20D7">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061AB294">
            <w:pPr>
              <w:jc w:val="center"/>
              <w:rPr>
                <w:bCs/>
                <w:szCs w:val="21"/>
              </w:rPr>
            </w:pPr>
          </w:p>
        </w:tc>
        <w:tc>
          <w:tcPr>
            <w:tcW w:w="967" w:type="dxa"/>
            <w:vAlign w:val="center"/>
          </w:tcPr>
          <w:p w14:paraId="0088239F">
            <w:pPr>
              <w:jc w:val="center"/>
              <w:rPr>
                <w:bCs/>
                <w:szCs w:val="21"/>
              </w:rPr>
            </w:pPr>
          </w:p>
        </w:tc>
      </w:tr>
      <w:tr w14:paraId="6F96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921C8E1">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7934B1A">
            <w:pPr>
              <w:jc w:val="center"/>
              <w:rPr>
                <w:bCs/>
                <w:szCs w:val="21"/>
              </w:rPr>
            </w:pPr>
          </w:p>
        </w:tc>
        <w:tc>
          <w:tcPr>
            <w:tcW w:w="1440" w:type="dxa"/>
            <w:shd w:val="clear" w:color="auto" w:fill="auto"/>
            <w:vAlign w:val="center"/>
          </w:tcPr>
          <w:p w14:paraId="534420B5">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CD380BD">
            <w:pPr>
              <w:widowControl/>
              <w:jc w:val="center"/>
              <w:textAlignment w:val="center"/>
              <w:rPr>
                <w:bCs/>
                <w:szCs w:val="21"/>
              </w:rPr>
            </w:pPr>
          </w:p>
        </w:tc>
        <w:tc>
          <w:tcPr>
            <w:tcW w:w="792" w:type="dxa"/>
            <w:vAlign w:val="center"/>
          </w:tcPr>
          <w:p w14:paraId="526453E3">
            <w:pPr>
              <w:widowControl/>
              <w:adjustRightInd w:val="0"/>
              <w:snapToGrid w:val="0"/>
              <w:jc w:val="center"/>
              <w:rPr>
                <w:bCs/>
                <w:szCs w:val="21"/>
              </w:rPr>
            </w:pPr>
          </w:p>
        </w:tc>
        <w:tc>
          <w:tcPr>
            <w:tcW w:w="696" w:type="dxa"/>
            <w:vAlign w:val="center"/>
          </w:tcPr>
          <w:p w14:paraId="1698FDC6">
            <w:pPr>
              <w:jc w:val="center"/>
              <w:rPr>
                <w:bCs/>
                <w:szCs w:val="21"/>
              </w:rPr>
            </w:pPr>
          </w:p>
        </w:tc>
        <w:tc>
          <w:tcPr>
            <w:tcW w:w="552" w:type="dxa"/>
            <w:vAlign w:val="center"/>
          </w:tcPr>
          <w:p w14:paraId="328C631A">
            <w:pPr>
              <w:jc w:val="center"/>
              <w:rPr>
                <w:bCs/>
                <w:szCs w:val="21"/>
              </w:rPr>
            </w:pPr>
          </w:p>
        </w:tc>
        <w:tc>
          <w:tcPr>
            <w:tcW w:w="636" w:type="dxa"/>
            <w:shd w:val="clear" w:color="auto" w:fill="auto"/>
            <w:vAlign w:val="center"/>
          </w:tcPr>
          <w:p w14:paraId="234F35FE">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CFF7217">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E3C06DE">
            <w:pPr>
              <w:jc w:val="center"/>
              <w:rPr>
                <w:bCs/>
                <w:szCs w:val="21"/>
              </w:rPr>
            </w:pPr>
          </w:p>
        </w:tc>
        <w:tc>
          <w:tcPr>
            <w:tcW w:w="967" w:type="dxa"/>
            <w:vAlign w:val="center"/>
          </w:tcPr>
          <w:p w14:paraId="208EAB29">
            <w:pPr>
              <w:jc w:val="center"/>
              <w:rPr>
                <w:bCs/>
                <w:szCs w:val="21"/>
              </w:rPr>
            </w:pPr>
          </w:p>
        </w:tc>
      </w:tr>
      <w:tr w14:paraId="54D5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AEF6D63">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7A6B066">
            <w:pPr>
              <w:jc w:val="center"/>
              <w:rPr>
                <w:bCs/>
                <w:szCs w:val="21"/>
              </w:rPr>
            </w:pPr>
          </w:p>
        </w:tc>
        <w:tc>
          <w:tcPr>
            <w:tcW w:w="1440" w:type="dxa"/>
            <w:shd w:val="clear" w:color="auto" w:fill="auto"/>
            <w:vAlign w:val="center"/>
          </w:tcPr>
          <w:p w14:paraId="478ED3A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061883D9">
            <w:pPr>
              <w:widowControl/>
              <w:jc w:val="center"/>
              <w:textAlignment w:val="center"/>
              <w:rPr>
                <w:bCs/>
                <w:szCs w:val="21"/>
              </w:rPr>
            </w:pPr>
          </w:p>
        </w:tc>
        <w:tc>
          <w:tcPr>
            <w:tcW w:w="792" w:type="dxa"/>
            <w:vAlign w:val="center"/>
          </w:tcPr>
          <w:p w14:paraId="1DD75F8D">
            <w:pPr>
              <w:widowControl/>
              <w:adjustRightInd w:val="0"/>
              <w:snapToGrid w:val="0"/>
              <w:jc w:val="center"/>
              <w:rPr>
                <w:bCs/>
                <w:szCs w:val="21"/>
              </w:rPr>
            </w:pPr>
          </w:p>
        </w:tc>
        <w:tc>
          <w:tcPr>
            <w:tcW w:w="696" w:type="dxa"/>
            <w:vAlign w:val="center"/>
          </w:tcPr>
          <w:p w14:paraId="6020008A">
            <w:pPr>
              <w:jc w:val="center"/>
              <w:rPr>
                <w:bCs/>
                <w:szCs w:val="21"/>
              </w:rPr>
            </w:pPr>
          </w:p>
        </w:tc>
        <w:tc>
          <w:tcPr>
            <w:tcW w:w="552" w:type="dxa"/>
            <w:vAlign w:val="center"/>
          </w:tcPr>
          <w:p w14:paraId="4324B46A">
            <w:pPr>
              <w:jc w:val="center"/>
              <w:rPr>
                <w:bCs/>
                <w:szCs w:val="21"/>
              </w:rPr>
            </w:pPr>
          </w:p>
        </w:tc>
        <w:tc>
          <w:tcPr>
            <w:tcW w:w="636" w:type="dxa"/>
            <w:shd w:val="clear" w:color="auto" w:fill="auto"/>
            <w:vAlign w:val="center"/>
          </w:tcPr>
          <w:p w14:paraId="4DF06057">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6D5776E">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FDC5DDE">
            <w:pPr>
              <w:jc w:val="center"/>
              <w:rPr>
                <w:bCs/>
                <w:szCs w:val="21"/>
              </w:rPr>
            </w:pPr>
          </w:p>
        </w:tc>
        <w:tc>
          <w:tcPr>
            <w:tcW w:w="967" w:type="dxa"/>
            <w:vAlign w:val="center"/>
          </w:tcPr>
          <w:p w14:paraId="7DEA7576">
            <w:pPr>
              <w:jc w:val="center"/>
              <w:rPr>
                <w:bCs/>
                <w:szCs w:val="21"/>
              </w:rPr>
            </w:pPr>
          </w:p>
        </w:tc>
      </w:tr>
      <w:tr w14:paraId="3C79D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1A878839">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1BF90BC9">
            <w:pPr>
              <w:jc w:val="center"/>
              <w:rPr>
                <w:bCs/>
                <w:szCs w:val="21"/>
              </w:rPr>
            </w:pPr>
          </w:p>
        </w:tc>
        <w:tc>
          <w:tcPr>
            <w:tcW w:w="1440" w:type="dxa"/>
            <w:shd w:val="clear" w:color="auto" w:fill="auto"/>
            <w:vAlign w:val="center"/>
          </w:tcPr>
          <w:p w14:paraId="496638B7">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612D0FE">
            <w:pPr>
              <w:widowControl/>
              <w:jc w:val="center"/>
              <w:textAlignment w:val="center"/>
              <w:rPr>
                <w:bCs/>
                <w:szCs w:val="21"/>
              </w:rPr>
            </w:pPr>
          </w:p>
        </w:tc>
        <w:tc>
          <w:tcPr>
            <w:tcW w:w="792" w:type="dxa"/>
            <w:vAlign w:val="center"/>
          </w:tcPr>
          <w:p w14:paraId="54C08C8A">
            <w:pPr>
              <w:widowControl/>
              <w:adjustRightInd w:val="0"/>
              <w:snapToGrid w:val="0"/>
              <w:jc w:val="center"/>
              <w:rPr>
                <w:bCs/>
                <w:szCs w:val="21"/>
              </w:rPr>
            </w:pPr>
          </w:p>
        </w:tc>
        <w:tc>
          <w:tcPr>
            <w:tcW w:w="696" w:type="dxa"/>
            <w:vAlign w:val="center"/>
          </w:tcPr>
          <w:p w14:paraId="6AF24DCE">
            <w:pPr>
              <w:jc w:val="center"/>
              <w:rPr>
                <w:bCs/>
                <w:szCs w:val="21"/>
              </w:rPr>
            </w:pPr>
          </w:p>
        </w:tc>
        <w:tc>
          <w:tcPr>
            <w:tcW w:w="552" w:type="dxa"/>
            <w:vAlign w:val="center"/>
          </w:tcPr>
          <w:p w14:paraId="659C172B">
            <w:pPr>
              <w:jc w:val="center"/>
              <w:rPr>
                <w:bCs/>
                <w:szCs w:val="21"/>
              </w:rPr>
            </w:pPr>
          </w:p>
        </w:tc>
        <w:tc>
          <w:tcPr>
            <w:tcW w:w="636" w:type="dxa"/>
            <w:shd w:val="clear" w:color="auto" w:fill="auto"/>
            <w:vAlign w:val="center"/>
          </w:tcPr>
          <w:p w14:paraId="78FA1426">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C4802EB">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B3E3E80">
            <w:pPr>
              <w:jc w:val="center"/>
              <w:rPr>
                <w:bCs/>
                <w:szCs w:val="21"/>
              </w:rPr>
            </w:pPr>
          </w:p>
        </w:tc>
        <w:tc>
          <w:tcPr>
            <w:tcW w:w="967" w:type="dxa"/>
            <w:vAlign w:val="center"/>
          </w:tcPr>
          <w:p w14:paraId="38F56550">
            <w:pPr>
              <w:jc w:val="center"/>
              <w:rPr>
                <w:bCs/>
                <w:szCs w:val="21"/>
              </w:rPr>
            </w:pPr>
          </w:p>
        </w:tc>
      </w:tr>
      <w:tr w14:paraId="1575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368E58E">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22303BCA">
            <w:pPr>
              <w:jc w:val="center"/>
              <w:rPr>
                <w:bCs/>
                <w:szCs w:val="21"/>
              </w:rPr>
            </w:pPr>
          </w:p>
        </w:tc>
        <w:tc>
          <w:tcPr>
            <w:tcW w:w="1440" w:type="dxa"/>
            <w:shd w:val="clear" w:color="auto" w:fill="auto"/>
            <w:vAlign w:val="center"/>
          </w:tcPr>
          <w:p w14:paraId="152DAC2C">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7C0BF5C">
            <w:pPr>
              <w:widowControl/>
              <w:jc w:val="center"/>
              <w:textAlignment w:val="center"/>
              <w:rPr>
                <w:bCs/>
                <w:szCs w:val="21"/>
              </w:rPr>
            </w:pPr>
          </w:p>
        </w:tc>
        <w:tc>
          <w:tcPr>
            <w:tcW w:w="792" w:type="dxa"/>
            <w:vAlign w:val="center"/>
          </w:tcPr>
          <w:p w14:paraId="564382FC">
            <w:pPr>
              <w:widowControl/>
              <w:adjustRightInd w:val="0"/>
              <w:snapToGrid w:val="0"/>
              <w:jc w:val="center"/>
              <w:rPr>
                <w:bCs/>
                <w:szCs w:val="21"/>
              </w:rPr>
            </w:pPr>
          </w:p>
        </w:tc>
        <w:tc>
          <w:tcPr>
            <w:tcW w:w="696" w:type="dxa"/>
            <w:vAlign w:val="center"/>
          </w:tcPr>
          <w:p w14:paraId="7585563E">
            <w:pPr>
              <w:jc w:val="center"/>
              <w:rPr>
                <w:bCs/>
                <w:szCs w:val="21"/>
              </w:rPr>
            </w:pPr>
          </w:p>
        </w:tc>
        <w:tc>
          <w:tcPr>
            <w:tcW w:w="552" w:type="dxa"/>
            <w:vAlign w:val="center"/>
          </w:tcPr>
          <w:p w14:paraId="7C2A76C1">
            <w:pPr>
              <w:jc w:val="center"/>
              <w:rPr>
                <w:bCs/>
                <w:szCs w:val="21"/>
              </w:rPr>
            </w:pPr>
          </w:p>
        </w:tc>
        <w:tc>
          <w:tcPr>
            <w:tcW w:w="636" w:type="dxa"/>
            <w:shd w:val="clear" w:color="auto" w:fill="auto"/>
            <w:vAlign w:val="center"/>
          </w:tcPr>
          <w:p w14:paraId="0CDF8AFF">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9350A03">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111FB91">
            <w:pPr>
              <w:jc w:val="center"/>
              <w:rPr>
                <w:bCs/>
                <w:szCs w:val="21"/>
              </w:rPr>
            </w:pPr>
          </w:p>
        </w:tc>
        <w:tc>
          <w:tcPr>
            <w:tcW w:w="967" w:type="dxa"/>
            <w:vAlign w:val="center"/>
          </w:tcPr>
          <w:p w14:paraId="05DCC2E9">
            <w:pPr>
              <w:jc w:val="center"/>
              <w:rPr>
                <w:bCs/>
                <w:szCs w:val="21"/>
              </w:rPr>
            </w:pPr>
          </w:p>
        </w:tc>
      </w:tr>
      <w:tr w14:paraId="04B920F4">
        <w:tblPrEx>
          <w:tblCellMar>
            <w:top w:w="0" w:type="dxa"/>
            <w:left w:w="108" w:type="dxa"/>
            <w:bottom w:w="0" w:type="dxa"/>
            <w:right w:w="108" w:type="dxa"/>
          </w:tblCellMar>
        </w:tblPrEx>
        <w:trPr>
          <w:jc w:val="center"/>
        </w:trPr>
        <w:tc>
          <w:tcPr>
            <w:tcW w:w="561" w:type="dxa"/>
            <w:shd w:val="clear" w:color="auto" w:fill="auto"/>
            <w:vAlign w:val="center"/>
          </w:tcPr>
          <w:p w14:paraId="2508D8FD">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50B611EE">
            <w:pPr>
              <w:jc w:val="center"/>
              <w:rPr>
                <w:bCs/>
                <w:szCs w:val="21"/>
              </w:rPr>
            </w:pPr>
          </w:p>
        </w:tc>
        <w:tc>
          <w:tcPr>
            <w:tcW w:w="1440" w:type="dxa"/>
            <w:shd w:val="clear" w:color="auto" w:fill="auto"/>
            <w:vAlign w:val="center"/>
          </w:tcPr>
          <w:p w14:paraId="54F27394">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005D3DC">
            <w:pPr>
              <w:widowControl/>
              <w:jc w:val="center"/>
              <w:textAlignment w:val="center"/>
              <w:rPr>
                <w:bCs/>
                <w:szCs w:val="21"/>
              </w:rPr>
            </w:pPr>
          </w:p>
        </w:tc>
        <w:tc>
          <w:tcPr>
            <w:tcW w:w="792" w:type="dxa"/>
            <w:vAlign w:val="center"/>
          </w:tcPr>
          <w:p w14:paraId="6695875C">
            <w:pPr>
              <w:widowControl/>
              <w:adjustRightInd w:val="0"/>
              <w:snapToGrid w:val="0"/>
              <w:jc w:val="center"/>
              <w:rPr>
                <w:bCs/>
                <w:szCs w:val="21"/>
              </w:rPr>
            </w:pPr>
          </w:p>
        </w:tc>
        <w:tc>
          <w:tcPr>
            <w:tcW w:w="696" w:type="dxa"/>
            <w:vAlign w:val="center"/>
          </w:tcPr>
          <w:p w14:paraId="2C32E4F1">
            <w:pPr>
              <w:jc w:val="center"/>
              <w:rPr>
                <w:bCs/>
                <w:szCs w:val="21"/>
              </w:rPr>
            </w:pPr>
          </w:p>
        </w:tc>
        <w:tc>
          <w:tcPr>
            <w:tcW w:w="552" w:type="dxa"/>
            <w:vAlign w:val="center"/>
          </w:tcPr>
          <w:p w14:paraId="397CA437">
            <w:pPr>
              <w:jc w:val="center"/>
              <w:rPr>
                <w:bCs/>
                <w:szCs w:val="21"/>
              </w:rPr>
            </w:pPr>
          </w:p>
        </w:tc>
        <w:tc>
          <w:tcPr>
            <w:tcW w:w="636" w:type="dxa"/>
            <w:shd w:val="clear" w:color="auto" w:fill="auto"/>
            <w:vAlign w:val="center"/>
          </w:tcPr>
          <w:p w14:paraId="2CB5E804">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275F0A1F">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36093001">
            <w:pPr>
              <w:jc w:val="center"/>
              <w:rPr>
                <w:bCs/>
                <w:szCs w:val="21"/>
              </w:rPr>
            </w:pPr>
          </w:p>
        </w:tc>
        <w:tc>
          <w:tcPr>
            <w:tcW w:w="967" w:type="dxa"/>
            <w:vAlign w:val="center"/>
          </w:tcPr>
          <w:p w14:paraId="2BB36983">
            <w:pPr>
              <w:jc w:val="center"/>
              <w:rPr>
                <w:bCs/>
                <w:szCs w:val="21"/>
              </w:rPr>
            </w:pPr>
          </w:p>
        </w:tc>
      </w:tr>
      <w:tr w14:paraId="42A0D517">
        <w:tblPrEx>
          <w:tblCellMar>
            <w:top w:w="0" w:type="dxa"/>
            <w:left w:w="108" w:type="dxa"/>
            <w:bottom w:w="0" w:type="dxa"/>
            <w:right w:w="108" w:type="dxa"/>
          </w:tblCellMar>
        </w:tblPrEx>
        <w:trPr>
          <w:jc w:val="center"/>
        </w:trPr>
        <w:tc>
          <w:tcPr>
            <w:tcW w:w="561" w:type="dxa"/>
            <w:shd w:val="clear" w:color="auto" w:fill="auto"/>
            <w:vAlign w:val="center"/>
          </w:tcPr>
          <w:p w14:paraId="6C885DC7">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72571D09">
            <w:pPr>
              <w:jc w:val="center"/>
              <w:rPr>
                <w:bCs/>
                <w:szCs w:val="21"/>
              </w:rPr>
            </w:pPr>
          </w:p>
        </w:tc>
        <w:tc>
          <w:tcPr>
            <w:tcW w:w="1440" w:type="dxa"/>
            <w:shd w:val="clear" w:color="auto" w:fill="auto"/>
            <w:vAlign w:val="center"/>
          </w:tcPr>
          <w:p w14:paraId="429B0098">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5D70BD96">
            <w:pPr>
              <w:widowControl/>
              <w:jc w:val="center"/>
              <w:textAlignment w:val="center"/>
              <w:rPr>
                <w:bCs/>
                <w:szCs w:val="21"/>
              </w:rPr>
            </w:pPr>
          </w:p>
        </w:tc>
        <w:tc>
          <w:tcPr>
            <w:tcW w:w="792" w:type="dxa"/>
            <w:vAlign w:val="center"/>
          </w:tcPr>
          <w:p w14:paraId="2508E006">
            <w:pPr>
              <w:widowControl/>
              <w:adjustRightInd w:val="0"/>
              <w:snapToGrid w:val="0"/>
              <w:jc w:val="center"/>
              <w:rPr>
                <w:bCs/>
                <w:szCs w:val="21"/>
              </w:rPr>
            </w:pPr>
          </w:p>
        </w:tc>
        <w:tc>
          <w:tcPr>
            <w:tcW w:w="696" w:type="dxa"/>
            <w:vAlign w:val="center"/>
          </w:tcPr>
          <w:p w14:paraId="3FDC38C1">
            <w:pPr>
              <w:jc w:val="center"/>
              <w:rPr>
                <w:bCs/>
                <w:szCs w:val="21"/>
              </w:rPr>
            </w:pPr>
          </w:p>
        </w:tc>
        <w:tc>
          <w:tcPr>
            <w:tcW w:w="552" w:type="dxa"/>
            <w:vAlign w:val="center"/>
          </w:tcPr>
          <w:p w14:paraId="78371F6F">
            <w:pPr>
              <w:jc w:val="center"/>
              <w:rPr>
                <w:bCs/>
                <w:szCs w:val="21"/>
              </w:rPr>
            </w:pPr>
          </w:p>
        </w:tc>
        <w:tc>
          <w:tcPr>
            <w:tcW w:w="636" w:type="dxa"/>
            <w:shd w:val="clear" w:color="auto" w:fill="auto"/>
            <w:vAlign w:val="center"/>
          </w:tcPr>
          <w:p w14:paraId="4B306092">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3D40FAB">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7F8E4AE">
            <w:pPr>
              <w:jc w:val="center"/>
              <w:rPr>
                <w:bCs/>
                <w:szCs w:val="21"/>
              </w:rPr>
            </w:pPr>
          </w:p>
        </w:tc>
        <w:tc>
          <w:tcPr>
            <w:tcW w:w="967" w:type="dxa"/>
            <w:vAlign w:val="center"/>
          </w:tcPr>
          <w:p w14:paraId="2D4B2115">
            <w:pPr>
              <w:jc w:val="center"/>
              <w:rPr>
                <w:bCs/>
                <w:szCs w:val="21"/>
              </w:rPr>
            </w:pPr>
          </w:p>
        </w:tc>
      </w:tr>
      <w:tr w14:paraId="5EBC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339486EC">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6AE1BAE8">
            <w:pPr>
              <w:jc w:val="center"/>
              <w:rPr>
                <w:bCs/>
                <w:szCs w:val="21"/>
              </w:rPr>
            </w:pPr>
          </w:p>
        </w:tc>
        <w:tc>
          <w:tcPr>
            <w:tcW w:w="1440" w:type="dxa"/>
            <w:shd w:val="clear" w:color="auto" w:fill="auto"/>
            <w:vAlign w:val="center"/>
          </w:tcPr>
          <w:p w14:paraId="3D7737FD">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F62D2DE">
            <w:pPr>
              <w:widowControl/>
              <w:jc w:val="center"/>
              <w:textAlignment w:val="center"/>
              <w:rPr>
                <w:bCs/>
                <w:szCs w:val="21"/>
              </w:rPr>
            </w:pPr>
          </w:p>
        </w:tc>
        <w:tc>
          <w:tcPr>
            <w:tcW w:w="792" w:type="dxa"/>
            <w:vAlign w:val="center"/>
          </w:tcPr>
          <w:p w14:paraId="1A7A60A3">
            <w:pPr>
              <w:widowControl/>
              <w:adjustRightInd w:val="0"/>
              <w:snapToGrid w:val="0"/>
              <w:jc w:val="center"/>
              <w:rPr>
                <w:bCs/>
                <w:szCs w:val="21"/>
              </w:rPr>
            </w:pPr>
          </w:p>
        </w:tc>
        <w:tc>
          <w:tcPr>
            <w:tcW w:w="696" w:type="dxa"/>
            <w:vAlign w:val="center"/>
          </w:tcPr>
          <w:p w14:paraId="108FB4EA">
            <w:pPr>
              <w:jc w:val="center"/>
              <w:rPr>
                <w:bCs/>
                <w:szCs w:val="21"/>
              </w:rPr>
            </w:pPr>
          </w:p>
        </w:tc>
        <w:tc>
          <w:tcPr>
            <w:tcW w:w="552" w:type="dxa"/>
            <w:vAlign w:val="center"/>
          </w:tcPr>
          <w:p w14:paraId="756AE069">
            <w:pPr>
              <w:jc w:val="center"/>
              <w:rPr>
                <w:bCs/>
                <w:szCs w:val="21"/>
              </w:rPr>
            </w:pPr>
          </w:p>
        </w:tc>
        <w:tc>
          <w:tcPr>
            <w:tcW w:w="636" w:type="dxa"/>
            <w:shd w:val="clear" w:color="auto" w:fill="auto"/>
            <w:vAlign w:val="center"/>
          </w:tcPr>
          <w:p w14:paraId="000CD352">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4EA85175">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EC09610">
            <w:pPr>
              <w:jc w:val="center"/>
              <w:rPr>
                <w:bCs/>
                <w:szCs w:val="21"/>
              </w:rPr>
            </w:pPr>
          </w:p>
        </w:tc>
        <w:tc>
          <w:tcPr>
            <w:tcW w:w="967" w:type="dxa"/>
            <w:vAlign w:val="center"/>
          </w:tcPr>
          <w:p w14:paraId="0EC1159F">
            <w:pPr>
              <w:jc w:val="center"/>
              <w:rPr>
                <w:bCs/>
                <w:szCs w:val="21"/>
              </w:rPr>
            </w:pPr>
          </w:p>
        </w:tc>
      </w:tr>
      <w:tr w14:paraId="316D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9EBBCEF">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1F9B87F">
            <w:pPr>
              <w:jc w:val="center"/>
              <w:rPr>
                <w:bCs/>
                <w:szCs w:val="21"/>
              </w:rPr>
            </w:pPr>
          </w:p>
        </w:tc>
        <w:tc>
          <w:tcPr>
            <w:tcW w:w="1440" w:type="dxa"/>
            <w:shd w:val="clear" w:color="auto" w:fill="auto"/>
            <w:vAlign w:val="center"/>
          </w:tcPr>
          <w:p w14:paraId="7279574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42527973">
            <w:pPr>
              <w:widowControl/>
              <w:jc w:val="center"/>
              <w:textAlignment w:val="center"/>
              <w:rPr>
                <w:bCs/>
                <w:szCs w:val="21"/>
              </w:rPr>
            </w:pPr>
          </w:p>
        </w:tc>
        <w:tc>
          <w:tcPr>
            <w:tcW w:w="792" w:type="dxa"/>
            <w:vAlign w:val="center"/>
          </w:tcPr>
          <w:p w14:paraId="40843118">
            <w:pPr>
              <w:widowControl/>
              <w:adjustRightInd w:val="0"/>
              <w:snapToGrid w:val="0"/>
              <w:jc w:val="center"/>
              <w:rPr>
                <w:bCs/>
                <w:szCs w:val="21"/>
              </w:rPr>
            </w:pPr>
          </w:p>
        </w:tc>
        <w:tc>
          <w:tcPr>
            <w:tcW w:w="696" w:type="dxa"/>
            <w:vAlign w:val="center"/>
          </w:tcPr>
          <w:p w14:paraId="408F2075">
            <w:pPr>
              <w:jc w:val="center"/>
              <w:rPr>
                <w:bCs/>
                <w:szCs w:val="21"/>
              </w:rPr>
            </w:pPr>
          </w:p>
        </w:tc>
        <w:tc>
          <w:tcPr>
            <w:tcW w:w="552" w:type="dxa"/>
            <w:vAlign w:val="center"/>
          </w:tcPr>
          <w:p w14:paraId="51D924EE">
            <w:pPr>
              <w:jc w:val="center"/>
              <w:rPr>
                <w:bCs/>
                <w:szCs w:val="21"/>
              </w:rPr>
            </w:pPr>
          </w:p>
        </w:tc>
        <w:tc>
          <w:tcPr>
            <w:tcW w:w="636" w:type="dxa"/>
            <w:shd w:val="clear" w:color="auto" w:fill="auto"/>
            <w:vAlign w:val="center"/>
          </w:tcPr>
          <w:p w14:paraId="23469B02">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97AF597">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0FE529CF">
            <w:pPr>
              <w:jc w:val="center"/>
              <w:rPr>
                <w:bCs/>
                <w:szCs w:val="21"/>
              </w:rPr>
            </w:pPr>
          </w:p>
        </w:tc>
        <w:tc>
          <w:tcPr>
            <w:tcW w:w="967" w:type="dxa"/>
            <w:vAlign w:val="center"/>
          </w:tcPr>
          <w:p w14:paraId="6A0F1CA8">
            <w:pPr>
              <w:jc w:val="center"/>
              <w:rPr>
                <w:bCs/>
                <w:szCs w:val="21"/>
              </w:rPr>
            </w:pPr>
          </w:p>
        </w:tc>
      </w:tr>
      <w:tr w14:paraId="1DD1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7C61148A">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30019FCF">
            <w:pPr>
              <w:jc w:val="center"/>
              <w:rPr>
                <w:bCs/>
                <w:szCs w:val="21"/>
              </w:rPr>
            </w:pPr>
          </w:p>
        </w:tc>
        <w:tc>
          <w:tcPr>
            <w:tcW w:w="1440" w:type="dxa"/>
            <w:shd w:val="clear" w:color="auto" w:fill="auto"/>
            <w:vAlign w:val="center"/>
          </w:tcPr>
          <w:p w14:paraId="598ED27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188C8FC">
            <w:pPr>
              <w:widowControl/>
              <w:jc w:val="center"/>
              <w:textAlignment w:val="center"/>
              <w:rPr>
                <w:bCs/>
                <w:szCs w:val="21"/>
              </w:rPr>
            </w:pPr>
          </w:p>
        </w:tc>
        <w:tc>
          <w:tcPr>
            <w:tcW w:w="792" w:type="dxa"/>
            <w:vAlign w:val="center"/>
          </w:tcPr>
          <w:p w14:paraId="4132277A">
            <w:pPr>
              <w:widowControl/>
              <w:adjustRightInd w:val="0"/>
              <w:snapToGrid w:val="0"/>
              <w:jc w:val="center"/>
              <w:rPr>
                <w:bCs/>
                <w:szCs w:val="21"/>
              </w:rPr>
            </w:pPr>
          </w:p>
        </w:tc>
        <w:tc>
          <w:tcPr>
            <w:tcW w:w="696" w:type="dxa"/>
            <w:vAlign w:val="center"/>
          </w:tcPr>
          <w:p w14:paraId="29D9B8E5">
            <w:pPr>
              <w:jc w:val="center"/>
              <w:rPr>
                <w:bCs/>
                <w:szCs w:val="21"/>
              </w:rPr>
            </w:pPr>
          </w:p>
        </w:tc>
        <w:tc>
          <w:tcPr>
            <w:tcW w:w="552" w:type="dxa"/>
            <w:vAlign w:val="center"/>
          </w:tcPr>
          <w:p w14:paraId="649C34E5">
            <w:pPr>
              <w:jc w:val="center"/>
              <w:rPr>
                <w:bCs/>
                <w:szCs w:val="21"/>
              </w:rPr>
            </w:pPr>
          </w:p>
        </w:tc>
        <w:tc>
          <w:tcPr>
            <w:tcW w:w="636" w:type="dxa"/>
            <w:shd w:val="clear" w:color="auto" w:fill="auto"/>
            <w:vAlign w:val="center"/>
          </w:tcPr>
          <w:p w14:paraId="522654CC">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F2611F3">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4BD46FDA">
            <w:pPr>
              <w:jc w:val="center"/>
              <w:rPr>
                <w:bCs/>
                <w:szCs w:val="21"/>
              </w:rPr>
            </w:pPr>
          </w:p>
        </w:tc>
        <w:tc>
          <w:tcPr>
            <w:tcW w:w="967" w:type="dxa"/>
            <w:vAlign w:val="center"/>
          </w:tcPr>
          <w:p w14:paraId="74D75A5B">
            <w:pPr>
              <w:jc w:val="center"/>
              <w:rPr>
                <w:bCs/>
                <w:szCs w:val="21"/>
              </w:rPr>
            </w:pPr>
          </w:p>
        </w:tc>
      </w:tr>
      <w:tr w14:paraId="4839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4669E1A">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0F0F1BE8">
            <w:pPr>
              <w:jc w:val="center"/>
              <w:rPr>
                <w:bCs/>
                <w:szCs w:val="21"/>
              </w:rPr>
            </w:pPr>
          </w:p>
        </w:tc>
        <w:tc>
          <w:tcPr>
            <w:tcW w:w="1440" w:type="dxa"/>
            <w:shd w:val="clear" w:color="auto" w:fill="auto"/>
            <w:vAlign w:val="center"/>
          </w:tcPr>
          <w:p w14:paraId="6FDFAE1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1B6CEED8">
            <w:pPr>
              <w:widowControl/>
              <w:jc w:val="center"/>
              <w:textAlignment w:val="center"/>
              <w:rPr>
                <w:bCs/>
                <w:szCs w:val="21"/>
              </w:rPr>
            </w:pPr>
          </w:p>
        </w:tc>
        <w:tc>
          <w:tcPr>
            <w:tcW w:w="792" w:type="dxa"/>
            <w:vAlign w:val="center"/>
          </w:tcPr>
          <w:p w14:paraId="7D0BECFD">
            <w:pPr>
              <w:widowControl/>
              <w:adjustRightInd w:val="0"/>
              <w:snapToGrid w:val="0"/>
              <w:jc w:val="center"/>
              <w:rPr>
                <w:bCs/>
                <w:szCs w:val="21"/>
              </w:rPr>
            </w:pPr>
          </w:p>
        </w:tc>
        <w:tc>
          <w:tcPr>
            <w:tcW w:w="696" w:type="dxa"/>
            <w:vAlign w:val="center"/>
          </w:tcPr>
          <w:p w14:paraId="27F57A4A">
            <w:pPr>
              <w:jc w:val="center"/>
              <w:rPr>
                <w:bCs/>
                <w:szCs w:val="21"/>
              </w:rPr>
            </w:pPr>
          </w:p>
        </w:tc>
        <w:tc>
          <w:tcPr>
            <w:tcW w:w="552" w:type="dxa"/>
            <w:vAlign w:val="center"/>
          </w:tcPr>
          <w:p w14:paraId="0F6ED7DC">
            <w:pPr>
              <w:jc w:val="center"/>
              <w:rPr>
                <w:bCs/>
                <w:szCs w:val="21"/>
              </w:rPr>
            </w:pPr>
          </w:p>
        </w:tc>
        <w:tc>
          <w:tcPr>
            <w:tcW w:w="636" w:type="dxa"/>
            <w:shd w:val="clear" w:color="auto" w:fill="auto"/>
            <w:vAlign w:val="center"/>
          </w:tcPr>
          <w:p w14:paraId="158E0D30">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AD9BDC1">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23715255">
            <w:pPr>
              <w:jc w:val="center"/>
              <w:rPr>
                <w:bCs/>
                <w:szCs w:val="21"/>
              </w:rPr>
            </w:pPr>
          </w:p>
        </w:tc>
        <w:tc>
          <w:tcPr>
            <w:tcW w:w="967" w:type="dxa"/>
            <w:vAlign w:val="center"/>
          </w:tcPr>
          <w:p w14:paraId="535E2D64">
            <w:pPr>
              <w:jc w:val="center"/>
              <w:rPr>
                <w:bCs/>
                <w:szCs w:val="21"/>
              </w:rPr>
            </w:pPr>
          </w:p>
        </w:tc>
      </w:tr>
      <w:tr w14:paraId="3CFB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27E4F9ED">
            <w:pPr>
              <w:widowControl/>
              <w:snapToGrid w:val="0"/>
              <w:jc w:val="center"/>
              <w:textAlignment w:val="center"/>
              <w:rPr>
                <w:rFonts w:hint="eastAsia" w:ascii="新宋体" w:hAnsi="Times New Roman" w:eastAsia="新宋体" w:cs="Times New Roman"/>
                <w:kern w:val="2"/>
                <w:sz w:val="20"/>
                <w:szCs w:val="24"/>
                <w:lang w:val="en-US" w:eastAsia="zh-CN" w:bidi="ar-SA"/>
              </w:rPr>
            </w:pPr>
          </w:p>
        </w:tc>
        <w:tc>
          <w:tcPr>
            <w:tcW w:w="720" w:type="dxa"/>
            <w:vMerge w:val="continue"/>
            <w:vAlign w:val="center"/>
          </w:tcPr>
          <w:p w14:paraId="6AE6ED0D">
            <w:pPr>
              <w:jc w:val="center"/>
              <w:rPr>
                <w:bCs/>
                <w:szCs w:val="21"/>
              </w:rPr>
            </w:pPr>
          </w:p>
        </w:tc>
        <w:tc>
          <w:tcPr>
            <w:tcW w:w="1440" w:type="dxa"/>
            <w:shd w:val="clear" w:color="auto" w:fill="auto"/>
            <w:vAlign w:val="center"/>
          </w:tcPr>
          <w:p w14:paraId="55A35C84">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9B4D0E4">
            <w:pPr>
              <w:widowControl/>
              <w:jc w:val="center"/>
              <w:textAlignment w:val="center"/>
              <w:rPr>
                <w:bCs/>
                <w:szCs w:val="21"/>
              </w:rPr>
            </w:pPr>
          </w:p>
        </w:tc>
        <w:tc>
          <w:tcPr>
            <w:tcW w:w="792" w:type="dxa"/>
            <w:vAlign w:val="center"/>
          </w:tcPr>
          <w:p w14:paraId="79F3532A">
            <w:pPr>
              <w:widowControl/>
              <w:adjustRightInd w:val="0"/>
              <w:snapToGrid w:val="0"/>
              <w:jc w:val="center"/>
              <w:rPr>
                <w:bCs/>
                <w:szCs w:val="21"/>
              </w:rPr>
            </w:pPr>
          </w:p>
        </w:tc>
        <w:tc>
          <w:tcPr>
            <w:tcW w:w="696" w:type="dxa"/>
            <w:vAlign w:val="center"/>
          </w:tcPr>
          <w:p w14:paraId="1565F18B">
            <w:pPr>
              <w:jc w:val="center"/>
              <w:rPr>
                <w:bCs/>
                <w:szCs w:val="21"/>
              </w:rPr>
            </w:pPr>
          </w:p>
        </w:tc>
        <w:tc>
          <w:tcPr>
            <w:tcW w:w="552" w:type="dxa"/>
            <w:vAlign w:val="center"/>
          </w:tcPr>
          <w:p w14:paraId="33E8B2D5">
            <w:pPr>
              <w:jc w:val="center"/>
              <w:rPr>
                <w:bCs/>
                <w:szCs w:val="21"/>
              </w:rPr>
            </w:pPr>
          </w:p>
        </w:tc>
        <w:tc>
          <w:tcPr>
            <w:tcW w:w="636" w:type="dxa"/>
            <w:shd w:val="clear" w:color="auto" w:fill="auto"/>
            <w:vAlign w:val="center"/>
          </w:tcPr>
          <w:p w14:paraId="24FCB32B">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17C1565">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6D617537">
            <w:pPr>
              <w:jc w:val="center"/>
              <w:rPr>
                <w:bCs/>
                <w:szCs w:val="21"/>
              </w:rPr>
            </w:pPr>
          </w:p>
        </w:tc>
        <w:tc>
          <w:tcPr>
            <w:tcW w:w="967" w:type="dxa"/>
            <w:vAlign w:val="center"/>
          </w:tcPr>
          <w:p w14:paraId="18DCA5C8">
            <w:pPr>
              <w:jc w:val="center"/>
              <w:rPr>
                <w:bCs/>
                <w:szCs w:val="21"/>
              </w:rPr>
            </w:pPr>
          </w:p>
        </w:tc>
      </w:tr>
      <w:tr w14:paraId="37F4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0" w:type="dxa"/>
            <w:gridSpan w:val="11"/>
            <w:vAlign w:val="center"/>
          </w:tcPr>
          <w:p w14:paraId="2A83F617">
            <w:pPr>
              <w:jc w:val="center"/>
              <w:rPr>
                <w:bCs/>
                <w:szCs w:val="21"/>
              </w:rPr>
            </w:pPr>
          </w:p>
        </w:tc>
      </w:tr>
      <w:tr w14:paraId="2CC4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257557D9">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restart"/>
            <w:vAlign w:val="center"/>
          </w:tcPr>
          <w:p w14:paraId="6C589E08">
            <w:pPr>
              <w:jc w:val="center"/>
              <w:rPr>
                <w:bCs/>
                <w:szCs w:val="21"/>
              </w:rPr>
            </w:pPr>
          </w:p>
        </w:tc>
        <w:tc>
          <w:tcPr>
            <w:tcW w:w="1440" w:type="dxa"/>
            <w:shd w:val="clear" w:color="auto" w:fill="auto"/>
            <w:vAlign w:val="center"/>
          </w:tcPr>
          <w:p w14:paraId="7B176905">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7EC2FC3">
            <w:pPr>
              <w:widowControl/>
              <w:jc w:val="center"/>
              <w:textAlignment w:val="center"/>
              <w:rPr>
                <w:bCs/>
                <w:szCs w:val="21"/>
              </w:rPr>
            </w:pPr>
          </w:p>
        </w:tc>
        <w:tc>
          <w:tcPr>
            <w:tcW w:w="792" w:type="dxa"/>
            <w:vAlign w:val="center"/>
          </w:tcPr>
          <w:p w14:paraId="14794822">
            <w:pPr>
              <w:widowControl/>
              <w:adjustRightInd w:val="0"/>
              <w:snapToGrid w:val="0"/>
              <w:jc w:val="center"/>
              <w:rPr>
                <w:bCs/>
                <w:szCs w:val="21"/>
              </w:rPr>
            </w:pPr>
          </w:p>
        </w:tc>
        <w:tc>
          <w:tcPr>
            <w:tcW w:w="696" w:type="dxa"/>
            <w:vAlign w:val="center"/>
          </w:tcPr>
          <w:p w14:paraId="34492C20">
            <w:pPr>
              <w:jc w:val="center"/>
              <w:rPr>
                <w:bCs/>
                <w:szCs w:val="21"/>
              </w:rPr>
            </w:pPr>
          </w:p>
        </w:tc>
        <w:tc>
          <w:tcPr>
            <w:tcW w:w="552" w:type="dxa"/>
            <w:vAlign w:val="center"/>
          </w:tcPr>
          <w:p w14:paraId="43788617">
            <w:pPr>
              <w:jc w:val="center"/>
              <w:rPr>
                <w:bCs/>
                <w:szCs w:val="21"/>
              </w:rPr>
            </w:pPr>
          </w:p>
        </w:tc>
        <w:tc>
          <w:tcPr>
            <w:tcW w:w="636" w:type="dxa"/>
            <w:shd w:val="clear" w:color="auto" w:fill="auto"/>
            <w:vAlign w:val="center"/>
          </w:tcPr>
          <w:p w14:paraId="31C1AC4E">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E6B6046">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D2FF024">
            <w:pPr>
              <w:jc w:val="center"/>
              <w:rPr>
                <w:bCs/>
                <w:szCs w:val="21"/>
              </w:rPr>
            </w:pPr>
          </w:p>
        </w:tc>
        <w:tc>
          <w:tcPr>
            <w:tcW w:w="967" w:type="dxa"/>
            <w:vAlign w:val="center"/>
          </w:tcPr>
          <w:p w14:paraId="7618AD20">
            <w:pPr>
              <w:jc w:val="center"/>
              <w:rPr>
                <w:bCs/>
                <w:szCs w:val="21"/>
              </w:rPr>
            </w:pPr>
          </w:p>
        </w:tc>
      </w:tr>
      <w:tr w14:paraId="5829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9FB3C9D">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7850012C">
            <w:pPr>
              <w:jc w:val="center"/>
              <w:rPr>
                <w:bCs/>
                <w:szCs w:val="21"/>
              </w:rPr>
            </w:pPr>
          </w:p>
        </w:tc>
        <w:tc>
          <w:tcPr>
            <w:tcW w:w="1440" w:type="dxa"/>
            <w:shd w:val="clear" w:color="auto" w:fill="auto"/>
            <w:vAlign w:val="center"/>
          </w:tcPr>
          <w:p w14:paraId="01B4E695">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CFF0314">
            <w:pPr>
              <w:widowControl/>
              <w:jc w:val="center"/>
              <w:textAlignment w:val="center"/>
              <w:rPr>
                <w:bCs/>
                <w:szCs w:val="21"/>
              </w:rPr>
            </w:pPr>
          </w:p>
        </w:tc>
        <w:tc>
          <w:tcPr>
            <w:tcW w:w="792" w:type="dxa"/>
            <w:vAlign w:val="center"/>
          </w:tcPr>
          <w:p w14:paraId="40608496">
            <w:pPr>
              <w:widowControl/>
              <w:adjustRightInd w:val="0"/>
              <w:snapToGrid w:val="0"/>
              <w:jc w:val="center"/>
              <w:rPr>
                <w:bCs/>
                <w:szCs w:val="21"/>
              </w:rPr>
            </w:pPr>
          </w:p>
        </w:tc>
        <w:tc>
          <w:tcPr>
            <w:tcW w:w="696" w:type="dxa"/>
            <w:vAlign w:val="center"/>
          </w:tcPr>
          <w:p w14:paraId="0E8BC456">
            <w:pPr>
              <w:jc w:val="center"/>
              <w:rPr>
                <w:bCs/>
                <w:szCs w:val="21"/>
              </w:rPr>
            </w:pPr>
          </w:p>
        </w:tc>
        <w:tc>
          <w:tcPr>
            <w:tcW w:w="552" w:type="dxa"/>
            <w:vAlign w:val="center"/>
          </w:tcPr>
          <w:p w14:paraId="7D67F910">
            <w:pPr>
              <w:jc w:val="center"/>
              <w:rPr>
                <w:bCs/>
                <w:szCs w:val="21"/>
              </w:rPr>
            </w:pPr>
          </w:p>
        </w:tc>
        <w:tc>
          <w:tcPr>
            <w:tcW w:w="636" w:type="dxa"/>
            <w:shd w:val="clear" w:color="auto" w:fill="auto"/>
            <w:vAlign w:val="center"/>
          </w:tcPr>
          <w:p w14:paraId="4F301BAE">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7D8A2AA">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C222B0A">
            <w:pPr>
              <w:jc w:val="center"/>
              <w:rPr>
                <w:bCs/>
                <w:szCs w:val="21"/>
              </w:rPr>
            </w:pPr>
          </w:p>
        </w:tc>
        <w:tc>
          <w:tcPr>
            <w:tcW w:w="967" w:type="dxa"/>
            <w:vAlign w:val="center"/>
          </w:tcPr>
          <w:p w14:paraId="372ACB0B">
            <w:pPr>
              <w:jc w:val="center"/>
              <w:rPr>
                <w:bCs/>
                <w:szCs w:val="21"/>
              </w:rPr>
            </w:pPr>
          </w:p>
        </w:tc>
      </w:tr>
      <w:tr w14:paraId="67B6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17F98186">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21899BAE">
            <w:pPr>
              <w:jc w:val="center"/>
              <w:rPr>
                <w:bCs/>
                <w:szCs w:val="21"/>
              </w:rPr>
            </w:pPr>
          </w:p>
        </w:tc>
        <w:tc>
          <w:tcPr>
            <w:tcW w:w="1440" w:type="dxa"/>
            <w:shd w:val="clear" w:color="auto" w:fill="auto"/>
            <w:vAlign w:val="center"/>
          </w:tcPr>
          <w:p w14:paraId="7F854FC7">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D62241A">
            <w:pPr>
              <w:widowControl/>
              <w:jc w:val="center"/>
              <w:textAlignment w:val="center"/>
              <w:rPr>
                <w:bCs/>
                <w:szCs w:val="21"/>
              </w:rPr>
            </w:pPr>
          </w:p>
        </w:tc>
        <w:tc>
          <w:tcPr>
            <w:tcW w:w="792" w:type="dxa"/>
            <w:vAlign w:val="center"/>
          </w:tcPr>
          <w:p w14:paraId="388F1ACB">
            <w:pPr>
              <w:widowControl/>
              <w:adjustRightInd w:val="0"/>
              <w:snapToGrid w:val="0"/>
              <w:jc w:val="center"/>
              <w:rPr>
                <w:bCs/>
                <w:szCs w:val="21"/>
              </w:rPr>
            </w:pPr>
          </w:p>
        </w:tc>
        <w:tc>
          <w:tcPr>
            <w:tcW w:w="696" w:type="dxa"/>
            <w:vAlign w:val="center"/>
          </w:tcPr>
          <w:p w14:paraId="47837D5C">
            <w:pPr>
              <w:jc w:val="center"/>
              <w:rPr>
                <w:bCs/>
                <w:szCs w:val="21"/>
              </w:rPr>
            </w:pPr>
          </w:p>
        </w:tc>
        <w:tc>
          <w:tcPr>
            <w:tcW w:w="552" w:type="dxa"/>
            <w:vAlign w:val="center"/>
          </w:tcPr>
          <w:p w14:paraId="0A658F97">
            <w:pPr>
              <w:jc w:val="center"/>
              <w:rPr>
                <w:bCs/>
                <w:szCs w:val="21"/>
              </w:rPr>
            </w:pPr>
          </w:p>
        </w:tc>
        <w:tc>
          <w:tcPr>
            <w:tcW w:w="636" w:type="dxa"/>
            <w:shd w:val="clear" w:color="auto" w:fill="auto"/>
            <w:vAlign w:val="center"/>
          </w:tcPr>
          <w:p w14:paraId="20BFF9B1">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15D0266E">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38AF15C6">
            <w:pPr>
              <w:jc w:val="center"/>
              <w:rPr>
                <w:bCs/>
                <w:szCs w:val="21"/>
              </w:rPr>
            </w:pPr>
          </w:p>
        </w:tc>
        <w:tc>
          <w:tcPr>
            <w:tcW w:w="967" w:type="dxa"/>
            <w:vAlign w:val="center"/>
          </w:tcPr>
          <w:p w14:paraId="0B1B8ADE">
            <w:pPr>
              <w:jc w:val="center"/>
              <w:rPr>
                <w:bCs/>
                <w:szCs w:val="21"/>
              </w:rPr>
            </w:pPr>
          </w:p>
        </w:tc>
      </w:tr>
      <w:tr w14:paraId="4BB6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9F7A876">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0859B7CB">
            <w:pPr>
              <w:jc w:val="center"/>
              <w:rPr>
                <w:bCs/>
                <w:szCs w:val="21"/>
              </w:rPr>
            </w:pPr>
          </w:p>
        </w:tc>
        <w:tc>
          <w:tcPr>
            <w:tcW w:w="1440" w:type="dxa"/>
            <w:shd w:val="clear" w:color="auto" w:fill="auto"/>
            <w:vAlign w:val="center"/>
          </w:tcPr>
          <w:p w14:paraId="20DCCA6A">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79641B56">
            <w:pPr>
              <w:widowControl/>
              <w:jc w:val="center"/>
              <w:textAlignment w:val="center"/>
              <w:rPr>
                <w:bCs/>
                <w:szCs w:val="21"/>
              </w:rPr>
            </w:pPr>
          </w:p>
        </w:tc>
        <w:tc>
          <w:tcPr>
            <w:tcW w:w="792" w:type="dxa"/>
            <w:vAlign w:val="center"/>
          </w:tcPr>
          <w:p w14:paraId="034E6200">
            <w:pPr>
              <w:widowControl/>
              <w:adjustRightInd w:val="0"/>
              <w:snapToGrid w:val="0"/>
              <w:jc w:val="center"/>
              <w:rPr>
                <w:bCs/>
                <w:szCs w:val="21"/>
              </w:rPr>
            </w:pPr>
          </w:p>
        </w:tc>
        <w:tc>
          <w:tcPr>
            <w:tcW w:w="696" w:type="dxa"/>
            <w:vAlign w:val="center"/>
          </w:tcPr>
          <w:p w14:paraId="38ED84D6">
            <w:pPr>
              <w:jc w:val="center"/>
              <w:rPr>
                <w:bCs/>
                <w:szCs w:val="21"/>
              </w:rPr>
            </w:pPr>
          </w:p>
        </w:tc>
        <w:tc>
          <w:tcPr>
            <w:tcW w:w="552" w:type="dxa"/>
            <w:vAlign w:val="center"/>
          </w:tcPr>
          <w:p w14:paraId="50EBE9D1">
            <w:pPr>
              <w:jc w:val="center"/>
              <w:rPr>
                <w:bCs/>
                <w:szCs w:val="21"/>
              </w:rPr>
            </w:pPr>
          </w:p>
        </w:tc>
        <w:tc>
          <w:tcPr>
            <w:tcW w:w="636" w:type="dxa"/>
            <w:shd w:val="clear" w:color="auto" w:fill="auto"/>
            <w:vAlign w:val="center"/>
          </w:tcPr>
          <w:p w14:paraId="1BEFAF69">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86EBE5A">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C08978C">
            <w:pPr>
              <w:jc w:val="center"/>
              <w:rPr>
                <w:bCs/>
                <w:szCs w:val="21"/>
              </w:rPr>
            </w:pPr>
          </w:p>
        </w:tc>
        <w:tc>
          <w:tcPr>
            <w:tcW w:w="967" w:type="dxa"/>
            <w:vAlign w:val="center"/>
          </w:tcPr>
          <w:p w14:paraId="07C0C3C7">
            <w:pPr>
              <w:jc w:val="center"/>
              <w:rPr>
                <w:bCs/>
                <w:szCs w:val="21"/>
              </w:rPr>
            </w:pPr>
          </w:p>
        </w:tc>
      </w:tr>
      <w:tr w14:paraId="29C6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7DAD7D9E">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17A906E4">
            <w:pPr>
              <w:jc w:val="center"/>
              <w:rPr>
                <w:bCs/>
                <w:szCs w:val="21"/>
              </w:rPr>
            </w:pPr>
          </w:p>
        </w:tc>
        <w:tc>
          <w:tcPr>
            <w:tcW w:w="1440" w:type="dxa"/>
            <w:shd w:val="clear" w:color="auto" w:fill="auto"/>
            <w:vAlign w:val="center"/>
          </w:tcPr>
          <w:p w14:paraId="160F4DAE">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9BACE13">
            <w:pPr>
              <w:widowControl/>
              <w:jc w:val="center"/>
              <w:textAlignment w:val="center"/>
              <w:rPr>
                <w:bCs/>
                <w:szCs w:val="21"/>
              </w:rPr>
            </w:pPr>
          </w:p>
        </w:tc>
        <w:tc>
          <w:tcPr>
            <w:tcW w:w="792" w:type="dxa"/>
            <w:vAlign w:val="center"/>
          </w:tcPr>
          <w:p w14:paraId="34BF491A">
            <w:pPr>
              <w:widowControl/>
              <w:adjustRightInd w:val="0"/>
              <w:snapToGrid w:val="0"/>
              <w:jc w:val="center"/>
              <w:rPr>
                <w:bCs/>
                <w:szCs w:val="21"/>
              </w:rPr>
            </w:pPr>
          </w:p>
        </w:tc>
        <w:tc>
          <w:tcPr>
            <w:tcW w:w="696" w:type="dxa"/>
            <w:vAlign w:val="center"/>
          </w:tcPr>
          <w:p w14:paraId="504F9D96">
            <w:pPr>
              <w:jc w:val="center"/>
              <w:rPr>
                <w:bCs/>
                <w:szCs w:val="21"/>
              </w:rPr>
            </w:pPr>
          </w:p>
        </w:tc>
        <w:tc>
          <w:tcPr>
            <w:tcW w:w="552" w:type="dxa"/>
            <w:vAlign w:val="center"/>
          </w:tcPr>
          <w:p w14:paraId="0862B3D4">
            <w:pPr>
              <w:jc w:val="center"/>
              <w:rPr>
                <w:bCs/>
                <w:szCs w:val="21"/>
              </w:rPr>
            </w:pPr>
          </w:p>
        </w:tc>
        <w:tc>
          <w:tcPr>
            <w:tcW w:w="636" w:type="dxa"/>
            <w:shd w:val="clear" w:color="auto" w:fill="auto"/>
            <w:vAlign w:val="center"/>
          </w:tcPr>
          <w:p w14:paraId="55FC6E0C">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EFCF43A">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138220C">
            <w:pPr>
              <w:jc w:val="center"/>
              <w:rPr>
                <w:bCs/>
                <w:szCs w:val="21"/>
              </w:rPr>
            </w:pPr>
          </w:p>
        </w:tc>
        <w:tc>
          <w:tcPr>
            <w:tcW w:w="967" w:type="dxa"/>
            <w:vAlign w:val="center"/>
          </w:tcPr>
          <w:p w14:paraId="5B4CC91B">
            <w:pPr>
              <w:jc w:val="center"/>
              <w:rPr>
                <w:bCs/>
                <w:szCs w:val="21"/>
              </w:rPr>
            </w:pPr>
          </w:p>
        </w:tc>
      </w:tr>
      <w:tr w14:paraId="0AE5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0ABE1CD">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63693F05">
            <w:pPr>
              <w:jc w:val="center"/>
              <w:rPr>
                <w:bCs/>
                <w:szCs w:val="21"/>
              </w:rPr>
            </w:pPr>
          </w:p>
        </w:tc>
        <w:tc>
          <w:tcPr>
            <w:tcW w:w="1440" w:type="dxa"/>
            <w:shd w:val="clear" w:color="auto" w:fill="auto"/>
            <w:vAlign w:val="center"/>
          </w:tcPr>
          <w:p w14:paraId="6386B3A9">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18DB9E9">
            <w:pPr>
              <w:widowControl/>
              <w:jc w:val="center"/>
              <w:textAlignment w:val="center"/>
              <w:rPr>
                <w:bCs/>
                <w:szCs w:val="21"/>
              </w:rPr>
            </w:pPr>
          </w:p>
        </w:tc>
        <w:tc>
          <w:tcPr>
            <w:tcW w:w="792" w:type="dxa"/>
            <w:vAlign w:val="center"/>
          </w:tcPr>
          <w:p w14:paraId="5E5F4619">
            <w:pPr>
              <w:widowControl/>
              <w:adjustRightInd w:val="0"/>
              <w:snapToGrid w:val="0"/>
              <w:jc w:val="center"/>
              <w:rPr>
                <w:bCs/>
                <w:szCs w:val="21"/>
              </w:rPr>
            </w:pPr>
          </w:p>
        </w:tc>
        <w:tc>
          <w:tcPr>
            <w:tcW w:w="696" w:type="dxa"/>
            <w:vAlign w:val="center"/>
          </w:tcPr>
          <w:p w14:paraId="6F4B37E7">
            <w:pPr>
              <w:jc w:val="center"/>
              <w:rPr>
                <w:bCs/>
                <w:szCs w:val="21"/>
              </w:rPr>
            </w:pPr>
          </w:p>
        </w:tc>
        <w:tc>
          <w:tcPr>
            <w:tcW w:w="552" w:type="dxa"/>
            <w:vAlign w:val="center"/>
          </w:tcPr>
          <w:p w14:paraId="5061A8BD">
            <w:pPr>
              <w:jc w:val="center"/>
              <w:rPr>
                <w:bCs/>
                <w:szCs w:val="21"/>
              </w:rPr>
            </w:pPr>
          </w:p>
        </w:tc>
        <w:tc>
          <w:tcPr>
            <w:tcW w:w="636" w:type="dxa"/>
            <w:shd w:val="clear" w:color="auto" w:fill="auto"/>
            <w:vAlign w:val="center"/>
          </w:tcPr>
          <w:p w14:paraId="01E1ABE0">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4C0A544">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E3231CC">
            <w:pPr>
              <w:jc w:val="center"/>
              <w:rPr>
                <w:bCs/>
                <w:szCs w:val="21"/>
              </w:rPr>
            </w:pPr>
          </w:p>
        </w:tc>
        <w:tc>
          <w:tcPr>
            <w:tcW w:w="967" w:type="dxa"/>
            <w:vAlign w:val="center"/>
          </w:tcPr>
          <w:p w14:paraId="168F8522">
            <w:pPr>
              <w:jc w:val="center"/>
              <w:rPr>
                <w:bCs/>
                <w:szCs w:val="21"/>
              </w:rPr>
            </w:pPr>
          </w:p>
        </w:tc>
      </w:tr>
      <w:tr w14:paraId="3F7C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2D5DCFEA">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2F4A90C5">
            <w:pPr>
              <w:jc w:val="center"/>
              <w:rPr>
                <w:bCs/>
                <w:szCs w:val="21"/>
              </w:rPr>
            </w:pPr>
          </w:p>
        </w:tc>
        <w:tc>
          <w:tcPr>
            <w:tcW w:w="1440" w:type="dxa"/>
            <w:shd w:val="clear" w:color="auto" w:fill="auto"/>
            <w:vAlign w:val="center"/>
          </w:tcPr>
          <w:p w14:paraId="79E10D63">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0F50DC7B">
            <w:pPr>
              <w:widowControl/>
              <w:jc w:val="center"/>
              <w:textAlignment w:val="center"/>
              <w:rPr>
                <w:bCs/>
                <w:szCs w:val="21"/>
              </w:rPr>
            </w:pPr>
          </w:p>
        </w:tc>
        <w:tc>
          <w:tcPr>
            <w:tcW w:w="792" w:type="dxa"/>
            <w:vAlign w:val="center"/>
          </w:tcPr>
          <w:p w14:paraId="2703DDFC">
            <w:pPr>
              <w:widowControl/>
              <w:adjustRightInd w:val="0"/>
              <w:snapToGrid w:val="0"/>
              <w:jc w:val="center"/>
              <w:rPr>
                <w:bCs/>
                <w:szCs w:val="21"/>
              </w:rPr>
            </w:pPr>
          </w:p>
        </w:tc>
        <w:tc>
          <w:tcPr>
            <w:tcW w:w="696" w:type="dxa"/>
            <w:vAlign w:val="center"/>
          </w:tcPr>
          <w:p w14:paraId="3F45BD83">
            <w:pPr>
              <w:jc w:val="center"/>
              <w:rPr>
                <w:bCs/>
                <w:szCs w:val="21"/>
              </w:rPr>
            </w:pPr>
          </w:p>
        </w:tc>
        <w:tc>
          <w:tcPr>
            <w:tcW w:w="552" w:type="dxa"/>
            <w:vAlign w:val="center"/>
          </w:tcPr>
          <w:p w14:paraId="74CE1278">
            <w:pPr>
              <w:jc w:val="center"/>
              <w:rPr>
                <w:bCs/>
                <w:szCs w:val="21"/>
              </w:rPr>
            </w:pPr>
          </w:p>
        </w:tc>
        <w:tc>
          <w:tcPr>
            <w:tcW w:w="636" w:type="dxa"/>
            <w:shd w:val="clear" w:color="auto" w:fill="auto"/>
            <w:vAlign w:val="center"/>
          </w:tcPr>
          <w:p w14:paraId="783332D0">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46B2B022">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08445931">
            <w:pPr>
              <w:jc w:val="center"/>
              <w:rPr>
                <w:bCs/>
                <w:szCs w:val="21"/>
              </w:rPr>
            </w:pPr>
          </w:p>
        </w:tc>
        <w:tc>
          <w:tcPr>
            <w:tcW w:w="967" w:type="dxa"/>
            <w:vAlign w:val="center"/>
          </w:tcPr>
          <w:p w14:paraId="50B64729">
            <w:pPr>
              <w:jc w:val="center"/>
              <w:rPr>
                <w:bCs/>
                <w:szCs w:val="21"/>
              </w:rPr>
            </w:pPr>
          </w:p>
        </w:tc>
      </w:tr>
      <w:tr w14:paraId="109C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5C08D0CC">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52BD1C21">
            <w:pPr>
              <w:jc w:val="center"/>
              <w:rPr>
                <w:bCs/>
                <w:szCs w:val="21"/>
              </w:rPr>
            </w:pPr>
          </w:p>
        </w:tc>
        <w:tc>
          <w:tcPr>
            <w:tcW w:w="1440" w:type="dxa"/>
            <w:shd w:val="clear" w:color="auto" w:fill="auto"/>
            <w:vAlign w:val="center"/>
          </w:tcPr>
          <w:p w14:paraId="1FF0545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ED9B41A">
            <w:pPr>
              <w:widowControl/>
              <w:jc w:val="center"/>
              <w:textAlignment w:val="center"/>
              <w:rPr>
                <w:bCs/>
                <w:szCs w:val="21"/>
              </w:rPr>
            </w:pPr>
          </w:p>
        </w:tc>
        <w:tc>
          <w:tcPr>
            <w:tcW w:w="792" w:type="dxa"/>
            <w:vAlign w:val="center"/>
          </w:tcPr>
          <w:p w14:paraId="6C05D34D">
            <w:pPr>
              <w:widowControl/>
              <w:adjustRightInd w:val="0"/>
              <w:snapToGrid w:val="0"/>
              <w:jc w:val="center"/>
              <w:rPr>
                <w:bCs/>
                <w:szCs w:val="21"/>
              </w:rPr>
            </w:pPr>
          </w:p>
        </w:tc>
        <w:tc>
          <w:tcPr>
            <w:tcW w:w="696" w:type="dxa"/>
            <w:vAlign w:val="center"/>
          </w:tcPr>
          <w:p w14:paraId="37EDE7EB">
            <w:pPr>
              <w:jc w:val="center"/>
              <w:rPr>
                <w:bCs/>
                <w:szCs w:val="21"/>
              </w:rPr>
            </w:pPr>
          </w:p>
        </w:tc>
        <w:tc>
          <w:tcPr>
            <w:tcW w:w="552" w:type="dxa"/>
            <w:vAlign w:val="center"/>
          </w:tcPr>
          <w:p w14:paraId="58ADA5E6">
            <w:pPr>
              <w:jc w:val="center"/>
              <w:rPr>
                <w:bCs/>
                <w:szCs w:val="21"/>
              </w:rPr>
            </w:pPr>
          </w:p>
        </w:tc>
        <w:tc>
          <w:tcPr>
            <w:tcW w:w="636" w:type="dxa"/>
            <w:shd w:val="clear" w:color="auto" w:fill="auto"/>
            <w:vAlign w:val="center"/>
          </w:tcPr>
          <w:p w14:paraId="18464305">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F05743F">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1F34F666">
            <w:pPr>
              <w:jc w:val="center"/>
              <w:rPr>
                <w:bCs/>
                <w:szCs w:val="21"/>
              </w:rPr>
            </w:pPr>
          </w:p>
        </w:tc>
        <w:tc>
          <w:tcPr>
            <w:tcW w:w="967" w:type="dxa"/>
            <w:vAlign w:val="center"/>
          </w:tcPr>
          <w:p w14:paraId="45EE417A">
            <w:pPr>
              <w:jc w:val="center"/>
              <w:rPr>
                <w:bCs/>
                <w:szCs w:val="21"/>
              </w:rPr>
            </w:pPr>
          </w:p>
        </w:tc>
      </w:tr>
      <w:tr w14:paraId="0E95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E292B7A">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4797C248">
            <w:pPr>
              <w:jc w:val="center"/>
              <w:rPr>
                <w:bCs/>
                <w:szCs w:val="21"/>
              </w:rPr>
            </w:pPr>
          </w:p>
        </w:tc>
        <w:tc>
          <w:tcPr>
            <w:tcW w:w="1440" w:type="dxa"/>
            <w:shd w:val="clear" w:color="auto" w:fill="auto"/>
            <w:vAlign w:val="center"/>
          </w:tcPr>
          <w:p w14:paraId="53D51EB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2F493DAB">
            <w:pPr>
              <w:widowControl/>
              <w:jc w:val="center"/>
              <w:textAlignment w:val="center"/>
              <w:rPr>
                <w:bCs/>
                <w:szCs w:val="21"/>
              </w:rPr>
            </w:pPr>
          </w:p>
        </w:tc>
        <w:tc>
          <w:tcPr>
            <w:tcW w:w="792" w:type="dxa"/>
            <w:vAlign w:val="center"/>
          </w:tcPr>
          <w:p w14:paraId="2113BD3A">
            <w:pPr>
              <w:widowControl/>
              <w:adjustRightInd w:val="0"/>
              <w:snapToGrid w:val="0"/>
              <w:jc w:val="center"/>
              <w:rPr>
                <w:bCs/>
                <w:szCs w:val="21"/>
              </w:rPr>
            </w:pPr>
          </w:p>
        </w:tc>
        <w:tc>
          <w:tcPr>
            <w:tcW w:w="696" w:type="dxa"/>
            <w:vAlign w:val="center"/>
          </w:tcPr>
          <w:p w14:paraId="0607645B">
            <w:pPr>
              <w:jc w:val="center"/>
              <w:rPr>
                <w:bCs/>
                <w:szCs w:val="21"/>
              </w:rPr>
            </w:pPr>
          </w:p>
        </w:tc>
        <w:tc>
          <w:tcPr>
            <w:tcW w:w="552" w:type="dxa"/>
            <w:vAlign w:val="center"/>
          </w:tcPr>
          <w:p w14:paraId="31FCFF20">
            <w:pPr>
              <w:jc w:val="center"/>
              <w:rPr>
                <w:bCs/>
                <w:szCs w:val="21"/>
              </w:rPr>
            </w:pPr>
          </w:p>
        </w:tc>
        <w:tc>
          <w:tcPr>
            <w:tcW w:w="636" w:type="dxa"/>
            <w:shd w:val="clear" w:color="auto" w:fill="auto"/>
            <w:vAlign w:val="center"/>
          </w:tcPr>
          <w:p w14:paraId="4F681DF4">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83663C9">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36422296">
            <w:pPr>
              <w:jc w:val="center"/>
              <w:rPr>
                <w:bCs/>
                <w:szCs w:val="21"/>
              </w:rPr>
            </w:pPr>
          </w:p>
        </w:tc>
        <w:tc>
          <w:tcPr>
            <w:tcW w:w="967" w:type="dxa"/>
            <w:vAlign w:val="center"/>
          </w:tcPr>
          <w:p w14:paraId="6BFB6002">
            <w:pPr>
              <w:jc w:val="center"/>
              <w:rPr>
                <w:bCs/>
                <w:szCs w:val="21"/>
              </w:rPr>
            </w:pPr>
          </w:p>
        </w:tc>
      </w:tr>
      <w:tr w14:paraId="66F4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74DAA419">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477A09E1">
            <w:pPr>
              <w:jc w:val="center"/>
              <w:rPr>
                <w:bCs/>
                <w:szCs w:val="21"/>
              </w:rPr>
            </w:pPr>
          </w:p>
        </w:tc>
        <w:tc>
          <w:tcPr>
            <w:tcW w:w="1440" w:type="dxa"/>
            <w:shd w:val="clear" w:color="auto" w:fill="auto"/>
            <w:vAlign w:val="center"/>
          </w:tcPr>
          <w:p w14:paraId="7BF6F92F">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D958247">
            <w:pPr>
              <w:widowControl/>
              <w:jc w:val="center"/>
              <w:textAlignment w:val="center"/>
              <w:rPr>
                <w:bCs/>
                <w:szCs w:val="21"/>
              </w:rPr>
            </w:pPr>
          </w:p>
        </w:tc>
        <w:tc>
          <w:tcPr>
            <w:tcW w:w="792" w:type="dxa"/>
            <w:vAlign w:val="center"/>
          </w:tcPr>
          <w:p w14:paraId="182D6D8D">
            <w:pPr>
              <w:widowControl/>
              <w:adjustRightInd w:val="0"/>
              <w:snapToGrid w:val="0"/>
              <w:jc w:val="center"/>
              <w:rPr>
                <w:bCs/>
                <w:szCs w:val="21"/>
              </w:rPr>
            </w:pPr>
          </w:p>
        </w:tc>
        <w:tc>
          <w:tcPr>
            <w:tcW w:w="696" w:type="dxa"/>
            <w:vAlign w:val="center"/>
          </w:tcPr>
          <w:p w14:paraId="5A6CD14E">
            <w:pPr>
              <w:jc w:val="center"/>
              <w:rPr>
                <w:bCs/>
                <w:szCs w:val="21"/>
              </w:rPr>
            </w:pPr>
          </w:p>
        </w:tc>
        <w:tc>
          <w:tcPr>
            <w:tcW w:w="552" w:type="dxa"/>
            <w:vAlign w:val="center"/>
          </w:tcPr>
          <w:p w14:paraId="598EA5A2">
            <w:pPr>
              <w:jc w:val="center"/>
              <w:rPr>
                <w:bCs/>
                <w:szCs w:val="21"/>
              </w:rPr>
            </w:pPr>
          </w:p>
        </w:tc>
        <w:tc>
          <w:tcPr>
            <w:tcW w:w="636" w:type="dxa"/>
            <w:shd w:val="clear" w:color="auto" w:fill="auto"/>
            <w:vAlign w:val="center"/>
          </w:tcPr>
          <w:p w14:paraId="0C18A18D">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77484049">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D29D668">
            <w:pPr>
              <w:jc w:val="center"/>
              <w:rPr>
                <w:bCs/>
                <w:szCs w:val="21"/>
              </w:rPr>
            </w:pPr>
          </w:p>
        </w:tc>
        <w:tc>
          <w:tcPr>
            <w:tcW w:w="967" w:type="dxa"/>
            <w:vAlign w:val="center"/>
          </w:tcPr>
          <w:p w14:paraId="7CCCFD87">
            <w:pPr>
              <w:jc w:val="center"/>
              <w:rPr>
                <w:bCs/>
                <w:szCs w:val="21"/>
              </w:rPr>
            </w:pPr>
          </w:p>
        </w:tc>
      </w:tr>
      <w:tr w14:paraId="0252981A">
        <w:tblPrEx>
          <w:tblCellMar>
            <w:top w:w="0" w:type="dxa"/>
            <w:left w:w="108" w:type="dxa"/>
            <w:bottom w:w="0" w:type="dxa"/>
            <w:right w:w="108" w:type="dxa"/>
          </w:tblCellMar>
        </w:tblPrEx>
        <w:trPr>
          <w:jc w:val="center"/>
        </w:trPr>
        <w:tc>
          <w:tcPr>
            <w:tcW w:w="561" w:type="dxa"/>
            <w:shd w:val="clear" w:color="auto" w:fill="auto"/>
            <w:vAlign w:val="center"/>
          </w:tcPr>
          <w:p w14:paraId="64D03913">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4E780D36">
            <w:pPr>
              <w:jc w:val="center"/>
              <w:rPr>
                <w:bCs/>
                <w:szCs w:val="21"/>
              </w:rPr>
            </w:pPr>
          </w:p>
        </w:tc>
        <w:tc>
          <w:tcPr>
            <w:tcW w:w="1440" w:type="dxa"/>
            <w:shd w:val="clear" w:color="auto" w:fill="auto"/>
            <w:vAlign w:val="center"/>
          </w:tcPr>
          <w:p w14:paraId="3A95E8C7">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16CC3754">
            <w:pPr>
              <w:widowControl/>
              <w:jc w:val="center"/>
              <w:textAlignment w:val="center"/>
              <w:rPr>
                <w:bCs/>
                <w:szCs w:val="21"/>
              </w:rPr>
            </w:pPr>
          </w:p>
        </w:tc>
        <w:tc>
          <w:tcPr>
            <w:tcW w:w="792" w:type="dxa"/>
            <w:vAlign w:val="center"/>
          </w:tcPr>
          <w:p w14:paraId="7C0EA8F1">
            <w:pPr>
              <w:widowControl/>
              <w:adjustRightInd w:val="0"/>
              <w:snapToGrid w:val="0"/>
              <w:jc w:val="center"/>
              <w:rPr>
                <w:bCs/>
                <w:szCs w:val="21"/>
              </w:rPr>
            </w:pPr>
          </w:p>
        </w:tc>
        <w:tc>
          <w:tcPr>
            <w:tcW w:w="696" w:type="dxa"/>
            <w:vAlign w:val="center"/>
          </w:tcPr>
          <w:p w14:paraId="21AF67F2">
            <w:pPr>
              <w:jc w:val="center"/>
              <w:rPr>
                <w:bCs/>
                <w:szCs w:val="21"/>
              </w:rPr>
            </w:pPr>
          </w:p>
        </w:tc>
        <w:tc>
          <w:tcPr>
            <w:tcW w:w="552" w:type="dxa"/>
            <w:vAlign w:val="center"/>
          </w:tcPr>
          <w:p w14:paraId="6092900E">
            <w:pPr>
              <w:jc w:val="center"/>
              <w:rPr>
                <w:bCs/>
                <w:szCs w:val="21"/>
              </w:rPr>
            </w:pPr>
          </w:p>
        </w:tc>
        <w:tc>
          <w:tcPr>
            <w:tcW w:w="636" w:type="dxa"/>
            <w:shd w:val="clear" w:color="auto" w:fill="auto"/>
            <w:vAlign w:val="center"/>
          </w:tcPr>
          <w:p w14:paraId="01464DE7">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C809427">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97EBE71">
            <w:pPr>
              <w:jc w:val="center"/>
              <w:rPr>
                <w:bCs/>
                <w:szCs w:val="21"/>
              </w:rPr>
            </w:pPr>
          </w:p>
        </w:tc>
        <w:tc>
          <w:tcPr>
            <w:tcW w:w="967" w:type="dxa"/>
            <w:vAlign w:val="center"/>
          </w:tcPr>
          <w:p w14:paraId="3B747B24">
            <w:pPr>
              <w:jc w:val="center"/>
              <w:rPr>
                <w:bCs/>
                <w:szCs w:val="21"/>
              </w:rPr>
            </w:pPr>
          </w:p>
        </w:tc>
      </w:tr>
      <w:tr w14:paraId="1A66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0E0C4F78">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506C7570">
            <w:pPr>
              <w:jc w:val="center"/>
              <w:rPr>
                <w:bCs/>
                <w:szCs w:val="21"/>
              </w:rPr>
            </w:pPr>
          </w:p>
        </w:tc>
        <w:tc>
          <w:tcPr>
            <w:tcW w:w="1440" w:type="dxa"/>
            <w:shd w:val="clear" w:color="auto" w:fill="auto"/>
            <w:vAlign w:val="center"/>
          </w:tcPr>
          <w:p w14:paraId="4E705D58">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370AA614">
            <w:pPr>
              <w:widowControl/>
              <w:jc w:val="center"/>
              <w:textAlignment w:val="center"/>
              <w:rPr>
                <w:bCs/>
                <w:szCs w:val="21"/>
              </w:rPr>
            </w:pPr>
          </w:p>
        </w:tc>
        <w:tc>
          <w:tcPr>
            <w:tcW w:w="792" w:type="dxa"/>
            <w:vAlign w:val="center"/>
          </w:tcPr>
          <w:p w14:paraId="28327BE5">
            <w:pPr>
              <w:widowControl/>
              <w:adjustRightInd w:val="0"/>
              <w:snapToGrid w:val="0"/>
              <w:jc w:val="center"/>
              <w:rPr>
                <w:bCs/>
                <w:szCs w:val="21"/>
              </w:rPr>
            </w:pPr>
          </w:p>
        </w:tc>
        <w:tc>
          <w:tcPr>
            <w:tcW w:w="696" w:type="dxa"/>
            <w:vAlign w:val="center"/>
          </w:tcPr>
          <w:p w14:paraId="23246D2E">
            <w:pPr>
              <w:jc w:val="center"/>
              <w:rPr>
                <w:bCs/>
                <w:szCs w:val="21"/>
              </w:rPr>
            </w:pPr>
          </w:p>
        </w:tc>
        <w:tc>
          <w:tcPr>
            <w:tcW w:w="552" w:type="dxa"/>
            <w:vAlign w:val="center"/>
          </w:tcPr>
          <w:p w14:paraId="4AC21155">
            <w:pPr>
              <w:jc w:val="center"/>
              <w:rPr>
                <w:bCs/>
                <w:szCs w:val="21"/>
              </w:rPr>
            </w:pPr>
          </w:p>
        </w:tc>
        <w:tc>
          <w:tcPr>
            <w:tcW w:w="636" w:type="dxa"/>
            <w:shd w:val="clear" w:color="auto" w:fill="auto"/>
            <w:vAlign w:val="center"/>
          </w:tcPr>
          <w:p w14:paraId="3675EA4F">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6DBA7A2D">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3B1A9A6">
            <w:pPr>
              <w:jc w:val="center"/>
              <w:rPr>
                <w:bCs/>
                <w:szCs w:val="21"/>
              </w:rPr>
            </w:pPr>
          </w:p>
        </w:tc>
        <w:tc>
          <w:tcPr>
            <w:tcW w:w="967" w:type="dxa"/>
            <w:vAlign w:val="center"/>
          </w:tcPr>
          <w:p w14:paraId="047E7520">
            <w:pPr>
              <w:jc w:val="center"/>
              <w:rPr>
                <w:bCs/>
                <w:szCs w:val="21"/>
              </w:rPr>
            </w:pPr>
          </w:p>
        </w:tc>
      </w:tr>
      <w:tr w14:paraId="42C6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617DB9DE">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5FF7D9F9">
            <w:pPr>
              <w:jc w:val="center"/>
              <w:rPr>
                <w:bCs/>
                <w:szCs w:val="21"/>
              </w:rPr>
            </w:pPr>
          </w:p>
        </w:tc>
        <w:tc>
          <w:tcPr>
            <w:tcW w:w="1440" w:type="dxa"/>
            <w:shd w:val="clear" w:color="auto" w:fill="auto"/>
            <w:vAlign w:val="center"/>
          </w:tcPr>
          <w:p w14:paraId="57CE082B">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14D47095">
            <w:pPr>
              <w:widowControl/>
              <w:jc w:val="center"/>
              <w:textAlignment w:val="center"/>
              <w:rPr>
                <w:bCs/>
                <w:szCs w:val="21"/>
              </w:rPr>
            </w:pPr>
          </w:p>
        </w:tc>
        <w:tc>
          <w:tcPr>
            <w:tcW w:w="792" w:type="dxa"/>
            <w:vAlign w:val="center"/>
          </w:tcPr>
          <w:p w14:paraId="38EFF501">
            <w:pPr>
              <w:widowControl/>
              <w:adjustRightInd w:val="0"/>
              <w:snapToGrid w:val="0"/>
              <w:jc w:val="center"/>
              <w:rPr>
                <w:bCs/>
                <w:szCs w:val="21"/>
              </w:rPr>
            </w:pPr>
          </w:p>
        </w:tc>
        <w:tc>
          <w:tcPr>
            <w:tcW w:w="696" w:type="dxa"/>
            <w:vAlign w:val="center"/>
          </w:tcPr>
          <w:p w14:paraId="4C73B772">
            <w:pPr>
              <w:jc w:val="center"/>
              <w:rPr>
                <w:bCs/>
                <w:szCs w:val="21"/>
              </w:rPr>
            </w:pPr>
          </w:p>
        </w:tc>
        <w:tc>
          <w:tcPr>
            <w:tcW w:w="552" w:type="dxa"/>
            <w:vAlign w:val="center"/>
          </w:tcPr>
          <w:p w14:paraId="13F76424">
            <w:pPr>
              <w:jc w:val="center"/>
              <w:rPr>
                <w:bCs/>
                <w:szCs w:val="21"/>
              </w:rPr>
            </w:pPr>
          </w:p>
        </w:tc>
        <w:tc>
          <w:tcPr>
            <w:tcW w:w="636" w:type="dxa"/>
            <w:shd w:val="clear" w:color="auto" w:fill="auto"/>
            <w:vAlign w:val="center"/>
          </w:tcPr>
          <w:p w14:paraId="34EA8D67">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5B225D06">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5EBF5724">
            <w:pPr>
              <w:jc w:val="center"/>
              <w:rPr>
                <w:bCs/>
                <w:szCs w:val="21"/>
              </w:rPr>
            </w:pPr>
          </w:p>
        </w:tc>
        <w:tc>
          <w:tcPr>
            <w:tcW w:w="967" w:type="dxa"/>
            <w:vAlign w:val="center"/>
          </w:tcPr>
          <w:p w14:paraId="31BE28E5">
            <w:pPr>
              <w:jc w:val="center"/>
              <w:rPr>
                <w:bCs/>
                <w:szCs w:val="21"/>
              </w:rPr>
            </w:pPr>
          </w:p>
        </w:tc>
      </w:tr>
      <w:tr w14:paraId="1593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454C05B0">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669CBF24">
            <w:pPr>
              <w:jc w:val="center"/>
              <w:rPr>
                <w:bCs/>
                <w:szCs w:val="21"/>
              </w:rPr>
            </w:pPr>
          </w:p>
        </w:tc>
        <w:tc>
          <w:tcPr>
            <w:tcW w:w="1440" w:type="dxa"/>
            <w:shd w:val="clear" w:color="auto" w:fill="auto"/>
            <w:vAlign w:val="center"/>
          </w:tcPr>
          <w:p w14:paraId="41F11296">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62A92981">
            <w:pPr>
              <w:widowControl/>
              <w:jc w:val="center"/>
              <w:textAlignment w:val="center"/>
              <w:rPr>
                <w:bCs/>
                <w:szCs w:val="21"/>
              </w:rPr>
            </w:pPr>
          </w:p>
        </w:tc>
        <w:tc>
          <w:tcPr>
            <w:tcW w:w="792" w:type="dxa"/>
            <w:vAlign w:val="center"/>
          </w:tcPr>
          <w:p w14:paraId="3E66DE61">
            <w:pPr>
              <w:widowControl/>
              <w:adjustRightInd w:val="0"/>
              <w:snapToGrid w:val="0"/>
              <w:jc w:val="center"/>
              <w:rPr>
                <w:bCs/>
                <w:szCs w:val="21"/>
              </w:rPr>
            </w:pPr>
          </w:p>
        </w:tc>
        <w:tc>
          <w:tcPr>
            <w:tcW w:w="696" w:type="dxa"/>
            <w:vAlign w:val="center"/>
          </w:tcPr>
          <w:p w14:paraId="1EC9CAAC">
            <w:pPr>
              <w:jc w:val="center"/>
              <w:rPr>
                <w:bCs/>
                <w:szCs w:val="21"/>
              </w:rPr>
            </w:pPr>
          </w:p>
        </w:tc>
        <w:tc>
          <w:tcPr>
            <w:tcW w:w="552" w:type="dxa"/>
            <w:vAlign w:val="center"/>
          </w:tcPr>
          <w:p w14:paraId="39963D84">
            <w:pPr>
              <w:jc w:val="center"/>
              <w:rPr>
                <w:bCs/>
                <w:szCs w:val="21"/>
              </w:rPr>
            </w:pPr>
          </w:p>
        </w:tc>
        <w:tc>
          <w:tcPr>
            <w:tcW w:w="636" w:type="dxa"/>
            <w:shd w:val="clear" w:color="auto" w:fill="auto"/>
            <w:vAlign w:val="center"/>
          </w:tcPr>
          <w:p w14:paraId="253723F7">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3B3C3F37">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7DE81C30">
            <w:pPr>
              <w:jc w:val="center"/>
              <w:rPr>
                <w:bCs/>
                <w:szCs w:val="21"/>
              </w:rPr>
            </w:pPr>
          </w:p>
        </w:tc>
        <w:tc>
          <w:tcPr>
            <w:tcW w:w="967" w:type="dxa"/>
            <w:vAlign w:val="center"/>
          </w:tcPr>
          <w:p w14:paraId="48BF896C">
            <w:pPr>
              <w:jc w:val="center"/>
              <w:rPr>
                <w:bCs/>
                <w:szCs w:val="21"/>
              </w:rPr>
            </w:pPr>
          </w:p>
        </w:tc>
      </w:tr>
      <w:tr w14:paraId="11317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 w:type="dxa"/>
            <w:shd w:val="clear" w:color="auto" w:fill="auto"/>
            <w:vAlign w:val="center"/>
          </w:tcPr>
          <w:p w14:paraId="776E0CFC">
            <w:pPr>
              <w:widowControl/>
              <w:snapToGrid w:val="0"/>
              <w:jc w:val="center"/>
              <w:textAlignment w:val="center"/>
              <w:rPr>
                <w:rFonts w:hint="eastAsia" w:ascii="新宋体" w:hAnsi="新宋体" w:eastAsia="新宋体" w:cs="新宋体"/>
                <w:color w:val="000000"/>
                <w:kern w:val="2"/>
                <w:sz w:val="20"/>
                <w:szCs w:val="20"/>
                <w:lang w:val="en-US" w:eastAsia="zh-CN" w:bidi="ar-SA"/>
              </w:rPr>
            </w:pPr>
          </w:p>
        </w:tc>
        <w:tc>
          <w:tcPr>
            <w:tcW w:w="720" w:type="dxa"/>
            <w:vMerge w:val="continue"/>
            <w:vAlign w:val="center"/>
          </w:tcPr>
          <w:p w14:paraId="743A01E1">
            <w:pPr>
              <w:jc w:val="center"/>
              <w:rPr>
                <w:bCs/>
                <w:szCs w:val="21"/>
              </w:rPr>
            </w:pPr>
          </w:p>
        </w:tc>
        <w:tc>
          <w:tcPr>
            <w:tcW w:w="1440" w:type="dxa"/>
            <w:shd w:val="clear" w:color="auto" w:fill="auto"/>
            <w:vAlign w:val="center"/>
          </w:tcPr>
          <w:p w14:paraId="60846512">
            <w:pPr>
              <w:widowControl/>
              <w:snapToGrid w:val="0"/>
              <w:jc w:val="center"/>
              <w:textAlignment w:val="center"/>
              <w:rPr>
                <w:rFonts w:hint="eastAsia" w:ascii="新宋体" w:hAnsi="宋体" w:eastAsia="新宋体" w:cs="宋体"/>
                <w:kern w:val="2"/>
                <w:sz w:val="20"/>
                <w:szCs w:val="21"/>
                <w:lang w:val="en-US" w:eastAsia="zh-CN" w:bidi="ar-SA"/>
              </w:rPr>
            </w:pPr>
          </w:p>
        </w:tc>
        <w:tc>
          <w:tcPr>
            <w:tcW w:w="948" w:type="dxa"/>
            <w:vAlign w:val="center"/>
          </w:tcPr>
          <w:p w14:paraId="0D203B2D">
            <w:pPr>
              <w:widowControl/>
              <w:jc w:val="center"/>
              <w:textAlignment w:val="center"/>
              <w:rPr>
                <w:bCs/>
                <w:szCs w:val="21"/>
              </w:rPr>
            </w:pPr>
          </w:p>
        </w:tc>
        <w:tc>
          <w:tcPr>
            <w:tcW w:w="792" w:type="dxa"/>
            <w:vAlign w:val="center"/>
          </w:tcPr>
          <w:p w14:paraId="64A9D599">
            <w:pPr>
              <w:widowControl/>
              <w:adjustRightInd w:val="0"/>
              <w:snapToGrid w:val="0"/>
              <w:jc w:val="center"/>
              <w:rPr>
                <w:bCs/>
                <w:szCs w:val="21"/>
              </w:rPr>
            </w:pPr>
          </w:p>
        </w:tc>
        <w:tc>
          <w:tcPr>
            <w:tcW w:w="696" w:type="dxa"/>
            <w:vAlign w:val="center"/>
          </w:tcPr>
          <w:p w14:paraId="69A3F27E">
            <w:pPr>
              <w:jc w:val="center"/>
              <w:rPr>
                <w:bCs/>
                <w:szCs w:val="21"/>
              </w:rPr>
            </w:pPr>
          </w:p>
        </w:tc>
        <w:tc>
          <w:tcPr>
            <w:tcW w:w="552" w:type="dxa"/>
            <w:vAlign w:val="center"/>
          </w:tcPr>
          <w:p w14:paraId="05ACE357">
            <w:pPr>
              <w:jc w:val="center"/>
              <w:rPr>
                <w:bCs/>
                <w:szCs w:val="21"/>
              </w:rPr>
            </w:pPr>
          </w:p>
        </w:tc>
        <w:tc>
          <w:tcPr>
            <w:tcW w:w="636" w:type="dxa"/>
            <w:shd w:val="clear" w:color="auto" w:fill="auto"/>
            <w:vAlign w:val="center"/>
          </w:tcPr>
          <w:p w14:paraId="4769A8C4">
            <w:pPr>
              <w:widowControl/>
              <w:snapToGrid w:val="0"/>
              <w:jc w:val="left"/>
              <w:textAlignment w:val="center"/>
              <w:rPr>
                <w:rFonts w:hint="eastAsia" w:ascii="新宋体" w:hAnsi="宋体" w:eastAsia="新宋体" w:cs="宋体"/>
                <w:kern w:val="2"/>
                <w:sz w:val="20"/>
                <w:szCs w:val="21"/>
                <w:lang w:val="en-US" w:eastAsia="zh-CN" w:bidi="ar-SA"/>
              </w:rPr>
            </w:pPr>
          </w:p>
        </w:tc>
        <w:tc>
          <w:tcPr>
            <w:tcW w:w="571" w:type="dxa"/>
            <w:shd w:val="clear" w:color="auto" w:fill="auto"/>
            <w:vAlign w:val="center"/>
          </w:tcPr>
          <w:p w14:paraId="0490A132">
            <w:pPr>
              <w:widowControl/>
              <w:snapToGrid w:val="0"/>
              <w:jc w:val="center"/>
              <w:textAlignment w:val="center"/>
              <w:rPr>
                <w:rFonts w:hint="eastAsia" w:ascii="新宋体" w:hAnsi="宋体" w:eastAsia="新宋体" w:cs="宋体"/>
                <w:kern w:val="2"/>
                <w:sz w:val="20"/>
                <w:szCs w:val="21"/>
                <w:lang w:val="en-US" w:eastAsia="zh-CN" w:bidi="ar-SA"/>
              </w:rPr>
            </w:pPr>
          </w:p>
        </w:tc>
        <w:tc>
          <w:tcPr>
            <w:tcW w:w="917" w:type="dxa"/>
            <w:vAlign w:val="center"/>
          </w:tcPr>
          <w:p w14:paraId="48406CA2">
            <w:pPr>
              <w:jc w:val="center"/>
              <w:rPr>
                <w:bCs/>
                <w:szCs w:val="21"/>
              </w:rPr>
            </w:pPr>
          </w:p>
        </w:tc>
        <w:tc>
          <w:tcPr>
            <w:tcW w:w="967" w:type="dxa"/>
            <w:vAlign w:val="center"/>
          </w:tcPr>
          <w:p w14:paraId="7008678D">
            <w:pPr>
              <w:jc w:val="center"/>
              <w:rPr>
                <w:bCs/>
                <w:szCs w:val="21"/>
              </w:rPr>
            </w:pPr>
          </w:p>
        </w:tc>
      </w:tr>
    </w:tbl>
    <w:p w14:paraId="605FF36B">
      <w:pPr>
        <w:ind w:firstLine="482" w:firstLineChars="200"/>
        <w:rPr>
          <w:rFonts w:hint="eastAsia" w:ascii="宋体" w:hAnsi="宋体"/>
          <w:b/>
          <w:sz w:val="24"/>
        </w:rPr>
      </w:pPr>
      <w:r>
        <w:rPr>
          <w:rFonts w:hint="eastAsia" w:ascii="宋体" w:hAnsi="宋体"/>
          <w:b/>
          <w:sz w:val="24"/>
        </w:rPr>
        <w:t>注：1.本表可按同样格式扩展。</w:t>
      </w:r>
    </w:p>
    <w:p w14:paraId="70B1DB01">
      <w:pPr>
        <w:ind w:firstLine="472" w:firstLineChars="196"/>
        <w:rPr>
          <w:rFonts w:hint="eastAsia"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14:paraId="3A1E29CD">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7"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7"/>
    </w:p>
    <w:p w14:paraId="4A865927">
      <w:pPr>
        <w:ind w:firstLine="472" w:firstLineChars="196"/>
        <w:rPr>
          <w:rFonts w:hint="eastAsia" w:ascii="宋体" w:hAnsi="宋体"/>
          <w:b/>
          <w:sz w:val="24"/>
        </w:rPr>
      </w:pPr>
      <w:r>
        <w:rPr>
          <w:rFonts w:hint="eastAsia" w:ascii="宋体" w:hAnsi="宋体"/>
          <w:b/>
          <w:sz w:val="24"/>
        </w:rPr>
        <w:t>4.“原产地”是指货物的实际生产加工地，非品牌所在地</w:t>
      </w:r>
    </w:p>
    <w:p w14:paraId="15EAB837">
      <w:pPr>
        <w:ind w:firstLine="482" w:firstLineChars="200"/>
        <w:rPr>
          <w:rFonts w:hint="eastAsia" w:ascii="宋体" w:hAnsi="宋体"/>
          <w:b/>
          <w:sz w:val="24"/>
        </w:rPr>
      </w:pPr>
      <w:r>
        <w:rPr>
          <w:rFonts w:hint="eastAsia" w:ascii="宋体" w:hAnsi="宋体"/>
          <w:b/>
          <w:sz w:val="24"/>
        </w:rPr>
        <w:t>5.以上分项报价表的投标总价应当与开标一览表的投标总价一致。</w:t>
      </w:r>
    </w:p>
    <w:p w14:paraId="5F1A3131">
      <w:pPr>
        <w:ind w:firstLine="482" w:firstLineChars="200"/>
        <w:rPr>
          <w:rFonts w:hint="eastAsia" w:ascii="宋体" w:hAnsi="宋体"/>
          <w:b/>
          <w:sz w:val="24"/>
        </w:rPr>
      </w:pPr>
      <w:r>
        <w:rPr>
          <w:rFonts w:hint="eastAsia" w:ascii="宋体" w:hAnsi="宋体"/>
          <w:b/>
          <w:sz w:val="24"/>
        </w:rPr>
        <w:t>6.单价、合价和投标总价为包干价，即三者均应包含货物的价款、包装、运输、装卸、安装、调试、技术指导、培训、咨询、服务、保险、税费、检测、验收合格交付使用之前以及技术和售后服务等其他各项有关费用。</w:t>
      </w:r>
    </w:p>
    <w:p w14:paraId="69E0423F">
      <w:pPr>
        <w:ind w:firstLine="482" w:firstLineChars="200"/>
        <w:rPr>
          <w:rFonts w:hint="eastAsia" w:ascii="宋体" w:hAnsi="宋体"/>
          <w:b/>
          <w:sz w:val="24"/>
        </w:rPr>
      </w:pPr>
      <w:r>
        <w:rPr>
          <w:rFonts w:hint="eastAsia" w:ascii="宋体" w:hAnsi="宋体"/>
          <w:b/>
          <w:sz w:val="24"/>
        </w:rPr>
        <w:t>7.所有价格应按“招标文件”中规定的货币单位填写；投标总价应为以上各分项价格之和；投标总价和项目报价表中单个采购预算条目报价均不得超过对应的财政预算限额，否则将导致投标无效。</w:t>
      </w:r>
    </w:p>
    <w:p w14:paraId="02BD527A">
      <w:pPr>
        <w:ind w:firstLine="482" w:firstLineChars="200"/>
        <w:rPr>
          <w:rFonts w:hint="eastAsia" w:ascii="宋体" w:hAnsi="宋体"/>
          <w:b/>
          <w:color w:val="FF0000"/>
          <w:sz w:val="24"/>
        </w:rPr>
      </w:pPr>
    </w:p>
    <w:p w14:paraId="0A6CCD10">
      <w:pPr>
        <w:ind w:firstLine="482" w:firstLineChars="200"/>
        <w:rPr>
          <w:rFonts w:hint="eastAsia" w:ascii="宋体" w:hAnsi="宋体"/>
          <w:b/>
          <w:color w:val="FF0000"/>
          <w:sz w:val="24"/>
        </w:rPr>
      </w:pPr>
    </w:p>
    <w:p w14:paraId="5D568EBF">
      <w:pPr>
        <w:tabs>
          <w:tab w:val="left" w:pos="720"/>
        </w:tabs>
        <w:jc w:val="center"/>
        <w:rPr>
          <w:b/>
          <w:sz w:val="24"/>
        </w:rPr>
      </w:pPr>
      <w:r>
        <w:rPr>
          <w:rFonts w:hint="eastAsia"/>
          <w:b/>
          <w:sz w:val="24"/>
        </w:rPr>
        <w:t>（二）核心产品品牌</w:t>
      </w:r>
    </w:p>
    <w:p w14:paraId="7D2145A3">
      <w:pPr>
        <w:ind w:firstLine="482" w:firstLineChars="200"/>
        <w:rPr>
          <w:rFonts w:hint="eastAsia" w:ascii="宋体" w:hAnsi="宋体"/>
          <w:b/>
          <w:color w:val="FF0000"/>
          <w:sz w:val="24"/>
        </w:rPr>
      </w:pPr>
    </w:p>
    <w:p w14:paraId="22DD4AD6">
      <w:pPr>
        <w:ind w:firstLine="482" w:firstLineChars="200"/>
        <w:rPr>
          <w:rFonts w:hint="eastAsia"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02A2CD0F">
      <w:pPr>
        <w:ind w:firstLine="480" w:firstLineChars="200"/>
        <w:rPr>
          <w:rFonts w:hint="eastAsia" w:ascii="宋体" w:hAnsi="宋体"/>
          <w:sz w:val="24"/>
        </w:rPr>
      </w:pPr>
      <w:r>
        <w:rPr>
          <w:rFonts w:hint="eastAsia" w:ascii="宋体" w:hAnsi="宋体"/>
          <w:sz w:val="24"/>
        </w:rPr>
        <w:t>备注：单一产品采购项目，核心产品即为该单一产品。</w:t>
      </w:r>
    </w:p>
    <w:p w14:paraId="6C7936D8">
      <w:pPr>
        <w:rPr>
          <w:b/>
          <w:sz w:val="24"/>
        </w:rPr>
      </w:pPr>
    </w:p>
    <w:p w14:paraId="0C9ADD07">
      <w:pPr>
        <w:tabs>
          <w:tab w:val="left" w:pos="720"/>
        </w:tabs>
        <w:ind w:firstLine="1928" w:firstLineChars="800"/>
        <w:rPr>
          <w:b/>
          <w:sz w:val="24"/>
        </w:rPr>
      </w:pPr>
      <w:r>
        <w:rPr>
          <w:rFonts w:hint="eastAsia"/>
          <w:b/>
          <w:sz w:val="24"/>
        </w:rPr>
        <w:t>（三）可选配件报价清单（不包括在总报价内）</w:t>
      </w:r>
    </w:p>
    <w:p w14:paraId="4D782851">
      <w:pPr>
        <w:ind w:firstLine="422" w:firstLineChars="200"/>
        <w:rPr>
          <w:rFonts w:hint="eastAsia"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5E79BFA8">
      <w:pPr>
        <w:ind w:firstLine="422" w:firstLineChars="200"/>
        <w:rPr>
          <w:rFonts w:hint="eastAsia" w:ascii="宋体" w:hAnsi="宋体" w:cs="宋体"/>
          <w:b/>
          <w:bCs/>
          <w:color w:val="FF0000"/>
          <w:kern w:val="0"/>
          <w:szCs w:val="21"/>
        </w:rPr>
      </w:pPr>
    </w:p>
    <w:p w14:paraId="64E2EDF8">
      <w:pPr>
        <w:tabs>
          <w:tab w:val="left" w:pos="720"/>
        </w:tabs>
        <w:jc w:val="center"/>
        <w:rPr>
          <w:b/>
          <w:sz w:val="24"/>
        </w:rPr>
      </w:pPr>
    </w:p>
    <w:p w14:paraId="1CC16BA7">
      <w:pPr>
        <w:tabs>
          <w:tab w:val="left" w:pos="720"/>
        </w:tabs>
        <w:jc w:val="center"/>
        <w:rPr>
          <w:b/>
          <w:sz w:val="24"/>
        </w:rPr>
      </w:pPr>
      <w:r>
        <w:rPr>
          <w:rFonts w:hint="eastAsia"/>
          <w:b/>
          <w:sz w:val="24"/>
        </w:rPr>
        <w:t>（四）</w:t>
      </w:r>
      <w:bookmarkStart w:id="68" w:name="_Hlk72073235"/>
      <w:r>
        <w:rPr>
          <w:rFonts w:hint="eastAsia"/>
          <w:b/>
          <w:sz w:val="24"/>
        </w:rPr>
        <w:t>投标人认为需要涉及的其他内容报价清单</w:t>
      </w:r>
      <w:bookmarkEnd w:id="68"/>
    </w:p>
    <w:p w14:paraId="1BB2AEB0">
      <w:pPr>
        <w:rPr>
          <w:highlight w:val="yellow"/>
        </w:rPr>
      </w:pPr>
    </w:p>
    <w:p w14:paraId="5ECA7226">
      <w:pPr>
        <w:pStyle w:val="6"/>
        <w:jc w:val="center"/>
        <w:rPr>
          <w:rFonts w:hint="eastAsia" w:ascii="黑体"/>
          <w:kern w:val="0"/>
          <w:sz w:val="24"/>
          <w:szCs w:val="24"/>
        </w:rPr>
      </w:pPr>
    </w:p>
    <w:p w14:paraId="544B3EC2">
      <w:pPr>
        <w:pStyle w:val="6"/>
        <w:jc w:val="center"/>
        <w:rPr>
          <w:rFonts w:hint="eastAsia" w:ascii="黑体"/>
          <w:kern w:val="0"/>
          <w:sz w:val="24"/>
          <w:szCs w:val="24"/>
        </w:rPr>
      </w:pPr>
      <w:r>
        <w:rPr>
          <w:rFonts w:hint="eastAsia" w:ascii="黑体"/>
          <w:kern w:val="0"/>
          <w:sz w:val="24"/>
          <w:szCs w:val="24"/>
        </w:rPr>
        <w:t>五、</w:t>
      </w:r>
      <w:bookmarkStart w:id="69" w:name="_Hlk72092634"/>
      <w:r>
        <w:rPr>
          <w:rFonts w:hint="eastAsia" w:ascii="黑体"/>
          <w:kern w:val="0"/>
          <w:sz w:val="24"/>
          <w:szCs w:val="24"/>
        </w:rPr>
        <w:t>实质性条款响应情况表</w:t>
      </w:r>
      <w:bookmarkEnd w:id="69"/>
    </w:p>
    <w:tbl>
      <w:tblPr>
        <w:tblStyle w:val="21"/>
        <w:tblW w:w="8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915"/>
        <w:gridCol w:w="1337"/>
        <w:gridCol w:w="1842"/>
        <w:gridCol w:w="1738"/>
      </w:tblGrid>
      <w:tr w14:paraId="2199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05" w:type="dxa"/>
            <w:vAlign w:val="center"/>
          </w:tcPr>
          <w:p w14:paraId="59B471BD">
            <w:pPr>
              <w:adjustRightInd w:val="0"/>
              <w:snapToGrid w:val="0"/>
              <w:spacing w:line="360" w:lineRule="auto"/>
              <w:jc w:val="center"/>
              <w:rPr>
                <w:rFonts w:hint="eastAsia" w:ascii="宋体" w:hAnsi="宋体"/>
                <w:kern w:val="0"/>
                <w:szCs w:val="21"/>
              </w:rPr>
            </w:pPr>
            <w:bookmarkStart w:id="70" w:name="_Hlk72092651"/>
            <w:r>
              <w:rPr>
                <w:rFonts w:hint="eastAsia" w:ascii="宋体" w:hAnsi="宋体"/>
                <w:kern w:val="0"/>
                <w:szCs w:val="21"/>
              </w:rPr>
              <w:t>序号</w:t>
            </w:r>
          </w:p>
        </w:tc>
        <w:tc>
          <w:tcPr>
            <w:tcW w:w="2915" w:type="dxa"/>
            <w:vAlign w:val="center"/>
          </w:tcPr>
          <w:p w14:paraId="7DBA13D9">
            <w:pPr>
              <w:adjustRightInd w:val="0"/>
              <w:snapToGrid w:val="0"/>
              <w:spacing w:line="360" w:lineRule="auto"/>
              <w:jc w:val="center"/>
              <w:rPr>
                <w:rFonts w:hint="eastAsia" w:ascii="宋体" w:hAnsi="宋体"/>
                <w:kern w:val="0"/>
                <w:szCs w:val="21"/>
              </w:rPr>
            </w:pPr>
            <w:r>
              <w:rPr>
                <w:rFonts w:hint="eastAsia" w:ascii="宋体" w:hAnsi="宋体"/>
                <w:kern w:val="0"/>
                <w:szCs w:val="21"/>
              </w:rPr>
              <w:t>实质性条款具体内容</w:t>
            </w:r>
          </w:p>
        </w:tc>
        <w:tc>
          <w:tcPr>
            <w:tcW w:w="1337" w:type="dxa"/>
            <w:vAlign w:val="center"/>
          </w:tcPr>
          <w:p w14:paraId="5E4BCDBF">
            <w:pPr>
              <w:adjustRightInd w:val="0"/>
              <w:snapToGrid w:val="0"/>
              <w:spacing w:line="360" w:lineRule="auto"/>
              <w:jc w:val="center"/>
              <w:rPr>
                <w:rFonts w:hint="eastAsia" w:ascii="宋体" w:hAnsi="宋体"/>
                <w:kern w:val="0"/>
                <w:szCs w:val="21"/>
              </w:rPr>
            </w:pPr>
            <w:r>
              <w:rPr>
                <w:rFonts w:hint="eastAsia"/>
              </w:rPr>
              <w:t>投标响应</w:t>
            </w:r>
          </w:p>
        </w:tc>
        <w:tc>
          <w:tcPr>
            <w:tcW w:w="1842" w:type="dxa"/>
            <w:vAlign w:val="center"/>
          </w:tcPr>
          <w:p w14:paraId="75DFBD40">
            <w:pPr>
              <w:adjustRightInd w:val="0"/>
              <w:snapToGrid w:val="0"/>
              <w:spacing w:line="360" w:lineRule="auto"/>
              <w:jc w:val="center"/>
              <w:rPr>
                <w:rFonts w:hint="eastAsia" w:ascii="宋体" w:hAnsi="宋体"/>
                <w:kern w:val="0"/>
                <w:szCs w:val="21"/>
              </w:rPr>
            </w:pPr>
            <w:r>
              <w:rPr>
                <w:rFonts w:hint="eastAsia"/>
              </w:rPr>
              <w:t>偏离情况</w:t>
            </w:r>
          </w:p>
        </w:tc>
        <w:tc>
          <w:tcPr>
            <w:tcW w:w="1738" w:type="dxa"/>
            <w:vAlign w:val="center"/>
          </w:tcPr>
          <w:p w14:paraId="123C46A2">
            <w:pPr>
              <w:adjustRightInd w:val="0"/>
              <w:snapToGrid w:val="0"/>
              <w:spacing w:line="360" w:lineRule="auto"/>
              <w:jc w:val="center"/>
              <w:rPr>
                <w:rFonts w:hint="eastAsia" w:ascii="宋体" w:hAnsi="宋体"/>
                <w:kern w:val="0"/>
                <w:szCs w:val="21"/>
              </w:rPr>
            </w:pPr>
            <w:r>
              <w:rPr>
                <w:rFonts w:hint="eastAsia"/>
              </w:rPr>
              <w:t>说明</w:t>
            </w:r>
          </w:p>
        </w:tc>
      </w:tr>
      <w:bookmarkEnd w:id="70"/>
      <w:tr w14:paraId="1DB9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A541DA3">
            <w:pPr>
              <w:adjustRightInd w:val="0"/>
              <w:snapToGrid w:val="0"/>
              <w:spacing w:line="360" w:lineRule="auto"/>
              <w:rPr>
                <w:rFonts w:hint="eastAsia" w:ascii="宋体" w:hAnsi="宋体"/>
                <w:kern w:val="0"/>
                <w:szCs w:val="21"/>
              </w:rPr>
            </w:pPr>
            <w:r>
              <w:rPr>
                <w:rFonts w:hint="eastAsia" w:ascii="宋体" w:hAnsi="宋体"/>
                <w:kern w:val="0"/>
                <w:szCs w:val="21"/>
              </w:rPr>
              <w:t>1</w:t>
            </w:r>
          </w:p>
        </w:tc>
        <w:tc>
          <w:tcPr>
            <w:tcW w:w="2915" w:type="dxa"/>
            <w:vAlign w:val="center"/>
          </w:tcPr>
          <w:p w14:paraId="4A8C4FC4">
            <w:pPr>
              <w:adjustRightInd w:val="0"/>
              <w:snapToGrid w:val="0"/>
              <w:spacing w:line="360" w:lineRule="auto"/>
              <w:jc w:val="center"/>
              <w:rPr>
                <w:rFonts w:hint="eastAsia" w:hAnsi="宋体"/>
                <w:kern w:val="0"/>
                <w:szCs w:val="21"/>
              </w:rPr>
            </w:pPr>
            <w:r>
              <w:rPr>
                <w:rFonts w:hint="eastAsia" w:ascii="宋体" w:hAnsi="宋体"/>
                <w:kern w:val="0"/>
                <w:szCs w:val="21"/>
              </w:rPr>
              <w:t>具体以采购文件第三章 用户需求书中带“★”的需求项为准。</w:t>
            </w:r>
          </w:p>
        </w:tc>
        <w:tc>
          <w:tcPr>
            <w:tcW w:w="1337" w:type="dxa"/>
          </w:tcPr>
          <w:p w14:paraId="19463A4A">
            <w:pPr>
              <w:adjustRightInd w:val="0"/>
              <w:snapToGrid w:val="0"/>
              <w:spacing w:line="360" w:lineRule="auto"/>
              <w:rPr>
                <w:rFonts w:hint="eastAsia" w:ascii="宋体" w:hAnsi="宋体"/>
                <w:kern w:val="0"/>
                <w:szCs w:val="21"/>
              </w:rPr>
            </w:pPr>
          </w:p>
        </w:tc>
        <w:tc>
          <w:tcPr>
            <w:tcW w:w="1842" w:type="dxa"/>
          </w:tcPr>
          <w:p w14:paraId="1206D619">
            <w:pPr>
              <w:adjustRightInd w:val="0"/>
              <w:snapToGrid w:val="0"/>
              <w:spacing w:line="360" w:lineRule="auto"/>
              <w:rPr>
                <w:rFonts w:hint="eastAsia" w:ascii="宋体" w:hAnsi="宋体"/>
                <w:kern w:val="0"/>
                <w:szCs w:val="21"/>
              </w:rPr>
            </w:pPr>
          </w:p>
        </w:tc>
        <w:tc>
          <w:tcPr>
            <w:tcW w:w="1738" w:type="dxa"/>
          </w:tcPr>
          <w:p w14:paraId="74C1C19D">
            <w:pPr>
              <w:adjustRightInd w:val="0"/>
              <w:snapToGrid w:val="0"/>
              <w:spacing w:line="360" w:lineRule="auto"/>
              <w:rPr>
                <w:rFonts w:hint="eastAsia" w:ascii="宋体" w:hAnsi="宋体"/>
                <w:kern w:val="0"/>
                <w:szCs w:val="21"/>
              </w:rPr>
            </w:pPr>
          </w:p>
        </w:tc>
      </w:tr>
      <w:tr w14:paraId="0AD2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1EFD253B">
            <w:pPr>
              <w:adjustRightInd w:val="0"/>
              <w:snapToGrid w:val="0"/>
              <w:spacing w:line="360" w:lineRule="auto"/>
              <w:rPr>
                <w:rFonts w:hint="eastAsia" w:ascii="宋体" w:hAnsi="宋体" w:eastAsia="宋体"/>
                <w:kern w:val="0"/>
                <w:szCs w:val="21"/>
                <w:lang w:val="en-US" w:eastAsia="zh-CN"/>
              </w:rPr>
            </w:pPr>
            <w:r>
              <w:rPr>
                <w:rFonts w:hint="eastAsia" w:ascii="宋体" w:hAnsi="宋体"/>
                <w:kern w:val="0"/>
                <w:szCs w:val="21"/>
                <w:lang w:val="en-US" w:eastAsia="zh-CN"/>
              </w:rPr>
              <w:t>2</w:t>
            </w:r>
          </w:p>
        </w:tc>
        <w:tc>
          <w:tcPr>
            <w:tcW w:w="2915" w:type="dxa"/>
            <w:vAlign w:val="center"/>
          </w:tcPr>
          <w:p w14:paraId="37C9B6DF">
            <w:pPr>
              <w:widowControl/>
              <w:jc w:val="left"/>
              <w:rPr>
                <w:rFonts w:hint="eastAsia" w:hAnsi="宋体"/>
                <w:kern w:val="0"/>
                <w:szCs w:val="21"/>
              </w:rPr>
            </w:pPr>
          </w:p>
        </w:tc>
        <w:tc>
          <w:tcPr>
            <w:tcW w:w="1337" w:type="dxa"/>
          </w:tcPr>
          <w:p w14:paraId="25E7ABA5">
            <w:pPr>
              <w:adjustRightInd w:val="0"/>
              <w:snapToGrid w:val="0"/>
              <w:spacing w:line="360" w:lineRule="auto"/>
              <w:rPr>
                <w:rFonts w:hint="eastAsia" w:ascii="宋体" w:hAnsi="宋体"/>
                <w:kern w:val="0"/>
                <w:szCs w:val="21"/>
              </w:rPr>
            </w:pPr>
          </w:p>
        </w:tc>
        <w:tc>
          <w:tcPr>
            <w:tcW w:w="1842" w:type="dxa"/>
          </w:tcPr>
          <w:p w14:paraId="0AEE906E">
            <w:pPr>
              <w:adjustRightInd w:val="0"/>
              <w:snapToGrid w:val="0"/>
              <w:spacing w:line="360" w:lineRule="auto"/>
              <w:rPr>
                <w:rFonts w:hint="eastAsia" w:ascii="宋体" w:hAnsi="宋体"/>
                <w:kern w:val="0"/>
                <w:szCs w:val="21"/>
              </w:rPr>
            </w:pPr>
          </w:p>
        </w:tc>
        <w:tc>
          <w:tcPr>
            <w:tcW w:w="1738" w:type="dxa"/>
          </w:tcPr>
          <w:p w14:paraId="0DBD6FF7">
            <w:pPr>
              <w:adjustRightInd w:val="0"/>
              <w:snapToGrid w:val="0"/>
              <w:spacing w:line="360" w:lineRule="auto"/>
              <w:rPr>
                <w:rFonts w:hint="eastAsia" w:ascii="宋体" w:hAnsi="宋体"/>
                <w:kern w:val="0"/>
                <w:szCs w:val="21"/>
              </w:rPr>
            </w:pPr>
          </w:p>
        </w:tc>
      </w:tr>
      <w:tr w14:paraId="4D15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756D0599">
            <w:pPr>
              <w:adjustRightInd w:val="0"/>
              <w:snapToGrid w:val="0"/>
              <w:spacing w:line="360" w:lineRule="auto"/>
              <w:rPr>
                <w:rFonts w:hint="eastAsia" w:ascii="宋体" w:hAnsi="宋体" w:eastAsia="宋体"/>
                <w:kern w:val="0"/>
                <w:szCs w:val="21"/>
                <w:lang w:val="en-US" w:eastAsia="zh-CN"/>
              </w:rPr>
            </w:pPr>
            <w:r>
              <w:rPr>
                <w:rFonts w:hint="eastAsia" w:ascii="宋体" w:hAnsi="宋体"/>
                <w:kern w:val="0"/>
                <w:szCs w:val="21"/>
                <w:lang w:val="en-US" w:eastAsia="zh-CN"/>
              </w:rPr>
              <w:t>3</w:t>
            </w:r>
          </w:p>
        </w:tc>
        <w:tc>
          <w:tcPr>
            <w:tcW w:w="2915" w:type="dxa"/>
            <w:vAlign w:val="center"/>
          </w:tcPr>
          <w:p w14:paraId="65BC446D">
            <w:pPr>
              <w:widowControl/>
              <w:jc w:val="left"/>
              <w:rPr>
                <w:rFonts w:hint="eastAsia" w:hAnsi="宋体"/>
                <w:kern w:val="0"/>
                <w:szCs w:val="21"/>
              </w:rPr>
            </w:pPr>
          </w:p>
        </w:tc>
        <w:tc>
          <w:tcPr>
            <w:tcW w:w="1337" w:type="dxa"/>
          </w:tcPr>
          <w:p w14:paraId="705DBCAF">
            <w:pPr>
              <w:adjustRightInd w:val="0"/>
              <w:snapToGrid w:val="0"/>
              <w:spacing w:line="360" w:lineRule="auto"/>
              <w:rPr>
                <w:rFonts w:hint="eastAsia" w:ascii="宋体" w:hAnsi="宋体"/>
                <w:kern w:val="0"/>
                <w:szCs w:val="21"/>
              </w:rPr>
            </w:pPr>
          </w:p>
        </w:tc>
        <w:tc>
          <w:tcPr>
            <w:tcW w:w="1842" w:type="dxa"/>
          </w:tcPr>
          <w:p w14:paraId="7F968D76">
            <w:pPr>
              <w:adjustRightInd w:val="0"/>
              <w:snapToGrid w:val="0"/>
              <w:spacing w:line="360" w:lineRule="auto"/>
              <w:rPr>
                <w:rFonts w:hint="eastAsia" w:ascii="宋体" w:hAnsi="宋体"/>
                <w:kern w:val="0"/>
                <w:szCs w:val="21"/>
              </w:rPr>
            </w:pPr>
          </w:p>
        </w:tc>
        <w:tc>
          <w:tcPr>
            <w:tcW w:w="1738" w:type="dxa"/>
          </w:tcPr>
          <w:p w14:paraId="4A052D1D">
            <w:pPr>
              <w:adjustRightInd w:val="0"/>
              <w:snapToGrid w:val="0"/>
              <w:spacing w:line="360" w:lineRule="auto"/>
              <w:rPr>
                <w:rFonts w:hint="eastAsia" w:ascii="宋体" w:hAnsi="宋体"/>
                <w:kern w:val="0"/>
                <w:szCs w:val="21"/>
              </w:rPr>
            </w:pPr>
          </w:p>
        </w:tc>
      </w:tr>
    </w:tbl>
    <w:p w14:paraId="278AACA3">
      <w:pPr>
        <w:ind w:firstLine="482" w:firstLineChars="200"/>
        <w:rPr>
          <w:b/>
          <w:sz w:val="24"/>
          <w:szCs w:val="22"/>
        </w:rPr>
      </w:pPr>
      <w:r>
        <w:rPr>
          <w:rFonts w:hint="eastAsia"/>
          <w:b/>
          <w:sz w:val="24"/>
          <w:szCs w:val="22"/>
        </w:rPr>
        <w:t>注：1.上表所列各项均为不可负偏离条款。</w:t>
      </w:r>
    </w:p>
    <w:p w14:paraId="68859FA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7EA28008">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245F4333">
      <w:pPr>
        <w:ind w:firstLine="482" w:firstLineChars="200"/>
        <w:rPr>
          <w:b/>
          <w:sz w:val="24"/>
        </w:rPr>
      </w:pPr>
      <w:r>
        <w:rPr>
          <w:b/>
          <w:sz w:val="24"/>
        </w:rPr>
        <w:t>4.</w:t>
      </w:r>
      <w:r>
        <w:rPr>
          <w:rFonts w:hint="eastAsia"/>
          <w:b/>
          <w:sz w:val="24"/>
        </w:rPr>
        <w:t>评审委员会有权对投标响应情况作出判断（作出评审结论）。</w:t>
      </w:r>
    </w:p>
    <w:p w14:paraId="57717C18">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65"/>
    </w:p>
    <w:p w14:paraId="16B74883">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2F332016"/>
    <w:p w14:paraId="776806B9">
      <w:pPr>
        <w:pStyle w:val="6"/>
        <w:jc w:val="center"/>
        <w:rPr>
          <w:rFonts w:hint="eastAsia" w:ascii="黑体"/>
          <w:sz w:val="24"/>
          <w:szCs w:val="24"/>
        </w:rPr>
      </w:pPr>
      <w:r>
        <w:rPr>
          <w:rFonts w:hint="eastAsia" w:ascii="黑体"/>
          <w:sz w:val="24"/>
          <w:szCs w:val="24"/>
        </w:rPr>
        <w:t>六、技术要求偏离表</w:t>
      </w:r>
    </w:p>
    <w:tbl>
      <w:tblPr>
        <w:tblStyle w:val="21"/>
        <w:tblW w:w="8515" w:type="dxa"/>
        <w:tblInd w:w="0" w:type="dxa"/>
        <w:tblLayout w:type="fixed"/>
        <w:tblCellMar>
          <w:top w:w="0" w:type="dxa"/>
          <w:left w:w="108" w:type="dxa"/>
          <w:bottom w:w="0" w:type="dxa"/>
          <w:right w:w="108" w:type="dxa"/>
        </w:tblCellMar>
      </w:tblPr>
      <w:tblGrid>
        <w:gridCol w:w="860"/>
        <w:gridCol w:w="1425"/>
        <w:gridCol w:w="2189"/>
        <w:gridCol w:w="2655"/>
        <w:gridCol w:w="900"/>
        <w:gridCol w:w="486"/>
      </w:tblGrid>
      <w:tr w14:paraId="1628943E">
        <w:tblPrEx>
          <w:tblCellMar>
            <w:top w:w="0" w:type="dxa"/>
            <w:left w:w="108" w:type="dxa"/>
            <w:bottom w:w="0" w:type="dxa"/>
            <w:right w:w="108" w:type="dxa"/>
          </w:tblCellMar>
        </w:tblPrEx>
        <w:trPr>
          <w:trHeight w:val="23" w:hRule="atLeast"/>
        </w:trPr>
        <w:tc>
          <w:tcPr>
            <w:tcW w:w="860" w:type="dxa"/>
            <w:tcBorders>
              <w:top w:val="single" w:color="000000" w:sz="4" w:space="0"/>
              <w:left w:val="single" w:color="000000" w:sz="4" w:space="0"/>
              <w:bottom w:val="single" w:color="000000" w:sz="4" w:space="0"/>
              <w:right w:val="single" w:color="000000" w:sz="4" w:space="0"/>
            </w:tcBorders>
            <w:vAlign w:val="center"/>
          </w:tcPr>
          <w:p w14:paraId="55843E75">
            <w:pPr>
              <w:widowControl/>
              <w:jc w:val="center"/>
              <w:textAlignment w:val="center"/>
              <w:rPr>
                <w:rFonts w:hint="eastAsia" w:ascii="宋体" w:hAnsi="宋体" w:eastAsia="宋体" w:cs="宋体"/>
                <w:b/>
                <w:bCs/>
                <w:color w:val="000000"/>
                <w:sz w:val="21"/>
                <w:szCs w:val="21"/>
              </w:rPr>
            </w:pPr>
            <w:bookmarkStart w:id="71" w:name="_Hlk72095977"/>
            <w:r>
              <w:rPr>
                <w:rFonts w:hint="eastAsia" w:ascii="宋体" w:hAnsi="宋体" w:eastAsia="宋体" w:cs="宋体"/>
                <w:b/>
                <w:bCs/>
                <w:color w:val="000000"/>
                <w:kern w:val="0"/>
                <w:sz w:val="21"/>
                <w:szCs w:val="21"/>
                <w:lang w:bidi="ar"/>
              </w:rPr>
              <w:t>序号</w:t>
            </w:r>
          </w:p>
        </w:tc>
        <w:tc>
          <w:tcPr>
            <w:tcW w:w="1425" w:type="dxa"/>
            <w:tcBorders>
              <w:top w:val="single" w:color="000000" w:sz="4" w:space="0"/>
              <w:left w:val="single" w:color="000000" w:sz="4" w:space="0"/>
              <w:bottom w:val="single" w:color="000000" w:sz="4" w:space="0"/>
              <w:right w:val="single" w:color="000000" w:sz="4" w:space="0"/>
            </w:tcBorders>
            <w:vAlign w:val="center"/>
          </w:tcPr>
          <w:p w14:paraId="4C96E7A9">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货物名称</w:t>
            </w:r>
          </w:p>
        </w:tc>
        <w:tc>
          <w:tcPr>
            <w:tcW w:w="2189" w:type="dxa"/>
            <w:tcBorders>
              <w:top w:val="single" w:color="000000" w:sz="4" w:space="0"/>
              <w:left w:val="single" w:color="000000" w:sz="4" w:space="0"/>
              <w:bottom w:val="single" w:color="000000" w:sz="4" w:space="0"/>
              <w:right w:val="single" w:color="000000" w:sz="4" w:space="0"/>
            </w:tcBorders>
            <w:vAlign w:val="center"/>
          </w:tcPr>
          <w:p w14:paraId="7B22074A">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招标技术要求</w:t>
            </w:r>
          </w:p>
        </w:tc>
        <w:tc>
          <w:tcPr>
            <w:tcW w:w="2655" w:type="dxa"/>
            <w:tcBorders>
              <w:top w:val="single" w:color="000000" w:sz="4" w:space="0"/>
              <w:left w:val="single" w:color="000000" w:sz="4" w:space="0"/>
              <w:bottom w:val="single" w:color="000000" w:sz="4" w:space="0"/>
              <w:right w:val="single" w:color="000000" w:sz="4" w:space="0"/>
            </w:tcBorders>
            <w:vAlign w:val="center"/>
          </w:tcPr>
          <w:p w14:paraId="3DE35096">
            <w:pPr>
              <w:adjustRightInd w:val="0"/>
              <w:snapToGrid w:val="0"/>
              <w:jc w:val="center"/>
              <w:rPr>
                <w:rFonts w:hint="eastAsia" w:ascii="宋体" w:hAnsi="宋体" w:eastAsia="宋体" w:cs="宋体"/>
                <w:b/>
                <w:bCs/>
                <w:color w:val="000000"/>
                <w:sz w:val="21"/>
                <w:szCs w:val="21"/>
              </w:rPr>
            </w:pPr>
            <w:r>
              <w:rPr>
                <w:rFonts w:hint="eastAsia"/>
                <w:b/>
                <w:bCs/>
                <w:szCs w:val="21"/>
              </w:rPr>
              <w:t>投标技术响应</w:t>
            </w:r>
          </w:p>
        </w:tc>
        <w:tc>
          <w:tcPr>
            <w:tcW w:w="900" w:type="dxa"/>
            <w:tcBorders>
              <w:top w:val="single" w:color="000000" w:sz="4" w:space="0"/>
              <w:left w:val="single" w:color="000000" w:sz="4" w:space="0"/>
              <w:bottom w:val="single" w:color="000000" w:sz="4" w:space="0"/>
              <w:right w:val="single" w:color="000000" w:sz="4" w:space="0"/>
            </w:tcBorders>
            <w:vAlign w:val="center"/>
          </w:tcPr>
          <w:p w14:paraId="2E79797B">
            <w:pPr>
              <w:adjustRightInd w:val="0"/>
              <w:snapToGrid w:val="0"/>
              <w:jc w:val="center"/>
              <w:rPr>
                <w:rFonts w:hint="eastAsia" w:ascii="宋体" w:hAnsi="宋体" w:eastAsia="宋体" w:cs="宋体"/>
                <w:b/>
                <w:bCs/>
                <w:color w:val="000000"/>
                <w:sz w:val="21"/>
                <w:szCs w:val="21"/>
              </w:rPr>
            </w:pPr>
            <w:r>
              <w:rPr>
                <w:rFonts w:hint="eastAsia"/>
                <w:b/>
                <w:bCs/>
                <w:szCs w:val="21"/>
              </w:rPr>
              <w:t>偏离情况</w:t>
            </w:r>
          </w:p>
        </w:tc>
        <w:tc>
          <w:tcPr>
            <w:tcW w:w="486" w:type="dxa"/>
            <w:tcBorders>
              <w:top w:val="single" w:color="000000" w:sz="4" w:space="0"/>
              <w:left w:val="single" w:color="000000" w:sz="4" w:space="0"/>
              <w:bottom w:val="single" w:color="000000" w:sz="4" w:space="0"/>
              <w:right w:val="single" w:color="000000" w:sz="4" w:space="0"/>
            </w:tcBorders>
            <w:vAlign w:val="center"/>
          </w:tcPr>
          <w:p w14:paraId="47F2034C">
            <w:pPr>
              <w:adjustRightInd w:val="0"/>
              <w:snapToGrid w:val="0"/>
              <w:jc w:val="center"/>
              <w:rPr>
                <w:rFonts w:hint="eastAsia" w:ascii="宋体" w:hAnsi="宋体" w:eastAsia="宋体" w:cs="宋体"/>
                <w:b/>
                <w:bCs/>
                <w:color w:val="000000"/>
                <w:sz w:val="21"/>
                <w:szCs w:val="21"/>
              </w:rPr>
            </w:pPr>
            <w:r>
              <w:rPr>
                <w:rFonts w:hint="eastAsia"/>
                <w:b/>
                <w:bCs/>
                <w:szCs w:val="21"/>
              </w:rPr>
              <w:t>说明</w:t>
            </w:r>
          </w:p>
        </w:tc>
      </w:tr>
      <w:tr w14:paraId="0351880C">
        <w:tblPrEx>
          <w:tblCellMar>
            <w:top w:w="0" w:type="dxa"/>
            <w:left w:w="108" w:type="dxa"/>
            <w:bottom w:w="0" w:type="dxa"/>
            <w:right w:w="108" w:type="dxa"/>
          </w:tblCellMar>
        </w:tblPrEx>
        <w:trPr>
          <w:trHeight w:val="23" w:hRule="atLeast"/>
        </w:trPr>
        <w:tc>
          <w:tcPr>
            <w:tcW w:w="8515" w:type="dxa"/>
            <w:gridSpan w:val="6"/>
            <w:tcBorders>
              <w:top w:val="single" w:color="000000" w:sz="4" w:space="0"/>
              <w:left w:val="single" w:color="000000" w:sz="4" w:space="0"/>
              <w:bottom w:val="single" w:color="000000" w:sz="4" w:space="0"/>
              <w:right w:val="single" w:color="000000" w:sz="4" w:space="0"/>
            </w:tcBorders>
            <w:noWrap/>
            <w:vAlign w:val="center"/>
          </w:tcPr>
          <w:p w14:paraId="06B67704">
            <w:pPr>
              <w:widowControl/>
              <w:jc w:val="left"/>
              <w:textAlignment w:val="center"/>
              <w:rPr>
                <w:rFonts w:hint="eastAsia" w:ascii="宋体" w:hAnsi="宋体" w:eastAsia="宋体" w:cs="宋体"/>
                <w:color w:val="000000"/>
                <w:kern w:val="0"/>
                <w:sz w:val="21"/>
                <w:szCs w:val="21"/>
                <w:lang w:bidi="ar"/>
              </w:rPr>
            </w:pPr>
          </w:p>
        </w:tc>
      </w:tr>
      <w:tr w14:paraId="00345D57">
        <w:tblPrEx>
          <w:tblCellMar>
            <w:top w:w="0" w:type="dxa"/>
            <w:left w:w="108" w:type="dxa"/>
            <w:bottom w:w="0" w:type="dxa"/>
            <w:right w:w="108" w:type="dxa"/>
          </w:tblCellMar>
        </w:tblPrEx>
        <w:trPr>
          <w:trHeight w:val="23" w:hRule="atLeast"/>
        </w:trPr>
        <w:tc>
          <w:tcPr>
            <w:tcW w:w="860" w:type="dxa"/>
            <w:vMerge w:val="restart"/>
            <w:tcBorders>
              <w:top w:val="single" w:color="000000" w:sz="4" w:space="0"/>
              <w:left w:val="single" w:color="000000" w:sz="4" w:space="0"/>
              <w:bottom w:val="single" w:color="000000" w:sz="4" w:space="0"/>
              <w:right w:val="single" w:color="000000" w:sz="4" w:space="0"/>
            </w:tcBorders>
            <w:noWrap/>
            <w:vAlign w:val="center"/>
          </w:tcPr>
          <w:p w14:paraId="2F640A3F">
            <w:pPr>
              <w:widowControl/>
              <w:jc w:val="center"/>
              <w:textAlignment w:val="center"/>
              <w:rPr>
                <w:rFonts w:hint="eastAsia" w:ascii="宋体" w:hAnsi="宋体" w:eastAsia="宋体" w:cs="宋体"/>
                <w:color w:val="000000"/>
                <w:sz w:val="21"/>
                <w:szCs w:val="21"/>
              </w:rPr>
            </w:pPr>
          </w:p>
        </w:tc>
        <w:tc>
          <w:tcPr>
            <w:tcW w:w="1425" w:type="dxa"/>
            <w:vMerge w:val="restart"/>
            <w:tcBorders>
              <w:top w:val="single" w:color="000000" w:sz="4" w:space="0"/>
              <w:left w:val="single" w:color="000000" w:sz="4" w:space="0"/>
              <w:bottom w:val="single" w:color="000000" w:sz="4" w:space="0"/>
              <w:right w:val="single" w:color="000000" w:sz="4" w:space="0"/>
            </w:tcBorders>
            <w:vAlign w:val="center"/>
          </w:tcPr>
          <w:p w14:paraId="169C56E6">
            <w:pPr>
              <w:widowControl/>
              <w:jc w:val="center"/>
              <w:textAlignment w:val="center"/>
              <w:rPr>
                <w:rFonts w:hint="eastAsia" w:ascii="宋体" w:hAnsi="宋体" w:eastAsia="宋体" w:cs="宋体"/>
                <w:color w:val="000000"/>
                <w:sz w:val="21"/>
                <w:szCs w:val="21"/>
              </w:rPr>
            </w:pPr>
          </w:p>
        </w:tc>
        <w:tc>
          <w:tcPr>
            <w:tcW w:w="2189" w:type="dxa"/>
            <w:tcBorders>
              <w:top w:val="single" w:color="000000" w:sz="4" w:space="0"/>
              <w:left w:val="single" w:color="000000" w:sz="4" w:space="0"/>
              <w:bottom w:val="single" w:color="000000" w:sz="4" w:space="0"/>
              <w:right w:val="single" w:color="000000" w:sz="4" w:space="0"/>
            </w:tcBorders>
            <w:vAlign w:val="center"/>
          </w:tcPr>
          <w:p w14:paraId="3157A4B9">
            <w:pPr>
              <w:widowControl/>
              <w:jc w:val="left"/>
              <w:textAlignment w:val="center"/>
              <w:rPr>
                <w:rFonts w:hint="eastAsia" w:ascii="宋体" w:hAnsi="宋体" w:eastAsia="宋体" w:cs="宋体"/>
                <w:color w:val="000000"/>
                <w:sz w:val="21"/>
                <w:szCs w:val="21"/>
              </w:rPr>
            </w:pPr>
          </w:p>
        </w:tc>
        <w:tc>
          <w:tcPr>
            <w:tcW w:w="2655" w:type="dxa"/>
            <w:tcBorders>
              <w:top w:val="single" w:color="000000" w:sz="4" w:space="0"/>
              <w:left w:val="single" w:color="000000" w:sz="4" w:space="0"/>
              <w:bottom w:val="single" w:color="000000" w:sz="4" w:space="0"/>
              <w:right w:val="single" w:color="000000" w:sz="4" w:space="0"/>
            </w:tcBorders>
            <w:vAlign w:val="center"/>
          </w:tcPr>
          <w:p w14:paraId="17522803">
            <w:pPr>
              <w:widowControl/>
              <w:jc w:val="left"/>
              <w:textAlignment w:val="center"/>
              <w:rPr>
                <w:rFonts w:hint="eastAsia" w:ascii="宋体" w:hAnsi="宋体" w:eastAsia="宋体" w:cs="宋体"/>
                <w:color w:val="000000"/>
                <w:kern w:val="0"/>
                <w:sz w:val="21"/>
                <w:szCs w:val="21"/>
                <w:lang w:bidi="ar"/>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45083A96">
            <w:pPr>
              <w:widowControl/>
              <w:jc w:val="left"/>
              <w:textAlignment w:val="center"/>
              <w:rPr>
                <w:rFonts w:hint="eastAsia" w:ascii="宋体" w:hAnsi="宋体" w:eastAsia="宋体" w:cs="宋体"/>
                <w:color w:val="000000"/>
                <w:kern w:val="0"/>
                <w:sz w:val="21"/>
                <w:szCs w:val="21"/>
                <w:lang w:bidi="ar"/>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77DEED94">
            <w:pPr>
              <w:widowControl/>
              <w:jc w:val="left"/>
              <w:textAlignment w:val="center"/>
              <w:rPr>
                <w:rFonts w:hint="eastAsia" w:ascii="宋体" w:hAnsi="宋体" w:eastAsia="宋体" w:cs="宋体"/>
                <w:color w:val="000000"/>
                <w:kern w:val="0"/>
                <w:sz w:val="21"/>
                <w:szCs w:val="21"/>
                <w:lang w:bidi="ar"/>
              </w:rPr>
            </w:pPr>
          </w:p>
        </w:tc>
      </w:tr>
      <w:tr w14:paraId="3252E83C">
        <w:tblPrEx>
          <w:tblCellMar>
            <w:top w:w="0" w:type="dxa"/>
            <w:left w:w="108" w:type="dxa"/>
            <w:bottom w:w="0" w:type="dxa"/>
            <w:right w:w="108" w:type="dxa"/>
          </w:tblCellMar>
        </w:tblPrEx>
        <w:trPr>
          <w:trHeight w:val="23" w:hRule="atLeast"/>
        </w:trPr>
        <w:tc>
          <w:tcPr>
            <w:tcW w:w="860" w:type="dxa"/>
            <w:vMerge w:val="continue"/>
            <w:tcBorders>
              <w:top w:val="single" w:color="000000" w:sz="4" w:space="0"/>
              <w:left w:val="single" w:color="000000" w:sz="4" w:space="0"/>
              <w:bottom w:val="single" w:color="000000" w:sz="4" w:space="0"/>
              <w:right w:val="single" w:color="000000" w:sz="4" w:space="0"/>
            </w:tcBorders>
            <w:noWrap/>
            <w:vAlign w:val="center"/>
          </w:tcPr>
          <w:p w14:paraId="37BDD6AD">
            <w:pPr>
              <w:jc w:val="center"/>
              <w:rPr>
                <w:rFonts w:hint="eastAsia" w:ascii="宋体" w:hAnsi="宋体" w:eastAsia="宋体" w:cs="宋体"/>
                <w:color w:val="000000"/>
                <w:sz w:val="21"/>
                <w:szCs w:val="21"/>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3F644333">
            <w:pPr>
              <w:jc w:val="center"/>
              <w:rPr>
                <w:rFonts w:hint="eastAsia" w:ascii="宋体" w:hAnsi="宋体" w:eastAsia="宋体" w:cs="宋体"/>
                <w:color w:val="000000"/>
                <w:sz w:val="21"/>
                <w:szCs w:val="21"/>
              </w:rPr>
            </w:pPr>
          </w:p>
        </w:tc>
        <w:tc>
          <w:tcPr>
            <w:tcW w:w="2189" w:type="dxa"/>
            <w:tcBorders>
              <w:top w:val="single" w:color="000000" w:sz="4" w:space="0"/>
              <w:left w:val="single" w:color="000000" w:sz="4" w:space="0"/>
              <w:bottom w:val="single" w:color="000000" w:sz="4" w:space="0"/>
              <w:right w:val="single" w:color="000000" w:sz="4" w:space="0"/>
            </w:tcBorders>
            <w:vAlign w:val="center"/>
          </w:tcPr>
          <w:p w14:paraId="604237B3">
            <w:pPr>
              <w:widowControl/>
              <w:jc w:val="left"/>
              <w:textAlignment w:val="center"/>
              <w:rPr>
                <w:rFonts w:hint="eastAsia" w:ascii="宋体" w:hAnsi="宋体" w:eastAsia="宋体" w:cs="宋体"/>
                <w:color w:val="000000"/>
                <w:sz w:val="21"/>
                <w:szCs w:val="21"/>
              </w:rPr>
            </w:pPr>
          </w:p>
        </w:tc>
        <w:tc>
          <w:tcPr>
            <w:tcW w:w="2655" w:type="dxa"/>
            <w:tcBorders>
              <w:top w:val="single" w:color="000000" w:sz="4" w:space="0"/>
              <w:left w:val="single" w:color="000000" w:sz="4" w:space="0"/>
              <w:bottom w:val="single" w:color="000000" w:sz="4" w:space="0"/>
              <w:right w:val="single" w:color="000000" w:sz="4" w:space="0"/>
            </w:tcBorders>
            <w:vAlign w:val="center"/>
          </w:tcPr>
          <w:p w14:paraId="55CF1052">
            <w:pPr>
              <w:widowControl/>
              <w:jc w:val="left"/>
              <w:textAlignment w:val="center"/>
              <w:rPr>
                <w:rFonts w:hint="eastAsia" w:ascii="宋体" w:hAnsi="宋体" w:eastAsia="宋体" w:cs="宋体"/>
                <w:color w:val="000000"/>
                <w:kern w:val="0"/>
                <w:sz w:val="21"/>
                <w:szCs w:val="21"/>
                <w:lang w:bidi="ar"/>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608EE284">
            <w:pPr>
              <w:widowControl/>
              <w:jc w:val="left"/>
              <w:textAlignment w:val="center"/>
              <w:rPr>
                <w:rFonts w:hint="eastAsia" w:ascii="宋体" w:hAnsi="宋体" w:eastAsia="宋体" w:cs="宋体"/>
                <w:color w:val="000000"/>
                <w:kern w:val="0"/>
                <w:sz w:val="21"/>
                <w:szCs w:val="21"/>
                <w:lang w:bidi="ar"/>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38457574">
            <w:pPr>
              <w:widowControl/>
              <w:jc w:val="left"/>
              <w:textAlignment w:val="center"/>
              <w:rPr>
                <w:rFonts w:hint="eastAsia" w:ascii="宋体" w:hAnsi="宋体" w:eastAsia="宋体" w:cs="宋体"/>
                <w:color w:val="000000"/>
                <w:kern w:val="0"/>
                <w:sz w:val="21"/>
                <w:szCs w:val="21"/>
                <w:lang w:bidi="ar"/>
              </w:rPr>
            </w:pPr>
          </w:p>
        </w:tc>
      </w:tr>
      <w:tr w14:paraId="51844368">
        <w:tblPrEx>
          <w:tblCellMar>
            <w:top w:w="0" w:type="dxa"/>
            <w:left w:w="108" w:type="dxa"/>
            <w:bottom w:w="0" w:type="dxa"/>
            <w:right w:w="108" w:type="dxa"/>
          </w:tblCellMar>
        </w:tblPrEx>
        <w:trPr>
          <w:trHeight w:val="23" w:hRule="atLeast"/>
        </w:trPr>
        <w:tc>
          <w:tcPr>
            <w:tcW w:w="860" w:type="dxa"/>
            <w:vMerge w:val="continue"/>
            <w:tcBorders>
              <w:top w:val="single" w:color="000000" w:sz="4" w:space="0"/>
              <w:left w:val="single" w:color="000000" w:sz="4" w:space="0"/>
              <w:bottom w:val="single" w:color="000000" w:sz="4" w:space="0"/>
              <w:right w:val="single" w:color="000000" w:sz="4" w:space="0"/>
            </w:tcBorders>
            <w:noWrap/>
            <w:vAlign w:val="center"/>
          </w:tcPr>
          <w:p w14:paraId="36C8A7DA">
            <w:pPr>
              <w:jc w:val="center"/>
              <w:rPr>
                <w:rFonts w:hint="eastAsia" w:ascii="宋体" w:hAnsi="宋体" w:eastAsia="宋体" w:cs="宋体"/>
                <w:color w:val="000000"/>
                <w:sz w:val="21"/>
                <w:szCs w:val="21"/>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12A47A1C">
            <w:pPr>
              <w:jc w:val="center"/>
              <w:rPr>
                <w:rFonts w:hint="eastAsia" w:ascii="宋体" w:hAnsi="宋体" w:eastAsia="宋体" w:cs="宋体"/>
                <w:color w:val="000000"/>
                <w:sz w:val="21"/>
                <w:szCs w:val="21"/>
              </w:rPr>
            </w:pPr>
          </w:p>
        </w:tc>
        <w:tc>
          <w:tcPr>
            <w:tcW w:w="2189" w:type="dxa"/>
            <w:tcBorders>
              <w:top w:val="single" w:color="000000" w:sz="4" w:space="0"/>
              <w:left w:val="single" w:color="000000" w:sz="4" w:space="0"/>
              <w:bottom w:val="single" w:color="000000" w:sz="4" w:space="0"/>
              <w:right w:val="single" w:color="000000" w:sz="4" w:space="0"/>
            </w:tcBorders>
            <w:vAlign w:val="center"/>
          </w:tcPr>
          <w:p w14:paraId="0DD91817">
            <w:pPr>
              <w:widowControl/>
              <w:jc w:val="left"/>
              <w:textAlignment w:val="center"/>
              <w:rPr>
                <w:rFonts w:hint="eastAsia" w:ascii="宋体" w:hAnsi="宋体" w:eastAsia="宋体" w:cs="宋体"/>
                <w:color w:val="000000"/>
                <w:sz w:val="21"/>
                <w:szCs w:val="21"/>
              </w:rPr>
            </w:pPr>
          </w:p>
        </w:tc>
        <w:tc>
          <w:tcPr>
            <w:tcW w:w="2655" w:type="dxa"/>
            <w:tcBorders>
              <w:top w:val="single" w:color="000000" w:sz="4" w:space="0"/>
              <w:left w:val="single" w:color="000000" w:sz="4" w:space="0"/>
              <w:bottom w:val="single" w:color="000000" w:sz="4" w:space="0"/>
              <w:right w:val="single" w:color="000000" w:sz="4" w:space="0"/>
            </w:tcBorders>
            <w:vAlign w:val="center"/>
          </w:tcPr>
          <w:p w14:paraId="43CA7B30">
            <w:pPr>
              <w:widowControl/>
              <w:jc w:val="left"/>
              <w:textAlignment w:val="center"/>
              <w:rPr>
                <w:rFonts w:hint="eastAsia" w:ascii="宋体" w:hAnsi="宋体" w:eastAsia="宋体" w:cs="宋体"/>
                <w:color w:val="000000"/>
                <w:kern w:val="0"/>
                <w:sz w:val="21"/>
                <w:szCs w:val="21"/>
                <w:lang w:bidi="ar"/>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78BCE1F5">
            <w:pPr>
              <w:widowControl/>
              <w:jc w:val="left"/>
              <w:textAlignment w:val="center"/>
              <w:rPr>
                <w:rFonts w:hint="eastAsia" w:ascii="宋体" w:hAnsi="宋体" w:eastAsia="宋体" w:cs="宋体"/>
                <w:color w:val="000000"/>
                <w:kern w:val="0"/>
                <w:sz w:val="21"/>
                <w:szCs w:val="21"/>
                <w:lang w:bidi="ar"/>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0D6ED403">
            <w:pPr>
              <w:widowControl/>
              <w:jc w:val="left"/>
              <w:textAlignment w:val="center"/>
              <w:rPr>
                <w:rFonts w:hint="eastAsia" w:ascii="宋体" w:hAnsi="宋体" w:eastAsia="宋体" w:cs="宋体"/>
                <w:color w:val="000000"/>
                <w:kern w:val="0"/>
                <w:sz w:val="21"/>
                <w:szCs w:val="21"/>
                <w:lang w:bidi="ar"/>
              </w:rPr>
            </w:pPr>
          </w:p>
        </w:tc>
      </w:tr>
      <w:tr w14:paraId="28688EDC">
        <w:tblPrEx>
          <w:tblCellMar>
            <w:top w:w="0" w:type="dxa"/>
            <w:left w:w="108" w:type="dxa"/>
            <w:bottom w:w="0" w:type="dxa"/>
            <w:right w:w="108" w:type="dxa"/>
          </w:tblCellMar>
        </w:tblPrEx>
        <w:trPr>
          <w:trHeight w:val="23" w:hRule="atLeast"/>
        </w:trPr>
        <w:tc>
          <w:tcPr>
            <w:tcW w:w="860" w:type="dxa"/>
            <w:vMerge w:val="continue"/>
            <w:tcBorders>
              <w:top w:val="single" w:color="000000" w:sz="4" w:space="0"/>
              <w:left w:val="single" w:color="000000" w:sz="4" w:space="0"/>
              <w:bottom w:val="single" w:color="000000" w:sz="4" w:space="0"/>
              <w:right w:val="single" w:color="000000" w:sz="4" w:space="0"/>
            </w:tcBorders>
            <w:noWrap/>
            <w:vAlign w:val="center"/>
          </w:tcPr>
          <w:p w14:paraId="2D66C05C">
            <w:pPr>
              <w:jc w:val="center"/>
              <w:rPr>
                <w:rFonts w:hint="eastAsia" w:ascii="宋体" w:hAnsi="宋体" w:eastAsia="宋体" w:cs="宋体"/>
                <w:color w:val="000000"/>
                <w:sz w:val="21"/>
                <w:szCs w:val="21"/>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66D52EB3">
            <w:pPr>
              <w:jc w:val="center"/>
              <w:rPr>
                <w:rFonts w:hint="eastAsia" w:ascii="宋体" w:hAnsi="宋体" w:eastAsia="宋体" w:cs="宋体"/>
                <w:color w:val="000000"/>
                <w:sz w:val="21"/>
                <w:szCs w:val="21"/>
              </w:rPr>
            </w:pPr>
          </w:p>
        </w:tc>
        <w:tc>
          <w:tcPr>
            <w:tcW w:w="2189" w:type="dxa"/>
            <w:tcBorders>
              <w:top w:val="single" w:color="000000" w:sz="4" w:space="0"/>
              <w:left w:val="single" w:color="000000" w:sz="4" w:space="0"/>
              <w:bottom w:val="single" w:color="000000" w:sz="4" w:space="0"/>
              <w:right w:val="single" w:color="000000" w:sz="4" w:space="0"/>
            </w:tcBorders>
            <w:vAlign w:val="center"/>
          </w:tcPr>
          <w:p w14:paraId="00A3FE50">
            <w:pPr>
              <w:widowControl/>
              <w:jc w:val="left"/>
              <w:textAlignment w:val="center"/>
              <w:rPr>
                <w:rFonts w:hint="eastAsia" w:ascii="宋体" w:hAnsi="宋体" w:eastAsia="宋体" w:cs="宋体"/>
                <w:color w:val="000000"/>
                <w:sz w:val="21"/>
                <w:szCs w:val="21"/>
              </w:rPr>
            </w:pPr>
          </w:p>
        </w:tc>
        <w:tc>
          <w:tcPr>
            <w:tcW w:w="2655" w:type="dxa"/>
            <w:tcBorders>
              <w:top w:val="single" w:color="000000" w:sz="4" w:space="0"/>
              <w:left w:val="single" w:color="000000" w:sz="4" w:space="0"/>
              <w:bottom w:val="single" w:color="000000" w:sz="4" w:space="0"/>
              <w:right w:val="single" w:color="000000" w:sz="4" w:space="0"/>
            </w:tcBorders>
            <w:vAlign w:val="center"/>
          </w:tcPr>
          <w:p w14:paraId="07623739">
            <w:pPr>
              <w:widowControl/>
              <w:jc w:val="left"/>
              <w:textAlignment w:val="center"/>
              <w:rPr>
                <w:rFonts w:hint="eastAsia" w:ascii="宋体" w:hAnsi="宋体" w:eastAsia="宋体" w:cs="宋体"/>
                <w:color w:val="000000"/>
                <w:kern w:val="0"/>
                <w:sz w:val="21"/>
                <w:szCs w:val="21"/>
                <w:lang w:bidi="ar"/>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6B60F6BA">
            <w:pPr>
              <w:widowControl/>
              <w:jc w:val="left"/>
              <w:textAlignment w:val="center"/>
              <w:rPr>
                <w:rFonts w:hint="eastAsia" w:ascii="宋体" w:hAnsi="宋体" w:eastAsia="宋体" w:cs="宋体"/>
                <w:color w:val="000000"/>
                <w:kern w:val="0"/>
                <w:sz w:val="21"/>
                <w:szCs w:val="21"/>
                <w:lang w:bidi="ar"/>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6D38F153">
            <w:pPr>
              <w:widowControl/>
              <w:jc w:val="left"/>
              <w:textAlignment w:val="center"/>
              <w:rPr>
                <w:rFonts w:hint="eastAsia" w:ascii="宋体" w:hAnsi="宋体" w:eastAsia="宋体" w:cs="宋体"/>
                <w:color w:val="000000"/>
                <w:kern w:val="0"/>
                <w:sz w:val="21"/>
                <w:szCs w:val="21"/>
                <w:lang w:bidi="ar"/>
              </w:rPr>
            </w:pPr>
          </w:p>
        </w:tc>
      </w:tr>
      <w:tr w14:paraId="18AB6F0F">
        <w:tblPrEx>
          <w:tblCellMar>
            <w:top w:w="0" w:type="dxa"/>
            <w:left w:w="108" w:type="dxa"/>
            <w:bottom w:w="0" w:type="dxa"/>
            <w:right w:w="108" w:type="dxa"/>
          </w:tblCellMar>
        </w:tblPrEx>
        <w:trPr>
          <w:trHeight w:val="23" w:hRule="atLeast"/>
        </w:trPr>
        <w:tc>
          <w:tcPr>
            <w:tcW w:w="860" w:type="dxa"/>
            <w:vMerge w:val="continue"/>
            <w:tcBorders>
              <w:top w:val="single" w:color="000000" w:sz="4" w:space="0"/>
              <w:left w:val="single" w:color="000000" w:sz="4" w:space="0"/>
              <w:bottom w:val="single" w:color="000000" w:sz="4" w:space="0"/>
              <w:right w:val="single" w:color="000000" w:sz="4" w:space="0"/>
            </w:tcBorders>
            <w:noWrap/>
            <w:vAlign w:val="center"/>
          </w:tcPr>
          <w:p w14:paraId="1263D77E">
            <w:pPr>
              <w:jc w:val="center"/>
              <w:rPr>
                <w:rFonts w:hint="eastAsia" w:ascii="宋体" w:hAnsi="宋体" w:eastAsia="宋体" w:cs="宋体"/>
                <w:color w:val="000000"/>
                <w:sz w:val="21"/>
                <w:szCs w:val="21"/>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196CFFC9">
            <w:pPr>
              <w:jc w:val="center"/>
              <w:rPr>
                <w:rFonts w:hint="eastAsia" w:ascii="宋体" w:hAnsi="宋体" w:eastAsia="宋体" w:cs="宋体"/>
                <w:color w:val="000000"/>
                <w:sz w:val="21"/>
                <w:szCs w:val="21"/>
              </w:rPr>
            </w:pPr>
          </w:p>
        </w:tc>
        <w:tc>
          <w:tcPr>
            <w:tcW w:w="2189" w:type="dxa"/>
            <w:tcBorders>
              <w:top w:val="single" w:color="000000" w:sz="4" w:space="0"/>
              <w:left w:val="single" w:color="000000" w:sz="4" w:space="0"/>
              <w:bottom w:val="single" w:color="000000" w:sz="4" w:space="0"/>
              <w:right w:val="single" w:color="000000" w:sz="4" w:space="0"/>
            </w:tcBorders>
            <w:vAlign w:val="center"/>
          </w:tcPr>
          <w:p w14:paraId="01D0F079">
            <w:pPr>
              <w:widowControl/>
              <w:jc w:val="left"/>
              <w:textAlignment w:val="center"/>
              <w:rPr>
                <w:rFonts w:hint="eastAsia" w:ascii="宋体" w:hAnsi="宋体" w:eastAsia="宋体" w:cs="宋体"/>
                <w:color w:val="000000"/>
                <w:sz w:val="21"/>
                <w:szCs w:val="21"/>
              </w:rPr>
            </w:pPr>
          </w:p>
        </w:tc>
        <w:tc>
          <w:tcPr>
            <w:tcW w:w="2655" w:type="dxa"/>
            <w:tcBorders>
              <w:top w:val="single" w:color="000000" w:sz="4" w:space="0"/>
              <w:left w:val="single" w:color="000000" w:sz="4" w:space="0"/>
              <w:bottom w:val="single" w:color="000000" w:sz="4" w:space="0"/>
              <w:right w:val="single" w:color="000000" w:sz="4" w:space="0"/>
            </w:tcBorders>
            <w:vAlign w:val="center"/>
          </w:tcPr>
          <w:p w14:paraId="76E61634">
            <w:pPr>
              <w:widowControl/>
              <w:jc w:val="left"/>
              <w:textAlignment w:val="center"/>
              <w:rPr>
                <w:rFonts w:hint="eastAsia" w:ascii="宋体" w:hAnsi="宋体" w:eastAsia="宋体" w:cs="宋体"/>
                <w:color w:val="000000"/>
                <w:kern w:val="0"/>
                <w:sz w:val="21"/>
                <w:szCs w:val="21"/>
                <w:lang w:bidi="ar"/>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21C502B4">
            <w:pPr>
              <w:widowControl/>
              <w:jc w:val="left"/>
              <w:textAlignment w:val="center"/>
              <w:rPr>
                <w:rFonts w:hint="eastAsia" w:ascii="宋体" w:hAnsi="宋体" w:eastAsia="宋体" w:cs="宋体"/>
                <w:color w:val="000000"/>
                <w:kern w:val="0"/>
                <w:sz w:val="21"/>
                <w:szCs w:val="21"/>
                <w:lang w:bidi="ar"/>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33053037">
            <w:pPr>
              <w:widowControl/>
              <w:jc w:val="left"/>
              <w:textAlignment w:val="center"/>
              <w:rPr>
                <w:rFonts w:hint="eastAsia" w:ascii="宋体" w:hAnsi="宋体" w:eastAsia="宋体" w:cs="宋体"/>
                <w:color w:val="000000"/>
                <w:kern w:val="0"/>
                <w:sz w:val="21"/>
                <w:szCs w:val="21"/>
                <w:lang w:bidi="ar"/>
              </w:rPr>
            </w:pPr>
          </w:p>
        </w:tc>
      </w:tr>
      <w:tr w14:paraId="61BCDC03">
        <w:tblPrEx>
          <w:tblCellMar>
            <w:top w:w="0" w:type="dxa"/>
            <w:left w:w="108" w:type="dxa"/>
            <w:bottom w:w="0" w:type="dxa"/>
            <w:right w:w="108" w:type="dxa"/>
          </w:tblCellMar>
        </w:tblPrEx>
        <w:trPr>
          <w:trHeight w:val="23" w:hRule="atLeast"/>
        </w:trPr>
        <w:tc>
          <w:tcPr>
            <w:tcW w:w="860" w:type="dxa"/>
            <w:vMerge w:val="continue"/>
            <w:tcBorders>
              <w:top w:val="single" w:color="000000" w:sz="4" w:space="0"/>
              <w:left w:val="single" w:color="000000" w:sz="4" w:space="0"/>
              <w:bottom w:val="single" w:color="000000" w:sz="4" w:space="0"/>
              <w:right w:val="single" w:color="000000" w:sz="4" w:space="0"/>
            </w:tcBorders>
            <w:noWrap/>
            <w:vAlign w:val="center"/>
          </w:tcPr>
          <w:p w14:paraId="3FB9B60D">
            <w:pPr>
              <w:jc w:val="center"/>
              <w:rPr>
                <w:rFonts w:hint="eastAsia" w:ascii="宋体" w:hAnsi="宋体" w:eastAsia="宋体" w:cs="宋体"/>
                <w:color w:val="000000"/>
                <w:sz w:val="21"/>
                <w:szCs w:val="21"/>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21A06D90">
            <w:pPr>
              <w:jc w:val="center"/>
              <w:rPr>
                <w:rFonts w:hint="eastAsia" w:ascii="宋体" w:hAnsi="宋体" w:eastAsia="宋体" w:cs="宋体"/>
                <w:color w:val="000000"/>
                <w:sz w:val="21"/>
                <w:szCs w:val="21"/>
              </w:rPr>
            </w:pPr>
          </w:p>
        </w:tc>
        <w:tc>
          <w:tcPr>
            <w:tcW w:w="2189" w:type="dxa"/>
            <w:tcBorders>
              <w:top w:val="single" w:color="000000" w:sz="4" w:space="0"/>
              <w:left w:val="single" w:color="000000" w:sz="4" w:space="0"/>
              <w:bottom w:val="single" w:color="000000" w:sz="4" w:space="0"/>
              <w:right w:val="single" w:color="000000" w:sz="4" w:space="0"/>
            </w:tcBorders>
            <w:vAlign w:val="center"/>
          </w:tcPr>
          <w:p w14:paraId="5DFB6E68">
            <w:pPr>
              <w:widowControl/>
              <w:jc w:val="left"/>
              <w:textAlignment w:val="center"/>
              <w:rPr>
                <w:rFonts w:hint="eastAsia" w:ascii="宋体" w:hAnsi="宋体" w:eastAsia="宋体" w:cs="宋体"/>
                <w:color w:val="000000"/>
                <w:sz w:val="21"/>
                <w:szCs w:val="21"/>
              </w:rPr>
            </w:pPr>
          </w:p>
        </w:tc>
        <w:tc>
          <w:tcPr>
            <w:tcW w:w="2655" w:type="dxa"/>
            <w:tcBorders>
              <w:top w:val="single" w:color="000000" w:sz="4" w:space="0"/>
              <w:left w:val="single" w:color="000000" w:sz="4" w:space="0"/>
              <w:bottom w:val="single" w:color="000000" w:sz="4" w:space="0"/>
              <w:right w:val="single" w:color="000000" w:sz="4" w:space="0"/>
            </w:tcBorders>
            <w:vAlign w:val="center"/>
          </w:tcPr>
          <w:p w14:paraId="39E54448">
            <w:pPr>
              <w:widowControl/>
              <w:jc w:val="left"/>
              <w:textAlignment w:val="center"/>
              <w:rPr>
                <w:rFonts w:hint="eastAsia" w:ascii="宋体" w:hAnsi="宋体" w:eastAsia="宋体" w:cs="宋体"/>
                <w:color w:val="000000"/>
                <w:kern w:val="0"/>
                <w:sz w:val="21"/>
                <w:szCs w:val="21"/>
                <w:lang w:bidi="ar"/>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6A0B9CA8">
            <w:pPr>
              <w:widowControl/>
              <w:jc w:val="left"/>
              <w:textAlignment w:val="center"/>
              <w:rPr>
                <w:rFonts w:hint="eastAsia" w:ascii="宋体" w:hAnsi="宋体" w:eastAsia="宋体" w:cs="宋体"/>
                <w:color w:val="000000"/>
                <w:kern w:val="0"/>
                <w:sz w:val="21"/>
                <w:szCs w:val="21"/>
                <w:lang w:bidi="ar"/>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73277D1D">
            <w:pPr>
              <w:widowControl/>
              <w:jc w:val="left"/>
              <w:textAlignment w:val="center"/>
              <w:rPr>
                <w:rFonts w:hint="eastAsia" w:ascii="宋体" w:hAnsi="宋体" w:eastAsia="宋体" w:cs="宋体"/>
                <w:color w:val="000000"/>
                <w:kern w:val="0"/>
                <w:sz w:val="21"/>
                <w:szCs w:val="21"/>
                <w:lang w:bidi="ar"/>
              </w:rPr>
            </w:pPr>
          </w:p>
        </w:tc>
      </w:tr>
      <w:tr w14:paraId="72D8395B">
        <w:tblPrEx>
          <w:tblCellMar>
            <w:top w:w="0" w:type="dxa"/>
            <w:left w:w="108" w:type="dxa"/>
            <w:bottom w:w="0" w:type="dxa"/>
            <w:right w:w="108" w:type="dxa"/>
          </w:tblCellMar>
        </w:tblPrEx>
        <w:trPr>
          <w:trHeight w:val="23" w:hRule="atLeast"/>
        </w:trPr>
        <w:tc>
          <w:tcPr>
            <w:tcW w:w="860" w:type="dxa"/>
            <w:vMerge w:val="continue"/>
            <w:tcBorders>
              <w:top w:val="single" w:color="000000" w:sz="4" w:space="0"/>
              <w:left w:val="single" w:color="000000" w:sz="4" w:space="0"/>
              <w:bottom w:val="single" w:color="000000" w:sz="4" w:space="0"/>
              <w:right w:val="single" w:color="000000" w:sz="4" w:space="0"/>
            </w:tcBorders>
            <w:noWrap/>
            <w:vAlign w:val="center"/>
          </w:tcPr>
          <w:p w14:paraId="39A3E931">
            <w:pPr>
              <w:jc w:val="center"/>
              <w:rPr>
                <w:rFonts w:hint="eastAsia" w:ascii="宋体" w:hAnsi="宋体" w:eastAsia="宋体" w:cs="宋体"/>
                <w:color w:val="000000"/>
                <w:sz w:val="21"/>
                <w:szCs w:val="21"/>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31BA0B9F">
            <w:pPr>
              <w:jc w:val="center"/>
              <w:rPr>
                <w:rFonts w:hint="eastAsia" w:ascii="宋体" w:hAnsi="宋体" w:eastAsia="宋体" w:cs="宋体"/>
                <w:color w:val="000000"/>
                <w:sz w:val="21"/>
                <w:szCs w:val="21"/>
              </w:rPr>
            </w:pPr>
          </w:p>
        </w:tc>
        <w:tc>
          <w:tcPr>
            <w:tcW w:w="2189" w:type="dxa"/>
            <w:tcBorders>
              <w:top w:val="single" w:color="000000" w:sz="4" w:space="0"/>
              <w:left w:val="single" w:color="000000" w:sz="4" w:space="0"/>
              <w:bottom w:val="single" w:color="000000" w:sz="4" w:space="0"/>
              <w:right w:val="single" w:color="000000" w:sz="4" w:space="0"/>
            </w:tcBorders>
            <w:vAlign w:val="center"/>
          </w:tcPr>
          <w:p w14:paraId="45C4176A">
            <w:pPr>
              <w:widowControl/>
              <w:jc w:val="left"/>
              <w:textAlignment w:val="center"/>
              <w:rPr>
                <w:rFonts w:hint="eastAsia" w:ascii="宋体" w:hAnsi="宋体" w:eastAsia="宋体" w:cs="宋体"/>
                <w:color w:val="000000"/>
                <w:sz w:val="21"/>
                <w:szCs w:val="21"/>
              </w:rPr>
            </w:pPr>
          </w:p>
        </w:tc>
        <w:tc>
          <w:tcPr>
            <w:tcW w:w="2655" w:type="dxa"/>
            <w:tcBorders>
              <w:top w:val="single" w:color="000000" w:sz="4" w:space="0"/>
              <w:left w:val="single" w:color="000000" w:sz="4" w:space="0"/>
              <w:bottom w:val="single" w:color="000000" w:sz="4" w:space="0"/>
              <w:right w:val="single" w:color="000000" w:sz="4" w:space="0"/>
            </w:tcBorders>
            <w:vAlign w:val="center"/>
          </w:tcPr>
          <w:p w14:paraId="52C3F69E">
            <w:pPr>
              <w:widowControl/>
              <w:jc w:val="left"/>
              <w:textAlignment w:val="center"/>
              <w:rPr>
                <w:rFonts w:hint="eastAsia" w:ascii="宋体" w:hAnsi="宋体" w:eastAsia="宋体" w:cs="宋体"/>
                <w:color w:val="000000"/>
                <w:kern w:val="0"/>
                <w:sz w:val="21"/>
                <w:szCs w:val="21"/>
                <w:lang w:bidi="ar"/>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5898F11E">
            <w:pPr>
              <w:widowControl/>
              <w:jc w:val="left"/>
              <w:textAlignment w:val="center"/>
              <w:rPr>
                <w:rFonts w:hint="eastAsia" w:ascii="宋体" w:hAnsi="宋体" w:eastAsia="宋体" w:cs="宋体"/>
                <w:color w:val="000000"/>
                <w:kern w:val="0"/>
                <w:sz w:val="21"/>
                <w:szCs w:val="21"/>
                <w:lang w:bidi="ar"/>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474F3D76">
            <w:pPr>
              <w:widowControl/>
              <w:jc w:val="left"/>
              <w:textAlignment w:val="center"/>
              <w:rPr>
                <w:rFonts w:hint="eastAsia" w:ascii="宋体" w:hAnsi="宋体" w:eastAsia="宋体" w:cs="宋体"/>
                <w:color w:val="000000"/>
                <w:kern w:val="0"/>
                <w:sz w:val="21"/>
                <w:szCs w:val="21"/>
                <w:lang w:bidi="ar"/>
              </w:rPr>
            </w:pPr>
          </w:p>
        </w:tc>
      </w:tr>
      <w:tr w14:paraId="7952B1EE">
        <w:tblPrEx>
          <w:tblCellMar>
            <w:top w:w="0" w:type="dxa"/>
            <w:left w:w="108" w:type="dxa"/>
            <w:bottom w:w="0" w:type="dxa"/>
            <w:right w:w="108" w:type="dxa"/>
          </w:tblCellMar>
        </w:tblPrEx>
        <w:trPr>
          <w:trHeight w:val="23" w:hRule="atLeast"/>
        </w:trPr>
        <w:tc>
          <w:tcPr>
            <w:tcW w:w="860" w:type="dxa"/>
            <w:vMerge w:val="continue"/>
            <w:tcBorders>
              <w:top w:val="single" w:color="000000" w:sz="4" w:space="0"/>
              <w:left w:val="single" w:color="000000" w:sz="4" w:space="0"/>
              <w:bottom w:val="single" w:color="000000" w:sz="4" w:space="0"/>
              <w:right w:val="single" w:color="000000" w:sz="4" w:space="0"/>
            </w:tcBorders>
            <w:noWrap/>
            <w:vAlign w:val="center"/>
          </w:tcPr>
          <w:p w14:paraId="5C6F35F2">
            <w:pPr>
              <w:jc w:val="center"/>
              <w:rPr>
                <w:rFonts w:hint="eastAsia" w:ascii="宋体" w:hAnsi="宋体" w:eastAsia="宋体" w:cs="宋体"/>
                <w:color w:val="000000"/>
                <w:sz w:val="21"/>
                <w:szCs w:val="21"/>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4A6DE0A3">
            <w:pPr>
              <w:jc w:val="center"/>
              <w:rPr>
                <w:rFonts w:hint="eastAsia" w:ascii="宋体" w:hAnsi="宋体" w:eastAsia="宋体" w:cs="宋体"/>
                <w:color w:val="000000"/>
                <w:sz w:val="21"/>
                <w:szCs w:val="21"/>
              </w:rPr>
            </w:pPr>
          </w:p>
        </w:tc>
        <w:tc>
          <w:tcPr>
            <w:tcW w:w="2189" w:type="dxa"/>
            <w:tcBorders>
              <w:top w:val="single" w:color="000000" w:sz="4" w:space="0"/>
              <w:left w:val="single" w:color="000000" w:sz="4" w:space="0"/>
              <w:bottom w:val="single" w:color="000000" w:sz="4" w:space="0"/>
              <w:right w:val="single" w:color="000000" w:sz="4" w:space="0"/>
            </w:tcBorders>
            <w:vAlign w:val="center"/>
          </w:tcPr>
          <w:p w14:paraId="4F66C0C4">
            <w:pPr>
              <w:widowControl/>
              <w:jc w:val="left"/>
              <w:textAlignment w:val="center"/>
              <w:rPr>
                <w:rFonts w:hint="eastAsia" w:ascii="宋体" w:hAnsi="宋体" w:eastAsia="宋体" w:cs="宋体"/>
                <w:color w:val="000000"/>
                <w:sz w:val="21"/>
                <w:szCs w:val="21"/>
              </w:rPr>
            </w:pPr>
          </w:p>
        </w:tc>
        <w:tc>
          <w:tcPr>
            <w:tcW w:w="2655" w:type="dxa"/>
            <w:tcBorders>
              <w:top w:val="single" w:color="000000" w:sz="4" w:space="0"/>
              <w:left w:val="single" w:color="000000" w:sz="4" w:space="0"/>
              <w:bottom w:val="single" w:color="000000" w:sz="4" w:space="0"/>
              <w:right w:val="single" w:color="000000" w:sz="4" w:space="0"/>
            </w:tcBorders>
            <w:vAlign w:val="center"/>
          </w:tcPr>
          <w:p w14:paraId="211B0843">
            <w:pPr>
              <w:widowControl/>
              <w:jc w:val="left"/>
              <w:textAlignment w:val="center"/>
              <w:rPr>
                <w:rFonts w:hint="eastAsia" w:ascii="宋体" w:hAnsi="宋体" w:eastAsia="宋体" w:cs="宋体"/>
                <w:color w:val="000000"/>
                <w:kern w:val="0"/>
                <w:sz w:val="21"/>
                <w:szCs w:val="21"/>
                <w:lang w:bidi="ar"/>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1C933DAA">
            <w:pPr>
              <w:widowControl/>
              <w:jc w:val="left"/>
              <w:textAlignment w:val="center"/>
              <w:rPr>
                <w:rFonts w:hint="eastAsia" w:ascii="宋体" w:hAnsi="宋体" w:eastAsia="宋体" w:cs="宋体"/>
                <w:color w:val="000000"/>
                <w:kern w:val="0"/>
                <w:sz w:val="21"/>
                <w:szCs w:val="21"/>
                <w:lang w:bidi="ar"/>
              </w:rPr>
            </w:pPr>
          </w:p>
        </w:tc>
        <w:tc>
          <w:tcPr>
            <w:tcW w:w="486" w:type="dxa"/>
            <w:tcBorders>
              <w:top w:val="single" w:color="000000" w:sz="4" w:space="0"/>
              <w:left w:val="single" w:color="000000" w:sz="4" w:space="0"/>
              <w:bottom w:val="single" w:color="000000" w:sz="4" w:space="0"/>
              <w:right w:val="single" w:color="000000" w:sz="4" w:space="0"/>
            </w:tcBorders>
            <w:vAlign w:val="center"/>
          </w:tcPr>
          <w:p w14:paraId="127766B9">
            <w:pPr>
              <w:widowControl/>
              <w:jc w:val="left"/>
              <w:textAlignment w:val="center"/>
              <w:rPr>
                <w:rFonts w:hint="eastAsia" w:ascii="宋体" w:hAnsi="宋体" w:eastAsia="宋体" w:cs="宋体"/>
                <w:color w:val="000000"/>
                <w:kern w:val="0"/>
                <w:sz w:val="21"/>
                <w:szCs w:val="21"/>
                <w:lang w:bidi="ar"/>
              </w:rPr>
            </w:pPr>
          </w:p>
        </w:tc>
      </w:tr>
    </w:tbl>
    <w:p w14:paraId="6268FD5B">
      <w:pPr>
        <w:rPr>
          <w:szCs w:val="21"/>
        </w:rPr>
      </w:pPr>
      <w:r>
        <w:rPr>
          <w:rFonts w:hint="eastAsia"/>
          <w:szCs w:val="21"/>
        </w:rPr>
        <w:t>证明资料【如有的话，提供的证明资料应统一编号（排序），格式自定】</w:t>
      </w:r>
      <w:bookmarkEnd w:id="71"/>
      <w:r>
        <w:rPr>
          <w:rFonts w:hint="eastAsia"/>
          <w:szCs w:val="21"/>
        </w:rPr>
        <w:t>：</w:t>
      </w:r>
    </w:p>
    <w:p w14:paraId="7A6271E4">
      <w:pPr>
        <w:ind w:firstLine="422" w:firstLineChars="200"/>
        <w:rPr>
          <w:b/>
          <w:szCs w:val="21"/>
        </w:rPr>
      </w:pPr>
    </w:p>
    <w:p w14:paraId="62B3C649">
      <w:pPr>
        <w:ind w:firstLine="420" w:firstLineChars="200"/>
        <w:rPr>
          <w:bCs/>
          <w:szCs w:val="21"/>
        </w:rPr>
      </w:pPr>
      <w:r>
        <w:rPr>
          <w:rFonts w:hint="eastAsia"/>
          <w:bCs/>
          <w:szCs w:val="21"/>
        </w:rPr>
        <w:t>《技术要求偏离表》编制指引：</w:t>
      </w:r>
    </w:p>
    <w:p w14:paraId="14ED307A">
      <w:pPr>
        <w:ind w:firstLine="420" w:firstLineChars="200"/>
        <w:rPr>
          <w:bCs/>
          <w:szCs w:val="21"/>
        </w:rPr>
      </w:pPr>
      <w:r>
        <w:rPr>
          <w:rFonts w:hint="eastAsia"/>
          <w:bCs/>
          <w:szCs w:val="21"/>
        </w:rPr>
        <w:t>1、技术要求偏离表的序号、货物名称、招标技术要求等栏目</w:t>
      </w:r>
      <w:bookmarkStart w:id="72" w:name="_Hlk72094407"/>
      <w:r>
        <w:rPr>
          <w:rFonts w:hint="eastAsia"/>
          <w:bCs/>
          <w:szCs w:val="21"/>
        </w:rPr>
        <w:t>对应“用户需求书”中的“技术要求”章节</w:t>
      </w:r>
      <w:bookmarkEnd w:id="72"/>
      <w:r>
        <w:rPr>
          <w:rFonts w:hint="eastAsia"/>
          <w:bCs/>
          <w:szCs w:val="21"/>
        </w:rPr>
        <w:t>相关内容。</w:t>
      </w:r>
    </w:p>
    <w:p w14:paraId="13C7CEEA">
      <w:pPr>
        <w:pStyle w:val="17"/>
        <w:widowControl/>
        <w:spacing w:beforeAutospacing="0" w:afterAutospacing="0"/>
        <w:ind w:firstLine="420" w:firstLineChars="200"/>
        <w:jc w:val="both"/>
        <w:outlineLvl w:val="1"/>
        <w:rPr>
          <w:bCs/>
          <w:color w:val="FF0000"/>
          <w:kern w:val="2"/>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bCs/>
          <w:color w:val="FF0000"/>
          <w:kern w:val="2"/>
          <w:sz w:val="21"/>
          <w:szCs w:val="21"/>
        </w:rPr>
        <w:t>“投标技术响应”必须与所投产品客观实际保持一致，响应不实且情节严重的，经查实，将依法记入供应商诚信档案或受到行政处罚。</w:t>
      </w:r>
    </w:p>
    <w:p w14:paraId="55AE8055">
      <w:pPr>
        <w:ind w:firstLine="420" w:firstLineChars="200"/>
        <w:rPr>
          <w:bCs/>
          <w:color w:val="FF0000"/>
          <w:szCs w:val="21"/>
        </w:rPr>
      </w:pPr>
      <w:r>
        <w:rPr>
          <w:bCs/>
          <w:szCs w:val="21"/>
        </w:rPr>
        <w:t>3</w:t>
      </w:r>
      <w:r>
        <w:rPr>
          <w:rFonts w:hint="eastAsia"/>
          <w:bCs/>
          <w:szCs w:val="21"/>
        </w:rPr>
        <w:t>、</w:t>
      </w:r>
      <w:bookmarkStart w:id="73" w:name="_Hlk72158270"/>
      <w:r>
        <w:rPr>
          <w:rFonts w:hint="eastAsia"/>
          <w:bCs/>
          <w:szCs w:val="21"/>
        </w:rPr>
        <w:t>“偏离情况”</w:t>
      </w:r>
      <w:bookmarkEnd w:id="73"/>
      <w:r>
        <w:rPr>
          <w:rFonts w:hint="eastAsia"/>
          <w:bCs/>
          <w:szCs w:val="21"/>
        </w:rPr>
        <w:t>一栏填写如实填写“正偏离”、“负偏离”或“无偏离”，其中：</w:t>
      </w:r>
      <w:bookmarkStart w:id="74" w:name="_Hlk72093866"/>
      <w:r>
        <w:rPr>
          <w:rFonts w:hint="eastAsia"/>
          <w:bCs/>
          <w:szCs w:val="21"/>
        </w:rPr>
        <w:t>“正偏离”表示“投标响应优于招标技术要求”，“负偏离”表示“投标响应不满足招标技术要求”，“无偏离”表示“投标响应与招标技术要求一致”</w:t>
      </w:r>
      <w:bookmarkEnd w:id="74"/>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如未响应或出现负偏离的，将做投标无效处理。</w:t>
      </w:r>
      <w:r>
        <w:rPr>
          <w:rFonts w:hint="eastAsia"/>
          <w:bCs/>
          <w:color w:val="FF0000"/>
          <w:szCs w:val="21"/>
        </w:rPr>
        <w:t>“偏离情况”必须与所投产品客观实际保持一致，响应不实且情节严重的，经查实，将依法记入供应商诚信档案或受到行政处罚。</w:t>
      </w:r>
    </w:p>
    <w:p w14:paraId="786322CD">
      <w:pPr>
        <w:ind w:firstLine="420" w:firstLineChars="200"/>
        <w:rPr>
          <w:bCs/>
          <w:szCs w:val="21"/>
        </w:rPr>
      </w:pPr>
      <w:r>
        <w:rPr>
          <w:bCs/>
          <w:szCs w:val="21"/>
        </w:rPr>
        <w:t>4</w:t>
      </w:r>
      <w:r>
        <w:rPr>
          <w:rFonts w:hint="eastAsia"/>
          <w:bCs/>
          <w:szCs w:val="21"/>
        </w:rPr>
        <w:t>、未要求提供证明资料的招标技术要求，可以不提供证明资料（如实响应即可）。</w:t>
      </w:r>
    </w:p>
    <w:p w14:paraId="054CC3EB">
      <w:pPr>
        <w:ind w:firstLine="420" w:firstLineChars="200"/>
        <w:rPr>
          <w:bCs/>
          <w:szCs w:val="21"/>
        </w:rPr>
      </w:pPr>
      <w:r>
        <w:rPr>
          <w:rFonts w:hint="eastAsia"/>
          <w:bCs/>
          <w:szCs w:val="21"/>
        </w:rPr>
        <w:t>5、</w:t>
      </w:r>
      <w:bookmarkStart w:id="75" w:name="_Hlk72096106"/>
      <w:r>
        <w:rPr>
          <w:rFonts w:hint="eastAsia"/>
          <w:bCs/>
          <w:szCs w:val="21"/>
        </w:rPr>
        <w:t>证明资料条款响应要求</w:t>
      </w:r>
      <w:bookmarkEnd w:id="75"/>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6"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7" w:name="_Hlk73558164"/>
      <w:r>
        <w:rPr>
          <w:rFonts w:hint="eastAsia"/>
          <w:bCs/>
          <w:szCs w:val="21"/>
        </w:rPr>
        <w:t>且投标人在“偏离情况”一栏响应为“正偏离”或“无偏离”的，经评审委员会认定，将判定为负偏离。</w:t>
      </w:r>
      <w:bookmarkEnd w:id="76"/>
      <w:bookmarkEnd w:id="77"/>
    </w:p>
    <w:p w14:paraId="6CC1A9CB">
      <w:pPr>
        <w:ind w:firstLine="420" w:firstLineChars="200"/>
        <w:rPr>
          <w:bCs/>
          <w:szCs w:val="21"/>
        </w:rPr>
      </w:pPr>
      <w:r>
        <w:rPr>
          <w:rFonts w:hint="eastAsia"/>
          <w:bCs/>
          <w:szCs w:val="21"/>
        </w:rPr>
        <w:t>6、</w:t>
      </w:r>
      <w:bookmarkStart w:id="78" w:name="_Hlk72096137"/>
      <w:r>
        <w:rPr>
          <w:rFonts w:hint="eastAsia"/>
          <w:bCs/>
          <w:szCs w:val="21"/>
        </w:rPr>
        <w:t>表后“证明资料”部分内容的编制</w:t>
      </w:r>
      <w:bookmarkEnd w:id="78"/>
      <w:r>
        <w:rPr>
          <w:rFonts w:hint="eastAsia"/>
          <w:bCs/>
          <w:szCs w:val="21"/>
        </w:rPr>
        <w:t>：提供的所有证明资料应当统一编号（排序），且证明资料的编号（顺序）、数量和名称（形式）均应与“说明”一栏所填内容保持一致（一一对应），以便评审委员会查看。</w:t>
      </w:r>
      <w:bookmarkStart w:id="79" w:name="_Hlk73558180"/>
      <w:r>
        <w:rPr>
          <w:rFonts w:hint="eastAsia"/>
          <w:bCs/>
          <w:szCs w:val="21"/>
        </w:rPr>
        <w:t>未按照招标文件要求在表后放置证明材料的供应商将承担不利后果，经评审委员会认定，相关技术要求将判定为负偏离。</w:t>
      </w:r>
      <w:bookmarkEnd w:id="79"/>
    </w:p>
    <w:p w14:paraId="4095C987">
      <w:pPr>
        <w:ind w:firstLine="420" w:firstLineChars="200"/>
        <w:rPr>
          <w:bCs/>
          <w:szCs w:val="21"/>
        </w:rPr>
      </w:pPr>
      <w:r>
        <w:rPr>
          <w:rFonts w:hint="eastAsia"/>
          <w:bCs/>
          <w:szCs w:val="21"/>
        </w:rPr>
        <w:t>7、</w:t>
      </w:r>
      <w:bookmarkStart w:id="80" w:name="_Hlk72096176"/>
      <w:r>
        <w:rPr>
          <w:rFonts w:hint="eastAsia"/>
          <w:bCs/>
          <w:szCs w:val="21"/>
        </w:rPr>
        <w:t>证明资料的形式及其它具体要求</w:t>
      </w:r>
      <w:bookmarkEnd w:id="80"/>
      <w:r>
        <w:rPr>
          <w:rFonts w:hint="eastAsia"/>
          <w:bCs/>
          <w:szCs w:val="21"/>
        </w:rPr>
        <w:t>：</w:t>
      </w:r>
    </w:p>
    <w:p w14:paraId="3E99426B">
      <w:pPr>
        <w:ind w:firstLine="420" w:firstLineChars="200"/>
        <w:rPr>
          <w:bCs/>
          <w:szCs w:val="21"/>
        </w:rPr>
      </w:pPr>
      <w:r>
        <w:rPr>
          <w:rFonts w:hint="eastAsia"/>
          <w:bCs/>
          <w:szCs w:val="21"/>
        </w:rPr>
        <w:t>（1）除照片、图片（截图）及不需加盖公章的文字说明（技术说明）外，其它证明资料均要求为原件扫描件；</w:t>
      </w:r>
    </w:p>
    <w:p w14:paraId="2FE0D172">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5F917EB1">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28974412">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14:paraId="6A9FEF15">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7050F58F">
      <w:pPr>
        <w:ind w:firstLine="420" w:firstLineChars="200"/>
        <w:rPr>
          <w:bCs/>
          <w:szCs w:val="21"/>
        </w:rPr>
      </w:pPr>
      <w:r>
        <w:rPr>
          <w:rFonts w:hint="eastAsia"/>
          <w:bCs/>
          <w:szCs w:val="21"/>
        </w:rPr>
        <w:t>其它证明资料的形式要求参照以上要求执行；</w:t>
      </w:r>
    </w:p>
    <w:p w14:paraId="7AEBCD9E">
      <w:pPr>
        <w:ind w:firstLine="422" w:firstLineChars="200"/>
        <w:rPr>
          <w:b/>
          <w:szCs w:val="21"/>
        </w:rPr>
      </w:pPr>
      <w:r>
        <w:rPr>
          <w:rFonts w:hint="eastAsia"/>
          <w:b/>
          <w:szCs w:val="21"/>
        </w:rPr>
        <w:t>8、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364078DB">
      <w:pPr>
        <w:ind w:firstLine="420" w:firstLineChars="200"/>
        <w:rPr>
          <w:bCs/>
          <w:szCs w:val="21"/>
        </w:rPr>
      </w:pPr>
      <w:r>
        <w:rPr>
          <w:rFonts w:hint="eastAsia"/>
          <w:bCs/>
          <w:szCs w:val="21"/>
        </w:rPr>
        <w:t>9、其它注意事项：</w:t>
      </w:r>
    </w:p>
    <w:p w14:paraId="51305B29">
      <w:pPr>
        <w:ind w:firstLine="420" w:firstLineChars="200"/>
        <w:rPr>
          <w:bCs/>
          <w:szCs w:val="21"/>
        </w:rPr>
      </w:pPr>
      <w:r>
        <w:rPr>
          <w:rFonts w:hint="eastAsia"/>
          <w:bCs/>
          <w:szCs w:val="21"/>
        </w:rPr>
        <w:t>（1）评审委员会有权对投标人的响应情况作出判断（评审结论）；</w:t>
      </w:r>
    </w:p>
    <w:p w14:paraId="2066EB8C">
      <w:pPr>
        <w:ind w:firstLine="420" w:firstLineChars="200"/>
        <w:rPr>
          <w:bCs/>
          <w:szCs w:val="21"/>
        </w:rPr>
      </w:pPr>
      <w:r>
        <w:rPr>
          <w:rFonts w:hint="eastAsia"/>
          <w:bCs/>
          <w:szCs w:val="21"/>
        </w:rPr>
        <w:t>（2）</w:t>
      </w:r>
      <w:bookmarkStart w:id="81"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81"/>
    </w:p>
    <w:p w14:paraId="63822C01">
      <w:pPr>
        <w:ind w:firstLine="482" w:firstLineChars="200"/>
        <w:rPr>
          <w:b/>
          <w:sz w:val="24"/>
        </w:rPr>
      </w:pPr>
    </w:p>
    <w:p w14:paraId="5A712401">
      <w:pPr>
        <w:rPr>
          <w:sz w:val="24"/>
        </w:rPr>
      </w:pPr>
      <w:r>
        <w:rPr>
          <w:sz w:val="24"/>
        </w:rPr>
        <w:br w:type="page"/>
      </w:r>
    </w:p>
    <w:p w14:paraId="319BB0BD">
      <w:pPr>
        <w:pStyle w:val="6"/>
        <w:jc w:val="center"/>
        <w:rPr>
          <w:rFonts w:hint="eastAsia"/>
          <w:sz w:val="24"/>
        </w:rPr>
      </w:pPr>
      <w:r>
        <w:rPr>
          <w:rFonts w:hint="eastAsia" w:ascii="黑体"/>
          <w:sz w:val="24"/>
          <w:szCs w:val="20"/>
        </w:rPr>
        <w:t>七、商务要求偏离表</w:t>
      </w:r>
    </w:p>
    <w:tbl>
      <w:tblPr>
        <w:tblStyle w:val="21"/>
        <w:tblW w:w="8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95"/>
        <w:gridCol w:w="2364"/>
        <w:gridCol w:w="2124"/>
        <w:gridCol w:w="984"/>
        <w:gridCol w:w="768"/>
      </w:tblGrid>
      <w:tr w14:paraId="503FF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72" w:type="dxa"/>
            <w:vAlign w:val="center"/>
          </w:tcPr>
          <w:p w14:paraId="62F83DD7">
            <w:pPr>
              <w:pStyle w:val="57"/>
              <w:rPr>
                <w:rFonts w:hint="eastAsia" w:ascii="宋体" w:hAnsi="宋体" w:eastAsia="宋体" w:cs="宋体"/>
                <w:sz w:val="21"/>
                <w:szCs w:val="21"/>
              </w:rPr>
            </w:pPr>
            <w:r>
              <w:rPr>
                <w:rFonts w:hint="eastAsia" w:ascii="宋体" w:hAnsi="宋体" w:eastAsia="宋体" w:cs="宋体"/>
                <w:sz w:val="21"/>
                <w:szCs w:val="21"/>
              </w:rPr>
              <w:t>序号</w:t>
            </w:r>
          </w:p>
        </w:tc>
        <w:tc>
          <w:tcPr>
            <w:tcW w:w="1095" w:type="dxa"/>
            <w:vAlign w:val="center"/>
          </w:tcPr>
          <w:p w14:paraId="49B3638D">
            <w:pPr>
              <w:pStyle w:val="57"/>
              <w:rPr>
                <w:rFonts w:hint="eastAsia" w:ascii="宋体" w:hAnsi="宋体" w:eastAsia="宋体" w:cs="宋体"/>
                <w:sz w:val="21"/>
                <w:szCs w:val="21"/>
              </w:rPr>
            </w:pPr>
            <w:r>
              <w:rPr>
                <w:rFonts w:hint="eastAsia" w:ascii="宋体" w:hAnsi="宋体" w:eastAsia="宋体" w:cs="宋体"/>
                <w:sz w:val="21"/>
                <w:szCs w:val="21"/>
              </w:rPr>
              <w:t>目录</w:t>
            </w:r>
          </w:p>
        </w:tc>
        <w:tc>
          <w:tcPr>
            <w:tcW w:w="2364" w:type="dxa"/>
            <w:vAlign w:val="center"/>
          </w:tcPr>
          <w:p w14:paraId="2FDE19EB">
            <w:pPr>
              <w:pStyle w:val="57"/>
              <w:jc w:val="center"/>
              <w:rPr>
                <w:rFonts w:hint="eastAsia" w:ascii="宋体" w:hAnsi="宋体" w:eastAsia="宋体" w:cs="宋体"/>
                <w:sz w:val="21"/>
                <w:szCs w:val="21"/>
              </w:rPr>
            </w:pPr>
            <w:r>
              <w:rPr>
                <w:rFonts w:hint="eastAsia" w:ascii="宋体" w:hAnsi="宋体" w:eastAsia="宋体" w:cs="宋体"/>
                <w:sz w:val="21"/>
                <w:szCs w:val="21"/>
              </w:rPr>
              <w:t>招标商务要求</w:t>
            </w:r>
          </w:p>
        </w:tc>
        <w:tc>
          <w:tcPr>
            <w:tcW w:w="2124" w:type="dxa"/>
            <w:vAlign w:val="center"/>
          </w:tcPr>
          <w:p w14:paraId="08D99E89">
            <w:pPr>
              <w:adjustRightInd w:val="0"/>
              <w:snapToGrid w:val="0"/>
              <w:jc w:val="center"/>
              <w:rPr>
                <w:rFonts w:hint="eastAsia" w:ascii="宋体" w:hAnsi="宋体" w:eastAsia="宋体" w:cs="宋体"/>
                <w:b w:val="0"/>
                <w:bCs/>
                <w:sz w:val="21"/>
                <w:szCs w:val="21"/>
              </w:rPr>
            </w:pPr>
            <w:r>
              <w:rPr>
                <w:rFonts w:hint="eastAsia" w:ascii="宋体" w:hAnsi="宋体" w:cs="宋体"/>
                <w:b w:val="0"/>
                <w:bCs/>
                <w:szCs w:val="21"/>
              </w:rPr>
              <w:t>投标商务响应</w:t>
            </w:r>
          </w:p>
        </w:tc>
        <w:tc>
          <w:tcPr>
            <w:tcW w:w="984" w:type="dxa"/>
            <w:vAlign w:val="center"/>
          </w:tcPr>
          <w:p w14:paraId="15EA762B">
            <w:pPr>
              <w:adjustRightInd w:val="0"/>
              <w:snapToGrid w:val="0"/>
              <w:jc w:val="center"/>
              <w:rPr>
                <w:rFonts w:hint="eastAsia" w:ascii="宋体" w:hAnsi="宋体" w:eastAsia="宋体" w:cs="宋体"/>
                <w:b w:val="0"/>
                <w:bCs/>
                <w:sz w:val="21"/>
                <w:szCs w:val="21"/>
              </w:rPr>
            </w:pPr>
            <w:r>
              <w:rPr>
                <w:rFonts w:hint="eastAsia" w:ascii="宋体" w:hAnsi="宋体" w:cs="宋体"/>
                <w:b w:val="0"/>
                <w:bCs/>
                <w:szCs w:val="21"/>
              </w:rPr>
              <w:t>偏离情况</w:t>
            </w:r>
          </w:p>
        </w:tc>
        <w:tc>
          <w:tcPr>
            <w:tcW w:w="768" w:type="dxa"/>
            <w:vAlign w:val="center"/>
          </w:tcPr>
          <w:p w14:paraId="1439D229">
            <w:pPr>
              <w:adjustRightInd w:val="0"/>
              <w:snapToGrid w:val="0"/>
              <w:jc w:val="center"/>
              <w:rPr>
                <w:rFonts w:hint="eastAsia" w:ascii="宋体" w:hAnsi="宋体" w:eastAsia="宋体" w:cs="宋体"/>
                <w:b w:val="0"/>
                <w:bCs/>
                <w:sz w:val="21"/>
                <w:szCs w:val="21"/>
              </w:rPr>
            </w:pPr>
            <w:r>
              <w:rPr>
                <w:rFonts w:hint="eastAsia" w:ascii="宋体" w:hAnsi="宋体" w:cs="宋体"/>
                <w:b w:val="0"/>
                <w:bCs/>
                <w:szCs w:val="21"/>
              </w:rPr>
              <w:t>说明</w:t>
            </w:r>
          </w:p>
        </w:tc>
      </w:tr>
      <w:tr w14:paraId="6630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8107" w:type="dxa"/>
            <w:gridSpan w:val="6"/>
            <w:vAlign w:val="center"/>
          </w:tcPr>
          <w:p w14:paraId="2C02BE17">
            <w:pPr>
              <w:pStyle w:val="57"/>
              <w:rPr>
                <w:rFonts w:hint="eastAsia" w:ascii="宋体" w:hAnsi="宋体" w:eastAsia="宋体" w:cs="宋体"/>
                <w:sz w:val="21"/>
                <w:szCs w:val="21"/>
              </w:rPr>
            </w:pPr>
          </w:p>
        </w:tc>
      </w:tr>
      <w:tr w14:paraId="082F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72" w:type="dxa"/>
            <w:vMerge w:val="restart"/>
            <w:vAlign w:val="center"/>
          </w:tcPr>
          <w:p w14:paraId="332FB074">
            <w:pPr>
              <w:pStyle w:val="57"/>
              <w:rPr>
                <w:rFonts w:hint="eastAsia" w:ascii="宋体" w:hAnsi="宋体" w:eastAsia="宋体" w:cs="宋体"/>
                <w:sz w:val="21"/>
                <w:szCs w:val="21"/>
              </w:rPr>
            </w:pPr>
          </w:p>
        </w:tc>
        <w:tc>
          <w:tcPr>
            <w:tcW w:w="1095" w:type="dxa"/>
            <w:vMerge w:val="restart"/>
            <w:vAlign w:val="center"/>
          </w:tcPr>
          <w:p w14:paraId="0720F0D0">
            <w:pPr>
              <w:pStyle w:val="57"/>
              <w:rPr>
                <w:rFonts w:hint="eastAsia" w:ascii="宋体" w:hAnsi="宋体" w:eastAsia="宋体" w:cs="宋体"/>
                <w:sz w:val="21"/>
                <w:szCs w:val="21"/>
              </w:rPr>
            </w:pPr>
          </w:p>
        </w:tc>
        <w:tc>
          <w:tcPr>
            <w:tcW w:w="2364" w:type="dxa"/>
            <w:vAlign w:val="center"/>
          </w:tcPr>
          <w:p w14:paraId="0042AA05">
            <w:pPr>
              <w:pStyle w:val="57"/>
              <w:rPr>
                <w:rFonts w:hint="eastAsia" w:ascii="宋体" w:hAnsi="宋体" w:eastAsia="宋体" w:cs="宋体"/>
                <w:sz w:val="21"/>
                <w:szCs w:val="21"/>
              </w:rPr>
            </w:pPr>
          </w:p>
        </w:tc>
        <w:tc>
          <w:tcPr>
            <w:tcW w:w="2124" w:type="dxa"/>
            <w:vAlign w:val="center"/>
          </w:tcPr>
          <w:p w14:paraId="201E6AC5">
            <w:pPr>
              <w:pStyle w:val="57"/>
              <w:rPr>
                <w:rFonts w:hint="eastAsia" w:ascii="宋体" w:hAnsi="宋体" w:eastAsia="宋体" w:cs="宋体"/>
                <w:sz w:val="21"/>
                <w:szCs w:val="21"/>
              </w:rPr>
            </w:pPr>
          </w:p>
        </w:tc>
        <w:tc>
          <w:tcPr>
            <w:tcW w:w="984" w:type="dxa"/>
            <w:vAlign w:val="center"/>
          </w:tcPr>
          <w:p w14:paraId="694501EB">
            <w:pPr>
              <w:pStyle w:val="57"/>
              <w:rPr>
                <w:rFonts w:hint="eastAsia" w:ascii="宋体" w:hAnsi="宋体" w:eastAsia="宋体" w:cs="宋体"/>
                <w:sz w:val="21"/>
                <w:szCs w:val="21"/>
              </w:rPr>
            </w:pPr>
          </w:p>
        </w:tc>
        <w:tc>
          <w:tcPr>
            <w:tcW w:w="768" w:type="dxa"/>
            <w:vAlign w:val="center"/>
          </w:tcPr>
          <w:p w14:paraId="5258DA7D">
            <w:pPr>
              <w:pStyle w:val="57"/>
              <w:rPr>
                <w:rFonts w:hint="eastAsia" w:ascii="宋体" w:hAnsi="宋体" w:eastAsia="宋体" w:cs="宋体"/>
                <w:sz w:val="21"/>
                <w:szCs w:val="21"/>
              </w:rPr>
            </w:pPr>
          </w:p>
        </w:tc>
      </w:tr>
      <w:tr w14:paraId="1F0A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72" w:type="dxa"/>
            <w:vMerge w:val="continue"/>
            <w:vAlign w:val="center"/>
          </w:tcPr>
          <w:p w14:paraId="3E31F1CF">
            <w:pPr>
              <w:pStyle w:val="57"/>
              <w:rPr>
                <w:rFonts w:hint="eastAsia" w:ascii="宋体" w:hAnsi="宋体" w:eastAsia="宋体" w:cs="宋体"/>
                <w:sz w:val="21"/>
                <w:szCs w:val="21"/>
              </w:rPr>
            </w:pPr>
          </w:p>
        </w:tc>
        <w:tc>
          <w:tcPr>
            <w:tcW w:w="1095" w:type="dxa"/>
            <w:vMerge w:val="continue"/>
            <w:vAlign w:val="center"/>
          </w:tcPr>
          <w:p w14:paraId="6EC2C2E3">
            <w:pPr>
              <w:pStyle w:val="57"/>
              <w:rPr>
                <w:rFonts w:hint="eastAsia" w:ascii="宋体" w:hAnsi="宋体" w:eastAsia="宋体" w:cs="宋体"/>
                <w:sz w:val="21"/>
                <w:szCs w:val="21"/>
              </w:rPr>
            </w:pPr>
          </w:p>
        </w:tc>
        <w:tc>
          <w:tcPr>
            <w:tcW w:w="2364" w:type="dxa"/>
            <w:vAlign w:val="center"/>
          </w:tcPr>
          <w:p w14:paraId="6BCB3EE7">
            <w:pPr>
              <w:pStyle w:val="57"/>
              <w:rPr>
                <w:rFonts w:hint="eastAsia" w:ascii="宋体" w:hAnsi="宋体" w:eastAsia="宋体" w:cs="宋体"/>
                <w:sz w:val="21"/>
                <w:szCs w:val="21"/>
              </w:rPr>
            </w:pPr>
          </w:p>
        </w:tc>
        <w:tc>
          <w:tcPr>
            <w:tcW w:w="2124" w:type="dxa"/>
            <w:vAlign w:val="center"/>
          </w:tcPr>
          <w:p w14:paraId="6B8699CA">
            <w:pPr>
              <w:pStyle w:val="57"/>
              <w:rPr>
                <w:rFonts w:hint="eastAsia" w:ascii="宋体" w:hAnsi="宋体" w:eastAsia="宋体" w:cs="宋体"/>
                <w:b/>
                <w:sz w:val="21"/>
                <w:szCs w:val="21"/>
              </w:rPr>
            </w:pPr>
          </w:p>
        </w:tc>
        <w:tc>
          <w:tcPr>
            <w:tcW w:w="984" w:type="dxa"/>
            <w:vAlign w:val="center"/>
          </w:tcPr>
          <w:p w14:paraId="6CA00977">
            <w:pPr>
              <w:pStyle w:val="57"/>
              <w:rPr>
                <w:rFonts w:hint="eastAsia" w:ascii="宋体" w:hAnsi="宋体" w:eastAsia="宋体" w:cs="宋体"/>
                <w:b/>
                <w:sz w:val="21"/>
                <w:szCs w:val="21"/>
              </w:rPr>
            </w:pPr>
          </w:p>
        </w:tc>
        <w:tc>
          <w:tcPr>
            <w:tcW w:w="768" w:type="dxa"/>
            <w:vAlign w:val="center"/>
          </w:tcPr>
          <w:p w14:paraId="12DE1374">
            <w:pPr>
              <w:pStyle w:val="57"/>
              <w:rPr>
                <w:rFonts w:hint="eastAsia" w:ascii="宋体" w:hAnsi="宋体" w:eastAsia="宋体" w:cs="宋体"/>
                <w:b/>
                <w:sz w:val="21"/>
                <w:szCs w:val="21"/>
              </w:rPr>
            </w:pPr>
          </w:p>
        </w:tc>
      </w:tr>
      <w:tr w14:paraId="50C4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72" w:type="dxa"/>
            <w:vMerge w:val="continue"/>
            <w:vAlign w:val="center"/>
          </w:tcPr>
          <w:p w14:paraId="3A0E89B3">
            <w:pPr>
              <w:pStyle w:val="57"/>
              <w:rPr>
                <w:rFonts w:hint="eastAsia" w:ascii="宋体" w:hAnsi="宋体" w:eastAsia="宋体" w:cs="宋体"/>
                <w:sz w:val="21"/>
                <w:szCs w:val="21"/>
              </w:rPr>
            </w:pPr>
          </w:p>
        </w:tc>
        <w:tc>
          <w:tcPr>
            <w:tcW w:w="1095" w:type="dxa"/>
            <w:vMerge w:val="continue"/>
            <w:vAlign w:val="center"/>
          </w:tcPr>
          <w:p w14:paraId="0B75E930">
            <w:pPr>
              <w:pStyle w:val="57"/>
              <w:rPr>
                <w:rFonts w:hint="eastAsia" w:ascii="宋体" w:hAnsi="宋体" w:eastAsia="宋体" w:cs="宋体"/>
                <w:sz w:val="21"/>
                <w:szCs w:val="21"/>
              </w:rPr>
            </w:pPr>
          </w:p>
        </w:tc>
        <w:tc>
          <w:tcPr>
            <w:tcW w:w="2364" w:type="dxa"/>
            <w:vAlign w:val="center"/>
          </w:tcPr>
          <w:p w14:paraId="27828CD8">
            <w:pPr>
              <w:pStyle w:val="57"/>
              <w:rPr>
                <w:rFonts w:hint="eastAsia" w:ascii="宋体" w:hAnsi="宋体" w:eastAsia="宋体" w:cs="宋体"/>
                <w:sz w:val="21"/>
                <w:szCs w:val="21"/>
              </w:rPr>
            </w:pPr>
          </w:p>
        </w:tc>
        <w:tc>
          <w:tcPr>
            <w:tcW w:w="2124" w:type="dxa"/>
            <w:vAlign w:val="center"/>
          </w:tcPr>
          <w:p w14:paraId="1226F8D5">
            <w:pPr>
              <w:pStyle w:val="57"/>
              <w:rPr>
                <w:rFonts w:hint="eastAsia" w:ascii="宋体" w:hAnsi="宋体" w:eastAsia="宋体" w:cs="宋体"/>
                <w:sz w:val="21"/>
                <w:szCs w:val="21"/>
              </w:rPr>
            </w:pPr>
          </w:p>
        </w:tc>
        <w:tc>
          <w:tcPr>
            <w:tcW w:w="984" w:type="dxa"/>
            <w:vAlign w:val="center"/>
          </w:tcPr>
          <w:p w14:paraId="48A3B88B">
            <w:pPr>
              <w:pStyle w:val="57"/>
              <w:rPr>
                <w:rFonts w:hint="eastAsia" w:ascii="宋体" w:hAnsi="宋体" w:eastAsia="宋体" w:cs="宋体"/>
                <w:sz w:val="21"/>
                <w:szCs w:val="21"/>
              </w:rPr>
            </w:pPr>
          </w:p>
        </w:tc>
        <w:tc>
          <w:tcPr>
            <w:tcW w:w="768" w:type="dxa"/>
            <w:vAlign w:val="center"/>
          </w:tcPr>
          <w:p w14:paraId="229B3BE6">
            <w:pPr>
              <w:pStyle w:val="57"/>
              <w:rPr>
                <w:rFonts w:hint="eastAsia" w:ascii="宋体" w:hAnsi="宋体" w:eastAsia="宋体" w:cs="宋体"/>
                <w:sz w:val="21"/>
                <w:szCs w:val="21"/>
              </w:rPr>
            </w:pPr>
          </w:p>
        </w:tc>
      </w:tr>
      <w:tr w14:paraId="1088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72" w:type="dxa"/>
            <w:vMerge w:val="continue"/>
            <w:vAlign w:val="center"/>
          </w:tcPr>
          <w:p w14:paraId="2A968C0C">
            <w:pPr>
              <w:pStyle w:val="57"/>
              <w:rPr>
                <w:rFonts w:hint="eastAsia" w:ascii="宋体" w:hAnsi="宋体" w:eastAsia="宋体" w:cs="宋体"/>
                <w:sz w:val="21"/>
                <w:szCs w:val="21"/>
              </w:rPr>
            </w:pPr>
          </w:p>
        </w:tc>
        <w:tc>
          <w:tcPr>
            <w:tcW w:w="1095" w:type="dxa"/>
            <w:vMerge w:val="continue"/>
            <w:vAlign w:val="center"/>
          </w:tcPr>
          <w:p w14:paraId="64EAFD2B">
            <w:pPr>
              <w:pStyle w:val="57"/>
              <w:rPr>
                <w:rFonts w:hint="eastAsia" w:ascii="宋体" w:hAnsi="宋体" w:eastAsia="宋体" w:cs="宋体"/>
                <w:sz w:val="21"/>
                <w:szCs w:val="21"/>
              </w:rPr>
            </w:pPr>
          </w:p>
        </w:tc>
        <w:tc>
          <w:tcPr>
            <w:tcW w:w="2364" w:type="dxa"/>
            <w:vAlign w:val="center"/>
          </w:tcPr>
          <w:p w14:paraId="2AAD20F8">
            <w:pPr>
              <w:pStyle w:val="57"/>
              <w:rPr>
                <w:rFonts w:hint="eastAsia" w:ascii="宋体" w:hAnsi="宋体" w:eastAsia="宋体" w:cs="宋体"/>
                <w:sz w:val="21"/>
                <w:szCs w:val="21"/>
              </w:rPr>
            </w:pPr>
          </w:p>
        </w:tc>
        <w:tc>
          <w:tcPr>
            <w:tcW w:w="2124" w:type="dxa"/>
            <w:vAlign w:val="center"/>
          </w:tcPr>
          <w:p w14:paraId="1CC9F4DD">
            <w:pPr>
              <w:pStyle w:val="57"/>
              <w:rPr>
                <w:rFonts w:hint="eastAsia" w:ascii="宋体" w:hAnsi="宋体" w:eastAsia="宋体" w:cs="宋体"/>
                <w:sz w:val="21"/>
                <w:szCs w:val="21"/>
              </w:rPr>
            </w:pPr>
          </w:p>
        </w:tc>
        <w:tc>
          <w:tcPr>
            <w:tcW w:w="984" w:type="dxa"/>
            <w:vAlign w:val="center"/>
          </w:tcPr>
          <w:p w14:paraId="13B9AB10">
            <w:pPr>
              <w:pStyle w:val="57"/>
              <w:rPr>
                <w:rFonts w:hint="eastAsia" w:ascii="宋体" w:hAnsi="宋体" w:eastAsia="宋体" w:cs="宋体"/>
                <w:sz w:val="21"/>
                <w:szCs w:val="21"/>
              </w:rPr>
            </w:pPr>
          </w:p>
        </w:tc>
        <w:tc>
          <w:tcPr>
            <w:tcW w:w="768" w:type="dxa"/>
            <w:vAlign w:val="center"/>
          </w:tcPr>
          <w:p w14:paraId="493F90E1">
            <w:pPr>
              <w:pStyle w:val="57"/>
              <w:rPr>
                <w:rFonts w:hint="eastAsia" w:ascii="宋体" w:hAnsi="宋体" w:eastAsia="宋体" w:cs="宋体"/>
                <w:sz w:val="21"/>
                <w:szCs w:val="21"/>
              </w:rPr>
            </w:pPr>
          </w:p>
        </w:tc>
      </w:tr>
      <w:tr w14:paraId="0C43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72" w:type="dxa"/>
            <w:vAlign w:val="center"/>
          </w:tcPr>
          <w:p w14:paraId="5F90F8F4">
            <w:pPr>
              <w:pStyle w:val="57"/>
              <w:rPr>
                <w:rFonts w:hint="eastAsia" w:ascii="宋体" w:hAnsi="宋体" w:eastAsia="宋体" w:cs="宋体"/>
                <w:sz w:val="21"/>
                <w:szCs w:val="21"/>
              </w:rPr>
            </w:pPr>
          </w:p>
        </w:tc>
        <w:tc>
          <w:tcPr>
            <w:tcW w:w="1095" w:type="dxa"/>
            <w:vAlign w:val="center"/>
          </w:tcPr>
          <w:p w14:paraId="7992CABE">
            <w:pPr>
              <w:pStyle w:val="57"/>
              <w:rPr>
                <w:rFonts w:hint="eastAsia" w:ascii="宋体" w:hAnsi="宋体" w:eastAsia="宋体" w:cs="宋体"/>
                <w:sz w:val="21"/>
                <w:szCs w:val="21"/>
              </w:rPr>
            </w:pPr>
          </w:p>
        </w:tc>
        <w:tc>
          <w:tcPr>
            <w:tcW w:w="2364" w:type="dxa"/>
            <w:vAlign w:val="center"/>
          </w:tcPr>
          <w:p w14:paraId="0C12513B">
            <w:pPr>
              <w:pStyle w:val="57"/>
              <w:rPr>
                <w:rFonts w:hint="eastAsia" w:ascii="宋体" w:hAnsi="宋体" w:eastAsia="宋体" w:cs="宋体"/>
                <w:sz w:val="21"/>
                <w:szCs w:val="21"/>
              </w:rPr>
            </w:pPr>
          </w:p>
        </w:tc>
        <w:tc>
          <w:tcPr>
            <w:tcW w:w="2124" w:type="dxa"/>
            <w:vAlign w:val="center"/>
          </w:tcPr>
          <w:p w14:paraId="2A65EADA">
            <w:pPr>
              <w:pStyle w:val="57"/>
              <w:rPr>
                <w:rFonts w:hint="eastAsia" w:ascii="宋体" w:hAnsi="宋体" w:eastAsia="宋体" w:cs="宋体"/>
                <w:sz w:val="21"/>
                <w:szCs w:val="21"/>
              </w:rPr>
            </w:pPr>
          </w:p>
        </w:tc>
        <w:tc>
          <w:tcPr>
            <w:tcW w:w="984" w:type="dxa"/>
            <w:vAlign w:val="center"/>
          </w:tcPr>
          <w:p w14:paraId="24369535">
            <w:pPr>
              <w:pStyle w:val="57"/>
              <w:rPr>
                <w:rFonts w:hint="eastAsia" w:ascii="宋体" w:hAnsi="宋体" w:eastAsia="宋体" w:cs="宋体"/>
                <w:sz w:val="21"/>
                <w:szCs w:val="21"/>
              </w:rPr>
            </w:pPr>
          </w:p>
        </w:tc>
        <w:tc>
          <w:tcPr>
            <w:tcW w:w="768" w:type="dxa"/>
            <w:vAlign w:val="center"/>
          </w:tcPr>
          <w:p w14:paraId="6BAEFA7A">
            <w:pPr>
              <w:pStyle w:val="57"/>
              <w:rPr>
                <w:rFonts w:hint="eastAsia" w:ascii="宋体" w:hAnsi="宋体" w:eastAsia="宋体" w:cs="宋体"/>
                <w:sz w:val="21"/>
                <w:szCs w:val="21"/>
              </w:rPr>
            </w:pPr>
          </w:p>
        </w:tc>
      </w:tr>
      <w:tr w14:paraId="26C4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772" w:type="dxa"/>
            <w:vMerge w:val="restart"/>
            <w:vAlign w:val="center"/>
          </w:tcPr>
          <w:p w14:paraId="73994250">
            <w:pPr>
              <w:pStyle w:val="57"/>
              <w:rPr>
                <w:rFonts w:hint="eastAsia" w:ascii="宋体" w:hAnsi="宋体" w:eastAsia="宋体" w:cs="宋体"/>
                <w:sz w:val="21"/>
                <w:szCs w:val="21"/>
              </w:rPr>
            </w:pPr>
          </w:p>
        </w:tc>
        <w:tc>
          <w:tcPr>
            <w:tcW w:w="1095" w:type="dxa"/>
            <w:vMerge w:val="restart"/>
            <w:vAlign w:val="center"/>
          </w:tcPr>
          <w:p w14:paraId="691EDAD3">
            <w:pPr>
              <w:pStyle w:val="57"/>
              <w:rPr>
                <w:rFonts w:hint="eastAsia" w:ascii="宋体" w:hAnsi="宋体" w:eastAsia="宋体" w:cs="宋体"/>
                <w:sz w:val="21"/>
                <w:szCs w:val="21"/>
              </w:rPr>
            </w:pPr>
          </w:p>
        </w:tc>
        <w:tc>
          <w:tcPr>
            <w:tcW w:w="2364" w:type="dxa"/>
            <w:vAlign w:val="center"/>
          </w:tcPr>
          <w:p w14:paraId="3AE2366B">
            <w:pPr>
              <w:pStyle w:val="57"/>
              <w:rPr>
                <w:rFonts w:hint="eastAsia" w:ascii="宋体" w:hAnsi="宋体" w:eastAsia="宋体" w:cs="宋体"/>
                <w:sz w:val="21"/>
                <w:szCs w:val="21"/>
              </w:rPr>
            </w:pPr>
          </w:p>
        </w:tc>
        <w:tc>
          <w:tcPr>
            <w:tcW w:w="2124" w:type="dxa"/>
            <w:vAlign w:val="center"/>
          </w:tcPr>
          <w:p w14:paraId="496C7244">
            <w:pPr>
              <w:pStyle w:val="57"/>
              <w:rPr>
                <w:rFonts w:hint="eastAsia" w:ascii="宋体" w:hAnsi="宋体" w:eastAsia="宋体" w:cs="宋体"/>
                <w:kern w:val="0"/>
                <w:sz w:val="21"/>
                <w:szCs w:val="21"/>
                <w:lang w:val="zh-CN"/>
              </w:rPr>
            </w:pPr>
          </w:p>
        </w:tc>
        <w:tc>
          <w:tcPr>
            <w:tcW w:w="984" w:type="dxa"/>
            <w:vAlign w:val="center"/>
          </w:tcPr>
          <w:p w14:paraId="3F6D2F31">
            <w:pPr>
              <w:pStyle w:val="57"/>
              <w:rPr>
                <w:rFonts w:hint="eastAsia" w:ascii="宋体" w:hAnsi="宋体" w:eastAsia="宋体" w:cs="宋体"/>
                <w:kern w:val="0"/>
                <w:sz w:val="21"/>
                <w:szCs w:val="21"/>
                <w:lang w:val="zh-CN"/>
              </w:rPr>
            </w:pPr>
          </w:p>
        </w:tc>
        <w:tc>
          <w:tcPr>
            <w:tcW w:w="768" w:type="dxa"/>
            <w:vAlign w:val="center"/>
          </w:tcPr>
          <w:p w14:paraId="77206BD1">
            <w:pPr>
              <w:pStyle w:val="57"/>
              <w:rPr>
                <w:rFonts w:hint="eastAsia" w:ascii="宋体" w:hAnsi="宋体" w:eastAsia="宋体" w:cs="宋体"/>
                <w:kern w:val="0"/>
                <w:sz w:val="21"/>
                <w:szCs w:val="21"/>
                <w:lang w:val="zh-CN"/>
              </w:rPr>
            </w:pPr>
          </w:p>
        </w:tc>
      </w:tr>
      <w:tr w14:paraId="736D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772" w:type="dxa"/>
            <w:vMerge w:val="continue"/>
            <w:vAlign w:val="center"/>
          </w:tcPr>
          <w:p w14:paraId="1AF985A4">
            <w:pPr>
              <w:pStyle w:val="57"/>
              <w:rPr>
                <w:rFonts w:hint="eastAsia" w:ascii="宋体" w:hAnsi="宋体" w:eastAsia="宋体" w:cs="宋体"/>
                <w:sz w:val="21"/>
                <w:szCs w:val="21"/>
              </w:rPr>
            </w:pPr>
          </w:p>
        </w:tc>
        <w:tc>
          <w:tcPr>
            <w:tcW w:w="1095" w:type="dxa"/>
            <w:vMerge w:val="continue"/>
            <w:vAlign w:val="center"/>
          </w:tcPr>
          <w:p w14:paraId="3029AAAC">
            <w:pPr>
              <w:pStyle w:val="57"/>
              <w:rPr>
                <w:rFonts w:hint="eastAsia" w:ascii="宋体" w:hAnsi="宋体" w:eastAsia="宋体" w:cs="宋体"/>
                <w:sz w:val="21"/>
                <w:szCs w:val="21"/>
              </w:rPr>
            </w:pPr>
          </w:p>
        </w:tc>
        <w:tc>
          <w:tcPr>
            <w:tcW w:w="2364" w:type="dxa"/>
            <w:vAlign w:val="center"/>
          </w:tcPr>
          <w:p w14:paraId="6594E55B">
            <w:pPr>
              <w:pStyle w:val="57"/>
              <w:rPr>
                <w:rFonts w:hint="eastAsia" w:ascii="宋体" w:hAnsi="宋体" w:eastAsia="宋体" w:cs="宋体"/>
                <w:sz w:val="21"/>
                <w:szCs w:val="21"/>
              </w:rPr>
            </w:pPr>
          </w:p>
        </w:tc>
        <w:tc>
          <w:tcPr>
            <w:tcW w:w="2124" w:type="dxa"/>
            <w:vAlign w:val="center"/>
          </w:tcPr>
          <w:p w14:paraId="34774ECA">
            <w:pPr>
              <w:pStyle w:val="57"/>
              <w:rPr>
                <w:rFonts w:hint="eastAsia" w:ascii="宋体" w:hAnsi="宋体" w:eastAsia="宋体" w:cs="宋体"/>
                <w:kern w:val="0"/>
                <w:sz w:val="21"/>
                <w:szCs w:val="21"/>
                <w:lang w:val="zh-CN"/>
              </w:rPr>
            </w:pPr>
          </w:p>
        </w:tc>
        <w:tc>
          <w:tcPr>
            <w:tcW w:w="984" w:type="dxa"/>
            <w:vAlign w:val="center"/>
          </w:tcPr>
          <w:p w14:paraId="12D145FF">
            <w:pPr>
              <w:pStyle w:val="57"/>
              <w:rPr>
                <w:rFonts w:hint="eastAsia" w:ascii="宋体" w:hAnsi="宋体" w:eastAsia="宋体" w:cs="宋体"/>
                <w:kern w:val="0"/>
                <w:sz w:val="21"/>
                <w:szCs w:val="21"/>
                <w:lang w:val="zh-CN"/>
              </w:rPr>
            </w:pPr>
          </w:p>
        </w:tc>
        <w:tc>
          <w:tcPr>
            <w:tcW w:w="768" w:type="dxa"/>
            <w:vAlign w:val="center"/>
          </w:tcPr>
          <w:p w14:paraId="5564D954">
            <w:pPr>
              <w:pStyle w:val="57"/>
              <w:rPr>
                <w:rFonts w:hint="eastAsia" w:ascii="宋体" w:hAnsi="宋体" w:eastAsia="宋体" w:cs="宋体"/>
                <w:kern w:val="0"/>
                <w:sz w:val="21"/>
                <w:szCs w:val="21"/>
                <w:lang w:val="zh-CN"/>
              </w:rPr>
            </w:pPr>
          </w:p>
        </w:tc>
      </w:tr>
      <w:tr w14:paraId="7615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772" w:type="dxa"/>
            <w:vMerge w:val="continue"/>
            <w:vAlign w:val="center"/>
          </w:tcPr>
          <w:p w14:paraId="03EF67C3">
            <w:pPr>
              <w:pStyle w:val="57"/>
              <w:rPr>
                <w:rFonts w:hint="eastAsia" w:ascii="宋体" w:hAnsi="宋体" w:eastAsia="宋体" w:cs="宋体"/>
                <w:sz w:val="21"/>
                <w:szCs w:val="21"/>
              </w:rPr>
            </w:pPr>
          </w:p>
        </w:tc>
        <w:tc>
          <w:tcPr>
            <w:tcW w:w="1095" w:type="dxa"/>
            <w:vMerge w:val="continue"/>
            <w:vAlign w:val="center"/>
          </w:tcPr>
          <w:p w14:paraId="0B7C427E">
            <w:pPr>
              <w:pStyle w:val="57"/>
              <w:rPr>
                <w:rFonts w:hint="eastAsia" w:ascii="宋体" w:hAnsi="宋体" w:eastAsia="宋体" w:cs="宋体"/>
                <w:sz w:val="21"/>
                <w:szCs w:val="21"/>
              </w:rPr>
            </w:pPr>
          </w:p>
        </w:tc>
        <w:tc>
          <w:tcPr>
            <w:tcW w:w="2364" w:type="dxa"/>
            <w:vAlign w:val="center"/>
          </w:tcPr>
          <w:p w14:paraId="35B97D4E">
            <w:pPr>
              <w:pStyle w:val="57"/>
              <w:rPr>
                <w:rFonts w:hint="eastAsia" w:ascii="宋体" w:hAnsi="宋体" w:eastAsia="宋体" w:cs="宋体"/>
                <w:sz w:val="21"/>
                <w:szCs w:val="21"/>
              </w:rPr>
            </w:pPr>
          </w:p>
        </w:tc>
        <w:tc>
          <w:tcPr>
            <w:tcW w:w="2124" w:type="dxa"/>
            <w:vAlign w:val="center"/>
          </w:tcPr>
          <w:p w14:paraId="4FBE4FC5">
            <w:pPr>
              <w:pStyle w:val="57"/>
              <w:rPr>
                <w:rFonts w:hint="eastAsia" w:ascii="宋体" w:hAnsi="宋体" w:eastAsia="宋体" w:cs="宋体"/>
                <w:sz w:val="21"/>
                <w:szCs w:val="21"/>
              </w:rPr>
            </w:pPr>
          </w:p>
        </w:tc>
        <w:tc>
          <w:tcPr>
            <w:tcW w:w="984" w:type="dxa"/>
            <w:vAlign w:val="center"/>
          </w:tcPr>
          <w:p w14:paraId="7BC7EF35">
            <w:pPr>
              <w:pStyle w:val="57"/>
              <w:rPr>
                <w:rFonts w:hint="eastAsia" w:ascii="宋体" w:hAnsi="宋体" w:eastAsia="宋体" w:cs="宋体"/>
                <w:sz w:val="21"/>
                <w:szCs w:val="21"/>
              </w:rPr>
            </w:pPr>
          </w:p>
        </w:tc>
        <w:tc>
          <w:tcPr>
            <w:tcW w:w="768" w:type="dxa"/>
            <w:vAlign w:val="center"/>
          </w:tcPr>
          <w:p w14:paraId="223A10B9">
            <w:pPr>
              <w:pStyle w:val="57"/>
              <w:rPr>
                <w:rFonts w:hint="eastAsia" w:ascii="宋体" w:hAnsi="宋体" w:eastAsia="宋体" w:cs="宋体"/>
                <w:sz w:val="21"/>
                <w:szCs w:val="21"/>
              </w:rPr>
            </w:pPr>
          </w:p>
        </w:tc>
      </w:tr>
      <w:tr w14:paraId="438E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772" w:type="dxa"/>
            <w:vMerge w:val="continue"/>
            <w:vAlign w:val="center"/>
          </w:tcPr>
          <w:p w14:paraId="265C0EBD">
            <w:pPr>
              <w:pStyle w:val="57"/>
              <w:rPr>
                <w:rFonts w:hint="eastAsia" w:ascii="宋体" w:hAnsi="宋体" w:eastAsia="宋体" w:cs="宋体"/>
                <w:sz w:val="21"/>
                <w:szCs w:val="21"/>
              </w:rPr>
            </w:pPr>
          </w:p>
        </w:tc>
        <w:tc>
          <w:tcPr>
            <w:tcW w:w="1095" w:type="dxa"/>
            <w:vMerge w:val="continue"/>
            <w:vAlign w:val="center"/>
          </w:tcPr>
          <w:p w14:paraId="0D4CEF4F">
            <w:pPr>
              <w:pStyle w:val="57"/>
              <w:rPr>
                <w:rFonts w:hint="eastAsia" w:ascii="宋体" w:hAnsi="宋体" w:eastAsia="宋体" w:cs="宋体"/>
                <w:sz w:val="21"/>
                <w:szCs w:val="21"/>
              </w:rPr>
            </w:pPr>
          </w:p>
        </w:tc>
        <w:tc>
          <w:tcPr>
            <w:tcW w:w="2364" w:type="dxa"/>
            <w:vAlign w:val="center"/>
          </w:tcPr>
          <w:p w14:paraId="03166747">
            <w:pPr>
              <w:pStyle w:val="57"/>
              <w:rPr>
                <w:rFonts w:hint="eastAsia" w:ascii="宋体" w:hAnsi="宋体" w:eastAsia="宋体" w:cs="宋体"/>
                <w:sz w:val="21"/>
                <w:szCs w:val="21"/>
              </w:rPr>
            </w:pPr>
          </w:p>
        </w:tc>
        <w:tc>
          <w:tcPr>
            <w:tcW w:w="2124" w:type="dxa"/>
            <w:vAlign w:val="center"/>
          </w:tcPr>
          <w:p w14:paraId="1EA4152C">
            <w:pPr>
              <w:pStyle w:val="57"/>
              <w:rPr>
                <w:rFonts w:hint="eastAsia" w:ascii="宋体" w:hAnsi="宋体" w:eastAsia="宋体" w:cs="宋体"/>
                <w:kern w:val="0"/>
                <w:sz w:val="21"/>
                <w:szCs w:val="21"/>
                <w:lang w:val="zh-CN"/>
              </w:rPr>
            </w:pPr>
          </w:p>
        </w:tc>
        <w:tc>
          <w:tcPr>
            <w:tcW w:w="984" w:type="dxa"/>
            <w:vAlign w:val="center"/>
          </w:tcPr>
          <w:p w14:paraId="03194EF8">
            <w:pPr>
              <w:pStyle w:val="57"/>
              <w:rPr>
                <w:rFonts w:hint="eastAsia" w:ascii="宋体" w:hAnsi="宋体" w:eastAsia="宋体" w:cs="宋体"/>
                <w:kern w:val="0"/>
                <w:sz w:val="21"/>
                <w:szCs w:val="21"/>
                <w:lang w:val="zh-CN"/>
              </w:rPr>
            </w:pPr>
          </w:p>
        </w:tc>
        <w:tc>
          <w:tcPr>
            <w:tcW w:w="768" w:type="dxa"/>
            <w:vAlign w:val="center"/>
          </w:tcPr>
          <w:p w14:paraId="06AAB559">
            <w:pPr>
              <w:pStyle w:val="57"/>
              <w:rPr>
                <w:rFonts w:hint="eastAsia" w:ascii="宋体" w:hAnsi="宋体" w:eastAsia="宋体" w:cs="宋体"/>
                <w:kern w:val="0"/>
                <w:sz w:val="21"/>
                <w:szCs w:val="21"/>
                <w:lang w:val="zh-CN"/>
              </w:rPr>
            </w:pPr>
          </w:p>
        </w:tc>
      </w:tr>
      <w:tr w14:paraId="7226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772" w:type="dxa"/>
            <w:vMerge w:val="continue"/>
            <w:vAlign w:val="center"/>
          </w:tcPr>
          <w:p w14:paraId="30136423">
            <w:pPr>
              <w:pStyle w:val="57"/>
              <w:rPr>
                <w:rFonts w:hint="eastAsia" w:ascii="宋体" w:hAnsi="宋体" w:eastAsia="宋体" w:cs="宋体"/>
                <w:sz w:val="21"/>
                <w:szCs w:val="21"/>
              </w:rPr>
            </w:pPr>
          </w:p>
        </w:tc>
        <w:tc>
          <w:tcPr>
            <w:tcW w:w="1095" w:type="dxa"/>
            <w:vMerge w:val="continue"/>
            <w:vAlign w:val="center"/>
          </w:tcPr>
          <w:p w14:paraId="6FB0E8B9">
            <w:pPr>
              <w:pStyle w:val="57"/>
              <w:rPr>
                <w:rFonts w:hint="eastAsia" w:ascii="宋体" w:hAnsi="宋体" w:eastAsia="宋体" w:cs="宋体"/>
                <w:sz w:val="21"/>
                <w:szCs w:val="21"/>
              </w:rPr>
            </w:pPr>
          </w:p>
        </w:tc>
        <w:tc>
          <w:tcPr>
            <w:tcW w:w="2364" w:type="dxa"/>
            <w:vAlign w:val="center"/>
          </w:tcPr>
          <w:p w14:paraId="78B670E1">
            <w:pPr>
              <w:pStyle w:val="57"/>
              <w:rPr>
                <w:rFonts w:hint="eastAsia" w:ascii="宋体" w:hAnsi="宋体" w:eastAsia="宋体" w:cs="宋体"/>
                <w:sz w:val="21"/>
                <w:szCs w:val="21"/>
              </w:rPr>
            </w:pPr>
          </w:p>
        </w:tc>
        <w:tc>
          <w:tcPr>
            <w:tcW w:w="2124" w:type="dxa"/>
            <w:vAlign w:val="center"/>
          </w:tcPr>
          <w:p w14:paraId="4DA3A44F">
            <w:pPr>
              <w:pStyle w:val="57"/>
              <w:rPr>
                <w:rFonts w:hint="eastAsia" w:ascii="宋体" w:hAnsi="宋体" w:eastAsia="宋体" w:cs="宋体"/>
                <w:kern w:val="0"/>
                <w:sz w:val="21"/>
                <w:szCs w:val="21"/>
                <w:lang w:val="zh-CN"/>
              </w:rPr>
            </w:pPr>
          </w:p>
        </w:tc>
        <w:tc>
          <w:tcPr>
            <w:tcW w:w="984" w:type="dxa"/>
            <w:vAlign w:val="center"/>
          </w:tcPr>
          <w:p w14:paraId="398E8192">
            <w:pPr>
              <w:pStyle w:val="57"/>
              <w:rPr>
                <w:rFonts w:hint="eastAsia" w:ascii="宋体" w:hAnsi="宋体" w:eastAsia="宋体" w:cs="宋体"/>
                <w:kern w:val="0"/>
                <w:sz w:val="21"/>
                <w:szCs w:val="21"/>
                <w:lang w:val="zh-CN"/>
              </w:rPr>
            </w:pPr>
          </w:p>
        </w:tc>
        <w:tc>
          <w:tcPr>
            <w:tcW w:w="768" w:type="dxa"/>
            <w:vAlign w:val="center"/>
          </w:tcPr>
          <w:p w14:paraId="1D6842FA">
            <w:pPr>
              <w:pStyle w:val="57"/>
              <w:rPr>
                <w:rFonts w:hint="eastAsia" w:ascii="宋体" w:hAnsi="宋体" w:eastAsia="宋体" w:cs="宋体"/>
                <w:kern w:val="0"/>
                <w:sz w:val="21"/>
                <w:szCs w:val="21"/>
                <w:lang w:val="zh-CN"/>
              </w:rPr>
            </w:pPr>
          </w:p>
        </w:tc>
      </w:tr>
      <w:tr w14:paraId="15BB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772" w:type="dxa"/>
            <w:vMerge w:val="continue"/>
            <w:vAlign w:val="center"/>
          </w:tcPr>
          <w:p w14:paraId="208009F1">
            <w:pPr>
              <w:pStyle w:val="57"/>
              <w:rPr>
                <w:rFonts w:hint="eastAsia" w:ascii="宋体" w:hAnsi="宋体" w:eastAsia="宋体" w:cs="宋体"/>
                <w:sz w:val="21"/>
                <w:szCs w:val="21"/>
              </w:rPr>
            </w:pPr>
          </w:p>
        </w:tc>
        <w:tc>
          <w:tcPr>
            <w:tcW w:w="1095" w:type="dxa"/>
            <w:vMerge w:val="continue"/>
            <w:vAlign w:val="center"/>
          </w:tcPr>
          <w:p w14:paraId="34B47587">
            <w:pPr>
              <w:pStyle w:val="57"/>
              <w:rPr>
                <w:rFonts w:hint="eastAsia" w:ascii="宋体" w:hAnsi="宋体" w:eastAsia="宋体" w:cs="宋体"/>
                <w:sz w:val="21"/>
                <w:szCs w:val="21"/>
              </w:rPr>
            </w:pPr>
          </w:p>
        </w:tc>
        <w:tc>
          <w:tcPr>
            <w:tcW w:w="2364" w:type="dxa"/>
            <w:vAlign w:val="center"/>
          </w:tcPr>
          <w:p w14:paraId="3E00FA1A">
            <w:pPr>
              <w:pStyle w:val="57"/>
              <w:rPr>
                <w:rFonts w:hint="eastAsia" w:ascii="宋体" w:hAnsi="宋体" w:eastAsia="宋体" w:cs="宋体"/>
                <w:sz w:val="21"/>
                <w:szCs w:val="21"/>
              </w:rPr>
            </w:pPr>
          </w:p>
        </w:tc>
        <w:tc>
          <w:tcPr>
            <w:tcW w:w="2124" w:type="dxa"/>
            <w:vAlign w:val="center"/>
          </w:tcPr>
          <w:p w14:paraId="656F1A2E">
            <w:pPr>
              <w:pStyle w:val="57"/>
              <w:rPr>
                <w:rFonts w:hint="eastAsia" w:ascii="宋体" w:hAnsi="宋体" w:eastAsia="宋体" w:cs="宋体"/>
                <w:kern w:val="0"/>
                <w:sz w:val="21"/>
                <w:szCs w:val="21"/>
                <w:lang w:val="zh-CN"/>
              </w:rPr>
            </w:pPr>
          </w:p>
        </w:tc>
        <w:tc>
          <w:tcPr>
            <w:tcW w:w="984" w:type="dxa"/>
            <w:vAlign w:val="center"/>
          </w:tcPr>
          <w:p w14:paraId="0C704118">
            <w:pPr>
              <w:pStyle w:val="57"/>
              <w:rPr>
                <w:rFonts w:hint="eastAsia" w:ascii="宋体" w:hAnsi="宋体" w:eastAsia="宋体" w:cs="宋体"/>
                <w:kern w:val="0"/>
                <w:sz w:val="21"/>
                <w:szCs w:val="21"/>
                <w:lang w:val="zh-CN"/>
              </w:rPr>
            </w:pPr>
          </w:p>
        </w:tc>
        <w:tc>
          <w:tcPr>
            <w:tcW w:w="768" w:type="dxa"/>
            <w:vAlign w:val="center"/>
          </w:tcPr>
          <w:p w14:paraId="67C058C7">
            <w:pPr>
              <w:pStyle w:val="57"/>
              <w:rPr>
                <w:rFonts w:hint="eastAsia" w:ascii="宋体" w:hAnsi="宋体" w:eastAsia="宋体" w:cs="宋体"/>
                <w:kern w:val="0"/>
                <w:sz w:val="21"/>
                <w:szCs w:val="21"/>
                <w:lang w:val="zh-CN"/>
              </w:rPr>
            </w:pPr>
          </w:p>
        </w:tc>
      </w:tr>
      <w:tr w14:paraId="6605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772" w:type="dxa"/>
            <w:vAlign w:val="center"/>
          </w:tcPr>
          <w:p w14:paraId="5A2C9F81">
            <w:pPr>
              <w:pStyle w:val="57"/>
              <w:rPr>
                <w:rFonts w:hint="eastAsia" w:ascii="宋体" w:hAnsi="宋体" w:eastAsia="宋体" w:cs="宋体"/>
                <w:sz w:val="21"/>
                <w:szCs w:val="21"/>
              </w:rPr>
            </w:pPr>
          </w:p>
        </w:tc>
        <w:tc>
          <w:tcPr>
            <w:tcW w:w="1095" w:type="dxa"/>
            <w:vAlign w:val="center"/>
          </w:tcPr>
          <w:p w14:paraId="521819CB">
            <w:pPr>
              <w:pStyle w:val="57"/>
              <w:rPr>
                <w:rFonts w:hint="eastAsia" w:ascii="宋体" w:hAnsi="宋体" w:eastAsia="宋体" w:cs="宋体"/>
                <w:sz w:val="21"/>
                <w:szCs w:val="21"/>
              </w:rPr>
            </w:pPr>
          </w:p>
        </w:tc>
        <w:tc>
          <w:tcPr>
            <w:tcW w:w="2364" w:type="dxa"/>
            <w:vAlign w:val="center"/>
          </w:tcPr>
          <w:p w14:paraId="22525869">
            <w:pPr>
              <w:pStyle w:val="57"/>
              <w:rPr>
                <w:rFonts w:hint="eastAsia" w:ascii="宋体" w:hAnsi="宋体" w:eastAsia="宋体" w:cs="宋体"/>
                <w:sz w:val="21"/>
                <w:szCs w:val="21"/>
              </w:rPr>
            </w:pPr>
          </w:p>
        </w:tc>
        <w:tc>
          <w:tcPr>
            <w:tcW w:w="2124" w:type="dxa"/>
            <w:vAlign w:val="center"/>
          </w:tcPr>
          <w:p w14:paraId="094D9337">
            <w:pPr>
              <w:pStyle w:val="57"/>
              <w:rPr>
                <w:rFonts w:hint="eastAsia" w:ascii="宋体" w:hAnsi="宋体" w:eastAsia="宋体" w:cs="宋体"/>
                <w:sz w:val="21"/>
                <w:szCs w:val="21"/>
              </w:rPr>
            </w:pPr>
          </w:p>
        </w:tc>
        <w:tc>
          <w:tcPr>
            <w:tcW w:w="984" w:type="dxa"/>
            <w:vAlign w:val="center"/>
          </w:tcPr>
          <w:p w14:paraId="0ED9211F">
            <w:pPr>
              <w:pStyle w:val="57"/>
              <w:rPr>
                <w:rFonts w:hint="eastAsia" w:ascii="宋体" w:hAnsi="宋体" w:eastAsia="宋体" w:cs="宋体"/>
                <w:sz w:val="21"/>
                <w:szCs w:val="21"/>
              </w:rPr>
            </w:pPr>
          </w:p>
        </w:tc>
        <w:tc>
          <w:tcPr>
            <w:tcW w:w="768" w:type="dxa"/>
            <w:vAlign w:val="center"/>
          </w:tcPr>
          <w:p w14:paraId="549A9532">
            <w:pPr>
              <w:pStyle w:val="57"/>
              <w:rPr>
                <w:rFonts w:hint="eastAsia" w:ascii="宋体" w:hAnsi="宋体" w:eastAsia="宋体" w:cs="宋体"/>
                <w:sz w:val="21"/>
                <w:szCs w:val="21"/>
              </w:rPr>
            </w:pPr>
          </w:p>
        </w:tc>
      </w:tr>
      <w:tr w14:paraId="497B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8107" w:type="dxa"/>
            <w:gridSpan w:val="6"/>
            <w:vAlign w:val="center"/>
          </w:tcPr>
          <w:p w14:paraId="19075164">
            <w:pPr>
              <w:pStyle w:val="57"/>
              <w:rPr>
                <w:rFonts w:hint="eastAsia" w:ascii="宋体" w:hAnsi="宋体" w:eastAsia="宋体" w:cs="宋体"/>
                <w:sz w:val="21"/>
                <w:szCs w:val="21"/>
              </w:rPr>
            </w:pPr>
          </w:p>
        </w:tc>
      </w:tr>
      <w:tr w14:paraId="4930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72" w:type="dxa"/>
            <w:vMerge w:val="restart"/>
            <w:vAlign w:val="center"/>
          </w:tcPr>
          <w:p w14:paraId="20A829B1">
            <w:pPr>
              <w:pStyle w:val="57"/>
              <w:rPr>
                <w:rFonts w:hint="eastAsia" w:ascii="宋体" w:hAnsi="宋体" w:eastAsia="宋体" w:cs="宋体"/>
                <w:sz w:val="21"/>
                <w:szCs w:val="21"/>
              </w:rPr>
            </w:pPr>
          </w:p>
        </w:tc>
        <w:tc>
          <w:tcPr>
            <w:tcW w:w="1095" w:type="dxa"/>
            <w:vMerge w:val="restart"/>
            <w:vAlign w:val="center"/>
          </w:tcPr>
          <w:p w14:paraId="60BE031E">
            <w:pPr>
              <w:pStyle w:val="57"/>
              <w:rPr>
                <w:rFonts w:hint="eastAsia" w:ascii="宋体" w:hAnsi="宋体" w:eastAsia="宋体" w:cs="宋体"/>
                <w:sz w:val="21"/>
                <w:szCs w:val="21"/>
              </w:rPr>
            </w:pPr>
          </w:p>
        </w:tc>
        <w:tc>
          <w:tcPr>
            <w:tcW w:w="2364" w:type="dxa"/>
            <w:vAlign w:val="center"/>
          </w:tcPr>
          <w:p w14:paraId="70C096C8">
            <w:pPr>
              <w:pStyle w:val="57"/>
              <w:rPr>
                <w:rFonts w:hint="eastAsia" w:ascii="宋体" w:hAnsi="宋体" w:eastAsia="宋体" w:cs="宋体"/>
                <w:sz w:val="21"/>
                <w:szCs w:val="21"/>
              </w:rPr>
            </w:pPr>
          </w:p>
        </w:tc>
        <w:tc>
          <w:tcPr>
            <w:tcW w:w="2124" w:type="dxa"/>
            <w:vAlign w:val="center"/>
          </w:tcPr>
          <w:p w14:paraId="55FF4C96">
            <w:pPr>
              <w:pStyle w:val="57"/>
              <w:rPr>
                <w:rFonts w:hint="eastAsia" w:ascii="宋体" w:hAnsi="宋体" w:eastAsia="宋体" w:cs="宋体"/>
                <w:sz w:val="21"/>
                <w:szCs w:val="21"/>
              </w:rPr>
            </w:pPr>
          </w:p>
        </w:tc>
        <w:tc>
          <w:tcPr>
            <w:tcW w:w="984" w:type="dxa"/>
            <w:vAlign w:val="center"/>
          </w:tcPr>
          <w:p w14:paraId="751B4963">
            <w:pPr>
              <w:pStyle w:val="57"/>
              <w:rPr>
                <w:rFonts w:hint="eastAsia" w:ascii="宋体" w:hAnsi="宋体" w:eastAsia="宋体" w:cs="宋体"/>
                <w:sz w:val="21"/>
                <w:szCs w:val="21"/>
              </w:rPr>
            </w:pPr>
          </w:p>
        </w:tc>
        <w:tc>
          <w:tcPr>
            <w:tcW w:w="768" w:type="dxa"/>
            <w:vAlign w:val="center"/>
          </w:tcPr>
          <w:p w14:paraId="01968E90">
            <w:pPr>
              <w:pStyle w:val="57"/>
              <w:rPr>
                <w:rFonts w:hint="eastAsia" w:ascii="宋体" w:hAnsi="宋体" w:eastAsia="宋体" w:cs="宋体"/>
                <w:sz w:val="21"/>
                <w:szCs w:val="21"/>
              </w:rPr>
            </w:pPr>
          </w:p>
        </w:tc>
      </w:tr>
      <w:tr w14:paraId="4C11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2" w:type="dxa"/>
            <w:vMerge w:val="continue"/>
            <w:vAlign w:val="center"/>
          </w:tcPr>
          <w:p w14:paraId="5725EFD2">
            <w:pPr>
              <w:pStyle w:val="57"/>
              <w:rPr>
                <w:rFonts w:hint="eastAsia" w:ascii="宋体" w:hAnsi="宋体" w:eastAsia="宋体" w:cs="宋体"/>
                <w:sz w:val="21"/>
                <w:szCs w:val="21"/>
              </w:rPr>
            </w:pPr>
          </w:p>
        </w:tc>
        <w:tc>
          <w:tcPr>
            <w:tcW w:w="1095" w:type="dxa"/>
            <w:vMerge w:val="continue"/>
            <w:vAlign w:val="center"/>
          </w:tcPr>
          <w:p w14:paraId="3BFBE23B">
            <w:pPr>
              <w:pStyle w:val="57"/>
              <w:rPr>
                <w:rFonts w:hint="eastAsia" w:ascii="宋体" w:hAnsi="宋体" w:eastAsia="宋体" w:cs="宋体"/>
                <w:sz w:val="21"/>
                <w:szCs w:val="21"/>
              </w:rPr>
            </w:pPr>
          </w:p>
        </w:tc>
        <w:tc>
          <w:tcPr>
            <w:tcW w:w="2364" w:type="dxa"/>
            <w:vAlign w:val="center"/>
          </w:tcPr>
          <w:p w14:paraId="5613BBC5">
            <w:pPr>
              <w:pStyle w:val="57"/>
              <w:rPr>
                <w:rFonts w:hint="eastAsia" w:ascii="宋体" w:hAnsi="宋体" w:eastAsia="宋体" w:cs="宋体"/>
                <w:sz w:val="21"/>
                <w:szCs w:val="21"/>
              </w:rPr>
            </w:pPr>
          </w:p>
        </w:tc>
        <w:tc>
          <w:tcPr>
            <w:tcW w:w="2124" w:type="dxa"/>
            <w:vAlign w:val="center"/>
          </w:tcPr>
          <w:p w14:paraId="1A830753">
            <w:pPr>
              <w:pStyle w:val="57"/>
              <w:rPr>
                <w:rFonts w:hint="eastAsia" w:ascii="宋体" w:hAnsi="宋体" w:eastAsia="宋体" w:cs="宋体"/>
                <w:sz w:val="21"/>
                <w:szCs w:val="21"/>
              </w:rPr>
            </w:pPr>
          </w:p>
        </w:tc>
        <w:tc>
          <w:tcPr>
            <w:tcW w:w="984" w:type="dxa"/>
            <w:vAlign w:val="center"/>
          </w:tcPr>
          <w:p w14:paraId="341BA734">
            <w:pPr>
              <w:pStyle w:val="57"/>
              <w:rPr>
                <w:rFonts w:hint="eastAsia" w:ascii="宋体" w:hAnsi="宋体" w:eastAsia="宋体" w:cs="宋体"/>
                <w:sz w:val="21"/>
                <w:szCs w:val="21"/>
              </w:rPr>
            </w:pPr>
          </w:p>
        </w:tc>
        <w:tc>
          <w:tcPr>
            <w:tcW w:w="768" w:type="dxa"/>
            <w:vAlign w:val="center"/>
          </w:tcPr>
          <w:p w14:paraId="383EBC3C">
            <w:pPr>
              <w:pStyle w:val="57"/>
              <w:rPr>
                <w:rFonts w:hint="eastAsia" w:ascii="宋体" w:hAnsi="宋体" w:eastAsia="宋体" w:cs="宋体"/>
                <w:sz w:val="21"/>
                <w:szCs w:val="21"/>
              </w:rPr>
            </w:pPr>
          </w:p>
        </w:tc>
      </w:tr>
      <w:tr w14:paraId="2FBC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2" w:type="dxa"/>
            <w:vMerge w:val="continue"/>
            <w:vAlign w:val="center"/>
          </w:tcPr>
          <w:p w14:paraId="633F43B1">
            <w:pPr>
              <w:pStyle w:val="57"/>
              <w:rPr>
                <w:rFonts w:hint="eastAsia" w:ascii="宋体" w:hAnsi="宋体" w:eastAsia="宋体" w:cs="宋体"/>
                <w:sz w:val="21"/>
                <w:szCs w:val="21"/>
              </w:rPr>
            </w:pPr>
          </w:p>
        </w:tc>
        <w:tc>
          <w:tcPr>
            <w:tcW w:w="1095" w:type="dxa"/>
            <w:vMerge w:val="continue"/>
            <w:vAlign w:val="center"/>
          </w:tcPr>
          <w:p w14:paraId="3F390E06">
            <w:pPr>
              <w:pStyle w:val="57"/>
              <w:rPr>
                <w:rFonts w:hint="eastAsia" w:ascii="宋体" w:hAnsi="宋体" w:eastAsia="宋体" w:cs="宋体"/>
                <w:sz w:val="21"/>
                <w:szCs w:val="21"/>
              </w:rPr>
            </w:pPr>
          </w:p>
        </w:tc>
        <w:tc>
          <w:tcPr>
            <w:tcW w:w="2364" w:type="dxa"/>
            <w:vAlign w:val="center"/>
          </w:tcPr>
          <w:p w14:paraId="2B5DFB09">
            <w:pPr>
              <w:pStyle w:val="57"/>
              <w:rPr>
                <w:rFonts w:hint="eastAsia" w:ascii="宋体" w:hAnsi="宋体" w:eastAsia="宋体" w:cs="宋体"/>
                <w:sz w:val="21"/>
                <w:szCs w:val="21"/>
              </w:rPr>
            </w:pPr>
          </w:p>
        </w:tc>
        <w:tc>
          <w:tcPr>
            <w:tcW w:w="2124" w:type="dxa"/>
            <w:vAlign w:val="center"/>
          </w:tcPr>
          <w:p w14:paraId="6F8C48BA">
            <w:pPr>
              <w:pStyle w:val="57"/>
              <w:rPr>
                <w:rFonts w:hint="eastAsia" w:ascii="宋体" w:hAnsi="宋体" w:eastAsia="宋体" w:cs="宋体"/>
                <w:sz w:val="21"/>
                <w:szCs w:val="21"/>
              </w:rPr>
            </w:pPr>
          </w:p>
        </w:tc>
        <w:tc>
          <w:tcPr>
            <w:tcW w:w="984" w:type="dxa"/>
            <w:vAlign w:val="center"/>
          </w:tcPr>
          <w:p w14:paraId="70274EEF">
            <w:pPr>
              <w:pStyle w:val="57"/>
              <w:rPr>
                <w:rFonts w:hint="eastAsia" w:ascii="宋体" w:hAnsi="宋体" w:eastAsia="宋体" w:cs="宋体"/>
                <w:sz w:val="21"/>
                <w:szCs w:val="21"/>
              </w:rPr>
            </w:pPr>
          </w:p>
        </w:tc>
        <w:tc>
          <w:tcPr>
            <w:tcW w:w="768" w:type="dxa"/>
            <w:vAlign w:val="center"/>
          </w:tcPr>
          <w:p w14:paraId="67D3E05B">
            <w:pPr>
              <w:pStyle w:val="57"/>
              <w:rPr>
                <w:rFonts w:hint="eastAsia" w:ascii="宋体" w:hAnsi="宋体" w:eastAsia="宋体" w:cs="宋体"/>
                <w:sz w:val="21"/>
                <w:szCs w:val="21"/>
              </w:rPr>
            </w:pPr>
          </w:p>
        </w:tc>
      </w:tr>
      <w:tr w14:paraId="1DE4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2" w:type="dxa"/>
            <w:vMerge w:val="continue"/>
            <w:vAlign w:val="center"/>
          </w:tcPr>
          <w:p w14:paraId="0D6B7F72">
            <w:pPr>
              <w:pStyle w:val="57"/>
              <w:rPr>
                <w:rFonts w:hint="eastAsia" w:ascii="宋体" w:hAnsi="宋体" w:eastAsia="宋体" w:cs="宋体"/>
                <w:sz w:val="21"/>
                <w:szCs w:val="21"/>
              </w:rPr>
            </w:pPr>
          </w:p>
        </w:tc>
        <w:tc>
          <w:tcPr>
            <w:tcW w:w="1095" w:type="dxa"/>
            <w:vMerge w:val="continue"/>
            <w:vAlign w:val="center"/>
          </w:tcPr>
          <w:p w14:paraId="429199AA">
            <w:pPr>
              <w:pStyle w:val="57"/>
              <w:rPr>
                <w:rFonts w:hint="eastAsia" w:ascii="宋体" w:hAnsi="宋体" w:eastAsia="宋体" w:cs="宋体"/>
                <w:sz w:val="21"/>
                <w:szCs w:val="21"/>
              </w:rPr>
            </w:pPr>
          </w:p>
        </w:tc>
        <w:tc>
          <w:tcPr>
            <w:tcW w:w="2364" w:type="dxa"/>
            <w:vAlign w:val="center"/>
          </w:tcPr>
          <w:p w14:paraId="2D63E9B2">
            <w:pPr>
              <w:pStyle w:val="57"/>
              <w:rPr>
                <w:rFonts w:hint="eastAsia" w:ascii="宋体" w:hAnsi="宋体" w:eastAsia="宋体" w:cs="宋体"/>
                <w:sz w:val="21"/>
                <w:szCs w:val="21"/>
              </w:rPr>
            </w:pPr>
          </w:p>
        </w:tc>
        <w:tc>
          <w:tcPr>
            <w:tcW w:w="2124" w:type="dxa"/>
            <w:vAlign w:val="center"/>
          </w:tcPr>
          <w:p w14:paraId="04985C31">
            <w:pPr>
              <w:pStyle w:val="57"/>
              <w:rPr>
                <w:rFonts w:hint="eastAsia" w:ascii="宋体" w:hAnsi="宋体" w:eastAsia="宋体" w:cs="宋体"/>
                <w:sz w:val="21"/>
                <w:szCs w:val="21"/>
              </w:rPr>
            </w:pPr>
          </w:p>
        </w:tc>
        <w:tc>
          <w:tcPr>
            <w:tcW w:w="984" w:type="dxa"/>
            <w:vAlign w:val="center"/>
          </w:tcPr>
          <w:p w14:paraId="1D6DD73A">
            <w:pPr>
              <w:pStyle w:val="57"/>
              <w:rPr>
                <w:rFonts w:hint="eastAsia" w:ascii="宋体" w:hAnsi="宋体" w:eastAsia="宋体" w:cs="宋体"/>
                <w:sz w:val="21"/>
                <w:szCs w:val="21"/>
              </w:rPr>
            </w:pPr>
          </w:p>
        </w:tc>
        <w:tc>
          <w:tcPr>
            <w:tcW w:w="768" w:type="dxa"/>
            <w:vAlign w:val="center"/>
          </w:tcPr>
          <w:p w14:paraId="031861B6">
            <w:pPr>
              <w:pStyle w:val="57"/>
              <w:rPr>
                <w:rFonts w:hint="eastAsia" w:ascii="宋体" w:hAnsi="宋体" w:eastAsia="宋体" w:cs="宋体"/>
                <w:sz w:val="21"/>
                <w:szCs w:val="21"/>
              </w:rPr>
            </w:pPr>
          </w:p>
        </w:tc>
      </w:tr>
      <w:tr w14:paraId="37D5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772" w:type="dxa"/>
            <w:vMerge w:val="continue"/>
            <w:vAlign w:val="center"/>
          </w:tcPr>
          <w:p w14:paraId="40F86316">
            <w:pPr>
              <w:pStyle w:val="57"/>
              <w:rPr>
                <w:rFonts w:hint="eastAsia" w:ascii="宋体" w:hAnsi="宋体" w:eastAsia="宋体" w:cs="宋体"/>
                <w:sz w:val="21"/>
                <w:szCs w:val="21"/>
              </w:rPr>
            </w:pPr>
          </w:p>
        </w:tc>
        <w:tc>
          <w:tcPr>
            <w:tcW w:w="1095" w:type="dxa"/>
            <w:vMerge w:val="continue"/>
            <w:vAlign w:val="center"/>
          </w:tcPr>
          <w:p w14:paraId="79431EAA">
            <w:pPr>
              <w:pStyle w:val="57"/>
              <w:rPr>
                <w:rFonts w:hint="eastAsia" w:ascii="宋体" w:hAnsi="宋体" w:eastAsia="宋体" w:cs="宋体"/>
                <w:sz w:val="21"/>
                <w:szCs w:val="21"/>
              </w:rPr>
            </w:pPr>
          </w:p>
        </w:tc>
        <w:tc>
          <w:tcPr>
            <w:tcW w:w="2364" w:type="dxa"/>
            <w:vAlign w:val="center"/>
          </w:tcPr>
          <w:p w14:paraId="5A1FD749">
            <w:pPr>
              <w:pStyle w:val="57"/>
              <w:rPr>
                <w:rFonts w:hint="eastAsia" w:ascii="宋体" w:hAnsi="宋体" w:eastAsia="宋体" w:cs="宋体"/>
                <w:sz w:val="21"/>
                <w:szCs w:val="21"/>
              </w:rPr>
            </w:pPr>
          </w:p>
        </w:tc>
        <w:tc>
          <w:tcPr>
            <w:tcW w:w="2124" w:type="dxa"/>
            <w:vAlign w:val="center"/>
          </w:tcPr>
          <w:p w14:paraId="07184594">
            <w:pPr>
              <w:pStyle w:val="57"/>
              <w:rPr>
                <w:rFonts w:hint="eastAsia" w:ascii="宋体" w:hAnsi="宋体" w:eastAsia="宋体" w:cs="宋体"/>
                <w:sz w:val="21"/>
                <w:szCs w:val="21"/>
              </w:rPr>
            </w:pPr>
          </w:p>
        </w:tc>
        <w:tc>
          <w:tcPr>
            <w:tcW w:w="984" w:type="dxa"/>
            <w:vAlign w:val="center"/>
          </w:tcPr>
          <w:p w14:paraId="122AE1DC">
            <w:pPr>
              <w:pStyle w:val="57"/>
              <w:rPr>
                <w:rFonts w:hint="eastAsia" w:ascii="宋体" w:hAnsi="宋体" w:eastAsia="宋体" w:cs="宋体"/>
                <w:sz w:val="21"/>
                <w:szCs w:val="21"/>
              </w:rPr>
            </w:pPr>
          </w:p>
        </w:tc>
        <w:tc>
          <w:tcPr>
            <w:tcW w:w="768" w:type="dxa"/>
            <w:vAlign w:val="center"/>
          </w:tcPr>
          <w:p w14:paraId="7419ABDD">
            <w:pPr>
              <w:pStyle w:val="57"/>
              <w:rPr>
                <w:rFonts w:hint="eastAsia" w:ascii="宋体" w:hAnsi="宋体" w:eastAsia="宋体" w:cs="宋体"/>
                <w:sz w:val="21"/>
                <w:szCs w:val="21"/>
              </w:rPr>
            </w:pPr>
          </w:p>
        </w:tc>
      </w:tr>
      <w:tr w14:paraId="45B0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772" w:type="dxa"/>
            <w:vAlign w:val="center"/>
          </w:tcPr>
          <w:p w14:paraId="4F36AA5D">
            <w:pPr>
              <w:pStyle w:val="57"/>
              <w:rPr>
                <w:rFonts w:hint="eastAsia" w:ascii="宋体" w:hAnsi="宋体" w:eastAsia="宋体" w:cs="宋体"/>
                <w:sz w:val="21"/>
                <w:szCs w:val="21"/>
              </w:rPr>
            </w:pPr>
          </w:p>
        </w:tc>
        <w:tc>
          <w:tcPr>
            <w:tcW w:w="1095" w:type="dxa"/>
            <w:vAlign w:val="center"/>
          </w:tcPr>
          <w:p w14:paraId="5B538660">
            <w:pPr>
              <w:pStyle w:val="57"/>
              <w:rPr>
                <w:rFonts w:hint="eastAsia" w:ascii="宋体" w:hAnsi="宋体" w:eastAsia="宋体" w:cs="宋体"/>
                <w:sz w:val="21"/>
                <w:szCs w:val="21"/>
              </w:rPr>
            </w:pPr>
          </w:p>
        </w:tc>
        <w:tc>
          <w:tcPr>
            <w:tcW w:w="2364" w:type="dxa"/>
            <w:vAlign w:val="center"/>
          </w:tcPr>
          <w:p w14:paraId="4B5941A7">
            <w:pPr>
              <w:pStyle w:val="57"/>
              <w:rPr>
                <w:rFonts w:hint="eastAsia" w:ascii="宋体" w:hAnsi="宋体" w:eastAsia="宋体" w:cs="宋体"/>
                <w:sz w:val="21"/>
                <w:szCs w:val="21"/>
              </w:rPr>
            </w:pPr>
          </w:p>
        </w:tc>
        <w:tc>
          <w:tcPr>
            <w:tcW w:w="2124" w:type="dxa"/>
            <w:vAlign w:val="center"/>
          </w:tcPr>
          <w:p w14:paraId="24C22986">
            <w:pPr>
              <w:pStyle w:val="57"/>
              <w:rPr>
                <w:rFonts w:hint="eastAsia" w:ascii="宋体" w:hAnsi="宋体" w:eastAsia="宋体" w:cs="宋体"/>
                <w:kern w:val="0"/>
                <w:sz w:val="21"/>
                <w:szCs w:val="21"/>
                <w:lang w:val="zh-CN"/>
              </w:rPr>
            </w:pPr>
          </w:p>
        </w:tc>
        <w:tc>
          <w:tcPr>
            <w:tcW w:w="984" w:type="dxa"/>
            <w:vAlign w:val="center"/>
          </w:tcPr>
          <w:p w14:paraId="72150E6C">
            <w:pPr>
              <w:pStyle w:val="57"/>
              <w:rPr>
                <w:rFonts w:hint="eastAsia" w:ascii="宋体" w:hAnsi="宋体" w:eastAsia="宋体" w:cs="宋体"/>
                <w:kern w:val="0"/>
                <w:sz w:val="21"/>
                <w:szCs w:val="21"/>
                <w:lang w:val="zh-CN"/>
              </w:rPr>
            </w:pPr>
          </w:p>
        </w:tc>
        <w:tc>
          <w:tcPr>
            <w:tcW w:w="768" w:type="dxa"/>
            <w:vAlign w:val="center"/>
          </w:tcPr>
          <w:p w14:paraId="35CB7D06">
            <w:pPr>
              <w:pStyle w:val="57"/>
              <w:rPr>
                <w:rFonts w:hint="eastAsia" w:ascii="宋体" w:hAnsi="宋体" w:eastAsia="宋体" w:cs="宋体"/>
                <w:kern w:val="0"/>
                <w:sz w:val="21"/>
                <w:szCs w:val="21"/>
                <w:lang w:val="zh-CN"/>
              </w:rPr>
            </w:pPr>
          </w:p>
        </w:tc>
      </w:tr>
      <w:tr w14:paraId="33A8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8107" w:type="dxa"/>
            <w:gridSpan w:val="6"/>
            <w:vAlign w:val="center"/>
          </w:tcPr>
          <w:p w14:paraId="7AA44734">
            <w:pPr>
              <w:pStyle w:val="57"/>
              <w:rPr>
                <w:rFonts w:hint="eastAsia" w:ascii="宋体" w:hAnsi="宋体" w:eastAsia="宋体" w:cs="宋体"/>
                <w:sz w:val="21"/>
                <w:szCs w:val="21"/>
              </w:rPr>
            </w:pPr>
          </w:p>
        </w:tc>
      </w:tr>
      <w:tr w14:paraId="4B2C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772" w:type="dxa"/>
            <w:vMerge w:val="restart"/>
            <w:vAlign w:val="center"/>
          </w:tcPr>
          <w:p w14:paraId="2F4FC8F2">
            <w:pPr>
              <w:pStyle w:val="57"/>
              <w:rPr>
                <w:rFonts w:hint="eastAsia" w:ascii="宋体" w:hAnsi="宋体" w:eastAsia="宋体" w:cs="宋体"/>
                <w:sz w:val="21"/>
                <w:szCs w:val="21"/>
              </w:rPr>
            </w:pPr>
          </w:p>
        </w:tc>
        <w:tc>
          <w:tcPr>
            <w:tcW w:w="1095" w:type="dxa"/>
            <w:vMerge w:val="restart"/>
            <w:vAlign w:val="center"/>
          </w:tcPr>
          <w:p w14:paraId="0D264EBA">
            <w:pPr>
              <w:pStyle w:val="57"/>
              <w:rPr>
                <w:rFonts w:hint="eastAsia" w:ascii="宋体" w:hAnsi="宋体" w:eastAsia="宋体" w:cs="宋体"/>
                <w:sz w:val="21"/>
                <w:szCs w:val="21"/>
              </w:rPr>
            </w:pPr>
          </w:p>
        </w:tc>
        <w:tc>
          <w:tcPr>
            <w:tcW w:w="2364" w:type="dxa"/>
            <w:vAlign w:val="center"/>
          </w:tcPr>
          <w:p w14:paraId="1AD42770">
            <w:pPr>
              <w:pStyle w:val="57"/>
              <w:rPr>
                <w:rFonts w:hint="eastAsia" w:ascii="宋体" w:hAnsi="宋体" w:eastAsia="宋体" w:cs="宋体"/>
                <w:sz w:val="21"/>
                <w:szCs w:val="21"/>
              </w:rPr>
            </w:pPr>
          </w:p>
        </w:tc>
        <w:tc>
          <w:tcPr>
            <w:tcW w:w="2124" w:type="dxa"/>
            <w:vAlign w:val="center"/>
          </w:tcPr>
          <w:p w14:paraId="4C2B14EE">
            <w:pPr>
              <w:pStyle w:val="57"/>
              <w:rPr>
                <w:rFonts w:hint="eastAsia" w:ascii="宋体" w:hAnsi="宋体" w:eastAsia="宋体" w:cs="宋体"/>
                <w:kern w:val="0"/>
                <w:sz w:val="21"/>
                <w:szCs w:val="21"/>
              </w:rPr>
            </w:pPr>
          </w:p>
        </w:tc>
        <w:tc>
          <w:tcPr>
            <w:tcW w:w="984" w:type="dxa"/>
            <w:vAlign w:val="center"/>
          </w:tcPr>
          <w:p w14:paraId="57987AD6">
            <w:pPr>
              <w:pStyle w:val="57"/>
              <w:rPr>
                <w:rFonts w:hint="eastAsia" w:ascii="宋体" w:hAnsi="宋体" w:eastAsia="宋体" w:cs="宋体"/>
                <w:kern w:val="0"/>
                <w:sz w:val="21"/>
                <w:szCs w:val="21"/>
              </w:rPr>
            </w:pPr>
          </w:p>
        </w:tc>
        <w:tc>
          <w:tcPr>
            <w:tcW w:w="768" w:type="dxa"/>
            <w:vAlign w:val="center"/>
          </w:tcPr>
          <w:p w14:paraId="3BE9E53E">
            <w:pPr>
              <w:pStyle w:val="57"/>
              <w:rPr>
                <w:rFonts w:hint="eastAsia" w:ascii="宋体" w:hAnsi="宋体" w:eastAsia="宋体" w:cs="宋体"/>
                <w:kern w:val="0"/>
                <w:sz w:val="21"/>
                <w:szCs w:val="21"/>
              </w:rPr>
            </w:pPr>
          </w:p>
        </w:tc>
      </w:tr>
      <w:tr w14:paraId="313A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2" w:type="dxa"/>
            <w:vMerge w:val="continue"/>
            <w:vAlign w:val="center"/>
          </w:tcPr>
          <w:p w14:paraId="74389CD1">
            <w:pPr>
              <w:pStyle w:val="57"/>
              <w:rPr>
                <w:rFonts w:hint="eastAsia" w:ascii="宋体" w:hAnsi="宋体" w:eastAsia="宋体" w:cs="宋体"/>
                <w:sz w:val="21"/>
                <w:szCs w:val="21"/>
              </w:rPr>
            </w:pPr>
          </w:p>
        </w:tc>
        <w:tc>
          <w:tcPr>
            <w:tcW w:w="1095" w:type="dxa"/>
            <w:vMerge w:val="continue"/>
            <w:vAlign w:val="center"/>
          </w:tcPr>
          <w:p w14:paraId="21D6A340">
            <w:pPr>
              <w:pStyle w:val="57"/>
              <w:rPr>
                <w:rFonts w:hint="eastAsia" w:ascii="宋体" w:hAnsi="宋体" w:eastAsia="宋体" w:cs="宋体"/>
                <w:sz w:val="21"/>
                <w:szCs w:val="21"/>
              </w:rPr>
            </w:pPr>
          </w:p>
        </w:tc>
        <w:tc>
          <w:tcPr>
            <w:tcW w:w="2364" w:type="dxa"/>
            <w:vAlign w:val="center"/>
          </w:tcPr>
          <w:p w14:paraId="264F0756">
            <w:pPr>
              <w:pStyle w:val="57"/>
              <w:rPr>
                <w:rFonts w:hint="eastAsia" w:ascii="宋体" w:hAnsi="宋体" w:eastAsia="宋体" w:cs="宋体"/>
                <w:sz w:val="21"/>
                <w:szCs w:val="21"/>
              </w:rPr>
            </w:pPr>
          </w:p>
        </w:tc>
        <w:tc>
          <w:tcPr>
            <w:tcW w:w="2124" w:type="dxa"/>
            <w:vAlign w:val="center"/>
          </w:tcPr>
          <w:p w14:paraId="28AC302D">
            <w:pPr>
              <w:pStyle w:val="57"/>
              <w:rPr>
                <w:rFonts w:hint="eastAsia" w:ascii="宋体" w:hAnsi="宋体" w:eastAsia="宋体" w:cs="宋体"/>
                <w:sz w:val="21"/>
                <w:szCs w:val="21"/>
              </w:rPr>
            </w:pPr>
          </w:p>
        </w:tc>
        <w:tc>
          <w:tcPr>
            <w:tcW w:w="984" w:type="dxa"/>
            <w:vAlign w:val="center"/>
          </w:tcPr>
          <w:p w14:paraId="52A222B0">
            <w:pPr>
              <w:pStyle w:val="57"/>
              <w:rPr>
                <w:rFonts w:hint="eastAsia" w:ascii="宋体" w:hAnsi="宋体" w:eastAsia="宋体" w:cs="宋体"/>
                <w:sz w:val="21"/>
                <w:szCs w:val="21"/>
              </w:rPr>
            </w:pPr>
          </w:p>
        </w:tc>
        <w:tc>
          <w:tcPr>
            <w:tcW w:w="768" w:type="dxa"/>
            <w:vAlign w:val="center"/>
          </w:tcPr>
          <w:p w14:paraId="330B5287">
            <w:pPr>
              <w:pStyle w:val="57"/>
              <w:rPr>
                <w:rFonts w:hint="eastAsia" w:ascii="宋体" w:hAnsi="宋体" w:eastAsia="宋体" w:cs="宋体"/>
                <w:sz w:val="21"/>
                <w:szCs w:val="21"/>
              </w:rPr>
            </w:pPr>
          </w:p>
        </w:tc>
      </w:tr>
      <w:tr w14:paraId="485F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772" w:type="dxa"/>
            <w:vMerge w:val="continue"/>
            <w:vAlign w:val="center"/>
          </w:tcPr>
          <w:p w14:paraId="1835CF0E">
            <w:pPr>
              <w:pStyle w:val="57"/>
              <w:rPr>
                <w:rFonts w:hint="eastAsia" w:ascii="宋体" w:hAnsi="宋体" w:eastAsia="宋体" w:cs="宋体"/>
                <w:sz w:val="21"/>
                <w:szCs w:val="21"/>
              </w:rPr>
            </w:pPr>
          </w:p>
        </w:tc>
        <w:tc>
          <w:tcPr>
            <w:tcW w:w="1095" w:type="dxa"/>
            <w:vMerge w:val="continue"/>
            <w:vAlign w:val="center"/>
          </w:tcPr>
          <w:p w14:paraId="6A6BF017">
            <w:pPr>
              <w:pStyle w:val="57"/>
              <w:rPr>
                <w:rFonts w:hint="eastAsia" w:ascii="宋体" w:hAnsi="宋体" w:eastAsia="宋体" w:cs="宋体"/>
                <w:sz w:val="21"/>
                <w:szCs w:val="21"/>
              </w:rPr>
            </w:pPr>
          </w:p>
        </w:tc>
        <w:tc>
          <w:tcPr>
            <w:tcW w:w="2364" w:type="dxa"/>
            <w:vAlign w:val="center"/>
          </w:tcPr>
          <w:p w14:paraId="795D2128">
            <w:pPr>
              <w:pStyle w:val="57"/>
              <w:rPr>
                <w:rFonts w:hint="eastAsia" w:ascii="宋体" w:hAnsi="宋体" w:eastAsia="宋体" w:cs="宋体"/>
                <w:sz w:val="21"/>
                <w:szCs w:val="21"/>
              </w:rPr>
            </w:pPr>
          </w:p>
        </w:tc>
        <w:tc>
          <w:tcPr>
            <w:tcW w:w="2124" w:type="dxa"/>
            <w:vAlign w:val="center"/>
          </w:tcPr>
          <w:p w14:paraId="0AB44EE6">
            <w:pPr>
              <w:pStyle w:val="57"/>
              <w:rPr>
                <w:rFonts w:hint="eastAsia" w:ascii="宋体" w:hAnsi="宋体" w:eastAsia="宋体" w:cs="宋体"/>
                <w:sz w:val="21"/>
                <w:szCs w:val="21"/>
              </w:rPr>
            </w:pPr>
          </w:p>
        </w:tc>
        <w:tc>
          <w:tcPr>
            <w:tcW w:w="984" w:type="dxa"/>
            <w:vAlign w:val="center"/>
          </w:tcPr>
          <w:p w14:paraId="5C8330C4">
            <w:pPr>
              <w:pStyle w:val="57"/>
              <w:rPr>
                <w:rFonts w:hint="eastAsia" w:ascii="宋体" w:hAnsi="宋体" w:eastAsia="宋体" w:cs="宋体"/>
                <w:sz w:val="21"/>
                <w:szCs w:val="21"/>
              </w:rPr>
            </w:pPr>
          </w:p>
        </w:tc>
        <w:tc>
          <w:tcPr>
            <w:tcW w:w="768" w:type="dxa"/>
            <w:vAlign w:val="center"/>
          </w:tcPr>
          <w:p w14:paraId="46B6C5DC">
            <w:pPr>
              <w:pStyle w:val="57"/>
              <w:rPr>
                <w:rFonts w:hint="eastAsia" w:ascii="宋体" w:hAnsi="宋体" w:eastAsia="宋体" w:cs="宋体"/>
                <w:sz w:val="21"/>
                <w:szCs w:val="21"/>
              </w:rPr>
            </w:pPr>
          </w:p>
        </w:tc>
      </w:tr>
      <w:tr w14:paraId="28D5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72" w:type="dxa"/>
            <w:vMerge w:val="restart"/>
            <w:vAlign w:val="center"/>
          </w:tcPr>
          <w:p w14:paraId="4DBC91CD">
            <w:pPr>
              <w:pStyle w:val="57"/>
              <w:rPr>
                <w:rFonts w:hint="eastAsia" w:ascii="宋体" w:hAnsi="宋体" w:eastAsia="宋体" w:cs="宋体"/>
                <w:sz w:val="21"/>
                <w:szCs w:val="21"/>
              </w:rPr>
            </w:pPr>
          </w:p>
        </w:tc>
        <w:tc>
          <w:tcPr>
            <w:tcW w:w="1095" w:type="dxa"/>
            <w:vMerge w:val="restart"/>
            <w:vAlign w:val="center"/>
          </w:tcPr>
          <w:p w14:paraId="740E06A1">
            <w:pPr>
              <w:pStyle w:val="57"/>
              <w:rPr>
                <w:rFonts w:hint="eastAsia" w:ascii="宋体" w:hAnsi="宋体" w:eastAsia="宋体" w:cs="宋体"/>
                <w:strike w:val="0"/>
                <w:sz w:val="21"/>
                <w:szCs w:val="21"/>
              </w:rPr>
            </w:pPr>
          </w:p>
        </w:tc>
        <w:tc>
          <w:tcPr>
            <w:tcW w:w="2364" w:type="dxa"/>
            <w:vAlign w:val="center"/>
          </w:tcPr>
          <w:p w14:paraId="1EBD3BB7">
            <w:pPr>
              <w:pStyle w:val="57"/>
              <w:rPr>
                <w:rFonts w:hint="eastAsia" w:ascii="宋体" w:hAnsi="宋体" w:eastAsia="宋体" w:cs="宋体"/>
                <w:strike w:val="0"/>
                <w:sz w:val="21"/>
                <w:szCs w:val="21"/>
              </w:rPr>
            </w:pPr>
          </w:p>
        </w:tc>
        <w:tc>
          <w:tcPr>
            <w:tcW w:w="2124" w:type="dxa"/>
            <w:vAlign w:val="center"/>
          </w:tcPr>
          <w:p w14:paraId="594857F6">
            <w:pPr>
              <w:pStyle w:val="57"/>
              <w:rPr>
                <w:rFonts w:hint="eastAsia" w:ascii="宋体" w:hAnsi="宋体" w:eastAsia="宋体" w:cs="宋体"/>
                <w:strike w:val="0"/>
                <w:sz w:val="21"/>
                <w:szCs w:val="21"/>
              </w:rPr>
            </w:pPr>
          </w:p>
        </w:tc>
        <w:tc>
          <w:tcPr>
            <w:tcW w:w="984" w:type="dxa"/>
            <w:vAlign w:val="center"/>
          </w:tcPr>
          <w:p w14:paraId="07E30872">
            <w:pPr>
              <w:pStyle w:val="57"/>
              <w:rPr>
                <w:rFonts w:hint="eastAsia" w:ascii="宋体" w:hAnsi="宋体" w:eastAsia="宋体" w:cs="宋体"/>
                <w:strike w:val="0"/>
                <w:sz w:val="21"/>
                <w:szCs w:val="21"/>
              </w:rPr>
            </w:pPr>
          </w:p>
        </w:tc>
        <w:tc>
          <w:tcPr>
            <w:tcW w:w="768" w:type="dxa"/>
            <w:vAlign w:val="center"/>
          </w:tcPr>
          <w:p w14:paraId="08CF62F8">
            <w:pPr>
              <w:pStyle w:val="57"/>
              <w:rPr>
                <w:rFonts w:hint="eastAsia" w:ascii="宋体" w:hAnsi="宋体" w:eastAsia="宋体" w:cs="宋体"/>
                <w:strike w:val="0"/>
                <w:sz w:val="21"/>
                <w:szCs w:val="21"/>
              </w:rPr>
            </w:pPr>
          </w:p>
        </w:tc>
      </w:tr>
      <w:tr w14:paraId="4CE7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2" w:type="dxa"/>
            <w:vMerge w:val="continue"/>
            <w:vAlign w:val="center"/>
          </w:tcPr>
          <w:p w14:paraId="715618F6">
            <w:pPr>
              <w:pStyle w:val="57"/>
              <w:rPr>
                <w:rFonts w:hint="eastAsia" w:ascii="宋体" w:hAnsi="宋体" w:eastAsia="宋体" w:cs="宋体"/>
                <w:sz w:val="21"/>
                <w:szCs w:val="21"/>
              </w:rPr>
            </w:pPr>
          </w:p>
        </w:tc>
        <w:tc>
          <w:tcPr>
            <w:tcW w:w="1095" w:type="dxa"/>
            <w:vMerge w:val="continue"/>
            <w:vAlign w:val="center"/>
          </w:tcPr>
          <w:p w14:paraId="14E4EB60">
            <w:pPr>
              <w:pStyle w:val="57"/>
              <w:rPr>
                <w:rFonts w:hint="eastAsia" w:ascii="宋体" w:hAnsi="宋体" w:eastAsia="宋体" w:cs="宋体"/>
                <w:strike w:val="0"/>
                <w:sz w:val="21"/>
                <w:szCs w:val="21"/>
              </w:rPr>
            </w:pPr>
          </w:p>
        </w:tc>
        <w:tc>
          <w:tcPr>
            <w:tcW w:w="2364" w:type="dxa"/>
            <w:vAlign w:val="center"/>
          </w:tcPr>
          <w:p w14:paraId="5412A9A8">
            <w:pPr>
              <w:pStyle w:val="57"/>
              <w:rPr>
                <w:rFonts w:hint="eastAsia" w:ascii="宋体" w:hAnsi="宋体" w:eastAsia="宋体" w:cs="宋体"/>
                <w:strike w:val="0"/>
                <w:sz w:val="21"/>
                <w:szCs w:val="21"/>
              </w:rPr>
            </w:pPr>
          </w:p>
        </w:tc>
        <w:tc>
          <w:tcPr>
            <w:tcW w:w="2124" w:type="dxa"/>
            <w:vAlign w:val="center"/>
          </w:tcPr>
          <w:p w14:paraId="3D5A94B7">
            <w:pPr>
              <w:pStyle w:val="57"/>
              <w:rPr>
                <w:rFonts w:hint="eastAsia" w:ascii="宋体" w:hAnsi="宋体" w:eastAsia="宋体" w:cs="宋体"/>
                <w:strike w:val="0"/>
                <w:sz w:val="21"/>
                <w:szCs w:val="21"/>
              </w:rPr>
            </w:pPr>
          </w:p>
        </w:tc>
        <w:tc>
          <w:tcPr>
            <w:tcW w:w="984" w:type="dxa"/>
            <w:vAlign w:val="center"/>
          </w:tcPr>
          <w:p w14:paraId="63B32C23">
            <w:pPr>
              <w:pStyle w:val="57"/>
              <w:rPr>
                <w:rFonts w:hint="eastAsia" w:ascii="宋体" w:hAnsi="宋体" w:eastAsia="宋体" w:cs="宋体"/>
                <w:strike w:val="0"/>
                <w:sz w:val="21"/>
                <w:szCs w:val="21"/>
              </w:rPr>
            </w:pPr>
          </w:p>
        </w:tc>
        <w:tc>
          <w:tcPr>
            <w:tcW w:w="768" w:type="dxa"/>
            <w:vAlign w:val="center"/>
          </w:tcPr>
          <w:p w14:paraId="7C8F1553">
            <w:pPr>
              <w:pStyle w:val="57"/>
              <w:rPr>
                <w:rFonts w:hint="eastAsia" w:ascii="宋体" w:hAnsi="宋体" w:eastAsia="宋体" w:cs="宋体"/>
                <w:strike w:val="0"/>
                <w:sz w:val="21"/>
                <w:szCs w:val="21"/>
              </w:rPr>
            </w:pPr>
          </w:p>
        </w:tc>
      </w:tr>
      <w:tr w14:paraId="5EDA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2" w:type="dxa"/>
            <w:vMerge w:val="continue"/>
            <w:vAlign w:val="center"/>
          </w:tcPr>
          <w:p w14:paraId="582346F1">
            <w:pPr>
              <w:pStyle w:val="57"/>
              <w:rPr>
                <w:rFonts w:hint="eastAsia" w:ascii="宋体" w:hAnsi="宋体" w:eastAsia="宋体" w:cs="宋体"/>
                <w:sz w:val="21"/>
                <w:szCs w:val="21"/>
              </w:rPr>
            </w:pPr>
          </w:p>
        </w:tc>
        <w:tc>
          <w:tcPr>
            <w:tcW w:w="1095" w:type="dxa"/>
            <w:vMerge w:val="continue"/>
            <w:vAlign w:val="center"/>
          </w:tcPr>
          <w:p w14:paraId="004D5A25">
            <w:pPr>
              <w:pStyle w:val="57"/>
              <w:rPr>
                <w:rFonts w:hint="eastAsia" w:ascii="宋体" w:hAnsi="宋体" w:eastAsia="宋体" w:cs="宋体"/>
                <w:strike w:val="0"/>
                <w:sz w:val="21"/>
                <w:szCs w:val="21"/>
              </w:rPr>
            </w:pPr>
          </w:p>
        </w:tc>
        <w:tc>
          <w:tcPr>
            <w:tcW w:w="2364" w:type="dxa"/>
            <w:vAlign w:val="center"/>
          </w:tcPr>
          <w:p w14:paraId="56F23D55">
            <w:pPr>
              <w:pStyle w:val="57"/>
              <w:rPr>
                <w:rFonts w:hint="eastAsia" w:ascii="宋体" w:hAnsi="宋体" w:eastAsia="宋体" w:cs="宋体"/>
                <w:strike w:val="0"/>
                <w:sz w:val="21"/>
                <w:szCs w:val="21"/>
              </w:rPr>
            </w:pPr>
          </w:p>
        </w:tc>
        <w:tc>
          <w:tcPr>
            <w:tcW w:w="2124" w:type="dxa"/>
            <w:vAlign w:val="center"/>
          </w:tcPr>
          <w:p w14:paraId="0FB515F8">
            <w:pPr>
              <w:pStyle w:val="57"/>
              <w:rPr>
                <w:rFonts w:hint="eastAsia" w:ascii="宋体" w:hAnsi="宋体" w:eastAsia="宋体" w:cs="宋体"/>
                <w:strike w:val="0"/>
                <w:sz w:val="21"/>
                <w:szCs w:val="21"/>
              </w:rPr>
            </w:pPr>
          </w:p>
        </w:tc>
        <w:tc>
          <w:tcPr>
            <w:tcW w:w="984" w:type="dxa"/>
            <w:vAlign w:val="center"/>
          </w:tcPr>
          <w:p w14:paraId="2B18E5BE">
            <w:pPr>
              <w:pStyle w:val="57"/>
              <w:rPr>
                <w:rFonts w:hint="eastAsia" w:ascii="宋体" w:hAnsi="宋体" w:eastAsia="宋体" w:cs="宋体"/>
                <w:strike w:val="0"/>
                <w:sz w:val="21"/>
                <w:szCs w:val="21"/>
              </w:rPr>
            </w:pPr>
          </w:p>
        </w:tc>
        <w:tc>
          <w:tcPr>
            <w:tcW w:w="768" w:type="dxa"/>
            <w:vAlign w:val="center"/>
          </w:tcPr>
          <w:p w14:paraId="151D3E40">
            <w:pPr>
              <w:pStyle w:val="57"/>
              <w:rPr>
                <w:rFonts w:hint="eastAsia" w:ascii="宋体" w:hAnsi="宋体" w:eastAsia="宋体" w:cs="宋体"/>
                <w:strike w:val="0"/>
                <w:sz w:val="21"/>
                <w:szCs w:val="21"/>
              </w:rPr>
            </w:pPr>
          </w:p>
        </w:tc>
      </w:tr>
      <w:tr w14:paraId="7686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dxa"/>
            <w:vMerge w:val="continue"/>
            <w:vAlign w:val="center"/>
          </w:tcPr>
          <w:p w14:paraId="4859E0D6">
            <w:pPr>
              <w:pStyle w:val="57"/>
              <w:rPr>
                <w:rFonts w:hint="eastAsia" w:ascii="宋体" w:hAnsi="宋体" w:eastAsia="宋体" w:cs="宋体"/>
                <w:sz w:val="21"/>
                <w:szCs w:val="21"/>
              </w:rPr>
            </w:pPr>
          </w:p>
        </w:tc>
        <w:tc>
          <w:tcPr>
            <w:tcW w:w="1095" w:type="dxa"/>
            <w:vMerge w:val="continue"/>
            <w:vAlign w:val="center"/>
          </w:tcPr>
          <w:p w14:paraId="40185508">
            <w:pPr>
              <w:pStyle w:val="57"/>
              <w:rPr>
                <w:rFonts w:hint="eastAsia" w:ascii="宋体" w:hAnsi="宋体" w:eastAsia="宋体" w:cs="宋体"/>
                <w:strike w:val="0"/>
                <w:sz w:val="21"/>
                <w:szCs w:val="21"/>
              </w:rPr>
            </w:pPr>
          </w:p>
        </w:tc>
        <w:tc>
          <w:tcPr>
            <w:tcW w:w="2364" w:type="dxa"/>
            <w:vAlign w:val="center"/>
          </w:tcPr>
          <w:p w14:paraId="30AB45AD">
            <w:pPr>
              <w:pStyle w:val="57"/>
              <w:rPr>
                <w:rFonts w:hint="eastAsia" w:ascii="宋体" w:hAnsi="宋体" w:eastAsia="宋体" w:cs="宋体"/>
                <w:strike w:val="0"/>
                <w:sz w:val="21"/>
                <w:szCs w:val="21"/>
              </w:rPr>
            </w:pPr>
          </w:p>
        </w:tc>
        <w:tc>
          <w:tcPr>
            <w:tcW w:w="2124" w:type="dxa"/>
            <w:vAlign w:val="center"/>
          </w:tcPr>
          <w:p w14:paraId="7C223311">
            <w:pPr>
              <w:pStyle w:val="57"/>
              <w:rPr>
                <w:rFonts w:hint="eastAsia" w:ascii="宋体" w:hAnsi="宋体" w:eastAsia="宋体" w:cs="宋体"/>
                <w:strike w:val="0"/>
                <w:sz w:val="21"/>
                <w:szCs w:val="21"/>
              </w:rPr>
            </w:pPr>
          </w:p>
        </w:tc>
        <w:tc>
          <w:tcPr>
            <w:tcW w:w="984" w:type="dxa"/>
            <w:vAlign w:val="center"/>
          </w:tcPr>
          <w:p w14:paraId="3B836C0C">
            <w:pPr>
              <w:pStyle w:val="57"/>
              <w:rPr>
                <w:rFonts w:hint="eastAsia" w:ascii="宋体" w:hAnsi="宋体" w:eastAsia="宋体" w:cs="宋体"/>
                <w:strike w:val="0"/>
                <w:sz w:val="21"/>
                <w:szCs w:val="21"/>
              </w:rPr>
            </w:pPr>
          </w:p>
        </w:tc>
        <w:tc>
          <w:tcPr>
            <w:tcW w:w="768" w:type="dxa"/>
            <w:vAlign w:val="center"/>
          </w:tcPr>
          <w:p w14:paraId="2A5FDC9C">
            <w:pPr>
              <w:pStyle w:val="57"/>
              <w:rPr>
                <w:rFonts w:hint="eastAsia" w:ascii="宋体" w:hAnsi="宋体" w:eastAsia="宋体" w:cs="宋体"/>
                <w:strike w:val="0"/>
                <w:sz w:val="21"/>
                <w:szCs w:val="21"/>
              </w:rPr>
            </w:pPr>
          </w:p>
        </w:tc>
      </w:tr>
      <w:tr w14:paraId="4DC8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2" w:type="dxa"/>
            <w:vAlign w:val="center"/>
          </w:tcPr>
          <w:p w14:paraId="47B80773">
            <w:pPr>
              <w:pStyle w:val="57"/>
              <w:rPr>
                <w:rFonts w:hint="eastAsia" w:ascii="宋体" w:hAnsi="宋体" w:eastAsia="宋体" w:cs="宋体"/>
                <w:sz w:val="21"/>
                <w:szCs w:val="21"/>
              </w:rPr>
            </w:pPr>
          </w:p>
        </w:tc>
        <w:tc>
          <w:tcPr>
            <w:tcW w:w="1095" w:type="dxa"/>
            <w:vAlign w:val="center"/>
          </w:tcPr>
          <w:p w14:paraId="324BE0E0">
            <w:pPr>
              <w:pStyle w:val="57"/>
              <w:rPr>
                <w:rFonts w:hint="eastAsia" w:ascii="宋体" w:hAnsi="宋体" w:eastAsia="宋体" w:cs="宋体"/>
                <w:sz w:val="21"/>
                <w:szCs w:val="21"/>
              </w:rPr>
            </w:pPr>
          </w:p>
        </w:tc>
        <w:tc>
          <w:tcPr>
            <w:tcW w:w="2364" w:type="dxa"/>
            <w:vAlign w:val="center"/>
          </w:tcPr>
          <w:p w14:paraId="5BA7EDA0">
            <w:pPr>
              <w:pStyle w:val="57"/>
              <w:rPr>
                <w:rFonts w:hint="eastAsia" w:ascii="宋体" w:hAnsi="宋体" w:eastAsia="宋体" w:cs="宋体"/>
                <w:sz w:val="21"/>
                <w:szCs w:val="21"/>
              </w:rPr>
            </w:pPr>
          </w:p>
        </w:tc>
        <w:tc>
          <w:tcPr>
            <w:tcW w:w="2124" w:type="dxa"/>
            <w:vAlign w:val="center"/>
          </w:tcPr>
          <w:p w14:paraId="25466D8B">
            <w:pPr>
              <w:pStyle w:val="57"/>
              <w:rPr>
                <w:rFonts w:hint="eastAsia" w:ascii="宋体" w:hAnsi="宋体" w:eastAsia="宋体" w:cs="宋体"/>
                <w:sz w:val="21"/>
                <w:szCs w:val="21"/>
              </w:rPr>
            </w:pPr>
          </w:p>
        </w:tc>
        <w:tc>
          <w:tcPr>
            <w:tcW w:w="984" w:type="dxa"/>
            <w:vAlign w:val="center"/>
          </w:tcPr>
          <w:p w14:paraId="3BD76D9D">
            <w:pPr>
              <w:pStyle w:val="57"/>
              <w:rPr>
                <w:rFonts w:hint="eastAsia" w:ascii="宋体" w:hAnsi="宋体" w:eastAsia="宋体" w:cs="宋体"/>
                <w:sz w:val="21"/>
                <w:szCs w:val="21"/>
              </w:rPr>
            </w:pPr>
          </w:p>
        </w:tc>
        <w:tc>
          <w:tcPr>
            <w:tcW w:w="768" w:type="dxa"/>
            <w:vAlign w:val="center"/>
          </w:tcPr>
          <w:p w14:paraId="6220E346">
            <w:pPr>
              <w:pStyle w:val="57"/>
              <w:rPr>
                <w:rFonts w:hint="eastAsia" w:ascii="宋体" w:hAnsi="宋体" w:eastAsia="宋体" w:cs="宋体"/>
                <w:sz w:val="21"/>
                <w:szCs w:val="21"/>
              </w:rPr>
            </w:pPr>
          </w:p>
        </w:tc>
      </w:tr>
      <w:tr w14:paraId="71C1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772" w:type="dxa"/>
            <w:vMerge w:val="restart"/>
            <w:vAlign w:val="center"/>
          </w:tcPr>
          <w:p w14:paraId="041DAFE4">
            <w:pPr>
              <w:pStyle w:val="57"/>
              <w:rPr>
                <w:rFonts w:hint="eastAsia" w:ascii="宋体" w:hAnsi="宋体" w:eastAsia="宋体" w:cs="宋体"/>
                <w:sz w:val="21"/>
                <w:szCs w:val="21"/>
              </w:rPr>
            </w:pPr>
          </w:p>
        </w:tc>
        <w:tc>
          <w:tcPr>
            <w:tcW w:w="1095" w:type="dxa"/>
            <w:vMerge w:val="restart"/>
            <w:vAlign w:val="center"/>
          </w:tcPr>
          <w:p w14:paraId="02660EB1">
            <w:pPr>
              <w:pStyle w:val="57"/>
              <w:rPr>
                <w:rFonts w:hint="eastAsia" w:ascii="宋体" w:hAnsi="宋体" w:eastAsia="宋体" w:cs="宋体"/>
                <w:sz w:val="21"/>
                <w:szCs w:val="21"/>
              </w:rPr>
            </w:pPr>
          </w:p>
        </w:tc>
        <w:tc>
          <w:tcPr>
            <w:tcW w:w="2364" w:type="dxa"/>
            <w:vAlign w:val="center"/>
          </w:tcPr>
          <w:p w14:paraId="5B3A22FF">
            <w:pPr>
              <w:pStyle w:val="57"/>
              <w:rPr>
                <w:rFonts w:hint="eastAsia" w:ascii="宋体" w:hAnsi="宋体" w:eastAsia="宋体" w:cs="宋体"/>
                <w:sz w:val="21"/>
                <w:szCs w:val="21"/>
              </w:rPr>
            </w:pPr>
          </w:p>
        </w:tc>
        <w:tc>
          <w:tcPr>
            <w:tcW w:w="2124" w:type="dxa"/>
            <w:vAlign w:val="center"/>
          </w:tcPr>
          <w:p w14:paraId="0E229821">
            <w:pPr>
              <w:pStyle w:val="57"/>
              <w:rPr>
                <w:rFonts w:hint="eastAsia" w:ascii="宋体" w:hAnsi="宋体" w:eastAsia="宋体" w:cs="宋体"/>
                <w:sz w:val="21"/>
                <w:szCs w:val="21"/>
              </w:rPr>
            </w:pPr>
          </w:p>
        </w:tc>
        <w:tc>
          <w:tcPr>
            <w:tcW w:w="984" w:type="dxa"/>
            <w:vAlign w:val="center"/>
          </w:tcPr>
          <w:p w14:paraId="684F28C2">
            <w:pPr>
              <w:pStyle w:val="57"/>
              <w:rPr>
                <w:rFonts w:hint="eastAsia" w:ascii="宋体" w:hAnsi="宋体" w:eastAsia="宋体" w:cs="宋体"/>
                <w:sz w:val="21"/>
                <w:szCs w:val="21"/>
              </w:rPr>
            </w:pPr>
          </w:p>
        </w:tc>
        <w:tc>
          <w:tcPr>
            <w:tcW w:w="768" w:type="dxa"/>
            <w:vAlign w:val="center"/>
          </w:tcPr>
          <w:p w14:paraId="0C682819">
            <w:pPr>
              <w:pStyle w:val="57"/>
              <w:rPr>
                <w:rFonts w:hint="eastAsia" w:ascii="宋体" w:hAnsi="宋体" w:eastAsia="宋体" w:cs="宋体"/>
                <w:sz w:val="21"/>
                <w:szCs w:val="21"/>
              </w:rPr>
            </w:pPr>
          </w:p>
        </w:tc>
      </w:tr>
      <w:tr w14:paraId="61F9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2" w:type="dxa"/>
            <w:vMerge w:val="continue"/>
            <w:vAlign w:val="center"/>
          </w:tcPr>
          <w:p w14:paraId="15EF6B5C">
            <w:pPr>
              <w:pStyle w:val="57"/>
              <w:rPr>
                <w:rFonts w:hint="eastAsia" w:ascii="宋体" w:hAnsi="宋体" w:eastAsia="宋体" w:cs="宋体"/>
                <w:sz w:val="21"/>
                <w:szCs w:val="21"/>
              </w:rPr>
            </w:pPr>
          </w:p>
        </w:tc>
        <w:tc>
          <w:tcPr>
            <w:tcW w:w="1095" w:type="dxa"/>
            <w:vMerge w:val="continue"/>
            <w:vAlign w:val="center"/>
          </w:tcPr>
          <w:p w14:paraId="6E167B25">
            <w:pPr>
              <w:pStyle w:val="57"/>
              <w:rPr>
                <w:rFonts w:hint="eastAsia" w:ascii="宋体" w:hAnsi="宋体" w:eastAsia="宋体" w:cs="宋体"/>
                <w:sz w:val="21"/>
                <w:szCs w:val="21"/>
              </w:rPr>
            </w:pPr>
          </w:p>
        </w:tc>
        <w:tc>
          <w:tcPr>
            <w:tcW w:w="2364" w:type="dxa"/>
            <w:vAlign w:val="center"/>
          </w:tcPr>
          <w:p w14:paraId="442E5123">
            <w:pPr>
              <w:pStyle w:val="57"/>
              <w:rPr>
                <w:rFonts w:hint="eastAsia" w:ascii="宋体" w:hAnsi="宋体" w:eastAsia="宋体" w:cs="宋体"/>
                <w:sz w:val="21"/>
                <w:szCs w:val="21"/>
              </w:rPr>
            </w:pPr>
          </w:p>
        </w:tc>
        <w:tc>
          <w:tcPr>
            <w:tcW w:w="2124" w:type="dxa"/>
            <w:vAlign w:val="center"/>
          </w:tcPr>
          <w:p w14:paraId="42641F20">
            <w:pPr>
              <w:pStyle w:val="57"/>
              <w:rPr>
                <w:rFonts w:hint="eastAsia" w:ascii="宋体" w:hAnsi="宋体" w:eastAsia="宋体" w:cs="宋体"/>
                <w:sz w:val="21"/>
                <w:szCs w:val="21"/>
              </w:rPr>
            </w:pPr>
          </w:p>
        </w:tc>
        <w:tc>
          <w:tcPr>
            <w:tcW w:w="984" w:type="dxa"/>
            <w:vAlign w:val="center"/>
          </w:tcPr>
          <w:p w14:paraId="5E8D64A8">
            <w:pPr>
              <w:pStyle w:val="57"/>
              <w:rPr>
                <w:rFonts w:hint="eastAsia" w:ascii="宋体" w:hAnsi="宋体" w:eastAsia="宋体" w:cs="宋体"/>
                <w:sz w:val="21"/>
                <w:szCs w:val="21"/>
              </w:rPr>
            </w:pPr>
          </w:p>
        </w:tc>
        <w:tc>
          <w:tcPr>
            <w:tcW w:w="768" w:type="dxa"/>
            <w:vAlign w:val="center"/>
          </w:tcPr>
          <w:p w14:paraId="18E488F6">
            <w:pPr>
              <w:pStyle w:val="57"/>
              <w:rPr>
                <w:rFonts w:hint="eastAsia" w:ascii="宋体" w:hAnsi="宋体" w:eastAsia="宋体" w:cs="宋体"/>
                <w:sz w:val="21"/>
                <w:szCs w:val="21"/>
              </w:rPr>
            </w:pPr>
          </w:p>
        </w:tc>
      </w:tr>
      <w:tr w14:paraId="11C4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72" w:type="dxa"/>
            <w:vMerge w:val="restart"/>
            <w:vAlign w:val="center"/>
          </w:tcPr>
          <w:p w14:paraId="62E08455">
            <w:pPr>
              <w:pStyle w:val="57"/>
              <w:rPr>
                <w:rFonts w:hint="eastAsia" w:ascii="宋体" w:hAnsi="宋体" w:eastAsia="宋体" w:cs="宋体"/>
                <w:sz w:val="21"/>
                <w:szCs w:val="21"/>
              </w:rPr>
            </w:pPr>
          </w:p>
        </w:tc>
        <w:tc>
          <w:tcPr>
            <w:tcW w:w="1095" w:type="dxa"/>
            <w:vMerge w:val="restart"/>
            <w:vAlign w:val="center"/>
          </w:tcPr>
          <w:p w14:paraId="7AA6D299">
            <w:pPr>
              <w:pStyle w:val="57"/>
              <w:rPr>
                <w:rFonts w:hint="eastAsia" w:ascii="宋体" w:hAnsi="宋体" w:eastAsia="宋体" w:cs="宋体"/>
                <w:sz w:val="21"/>
                <w:szCs w:val="21"/>
              </w:rPr>
            </w:pPr>
          </w:p>
        </w:tc>
        <w:tc>
          <w:tcPr>
            <w:tcW w:w="2364" w:type="dxa"/>
            <w:vAlign w:val="center"/>
          </w:tcPr>
          <w:p w14:paraId="5F202B00">
            <w:pPr>
              <w:pStyle w:val="57"/>
              <w:rPr>
                <w:rFonts w:hint="eastAsia" w:ascii="宋体" w:hAnsi="宋体" w:eastAsia="宋体" w:cs="宋体"/>
                <w:sz w:val="21"/>
                <w:szCs w:val="21"/>
              </w:rPr>
            </w:pPr>
          </w:p>
        </w:tc>
        <w:tc>
          <w:tcPr>
            <w:tcW w:w="2124" w:type="dxa"/>
            <w:vAlign w:val="center"/>
          </w:tcPr>
          <w:p w14:paraId="6500B9A4">
            <w:pPr>
              <w:pStyle w:val="57"/>
              <w:rPr>
                <w:rFonts w:hint="eastAsia" w:ascii="宋体" w:hAnsi="宋体" w:eastAsia="宋体" w:cs="宋体"/>
                <w:sz w:val="21"/>
                <w:szCs w:val="21"/>
              </w:rPr>
            </w:pPr>
          </w:p>
        </w:tc>
        <w:tc>
          <w:tcPr>
            <w:tcW w:w="984" w:type="dxa"/>
            <w:vAlign w:val="center"/>
          </w:tcPr>
          <w:p w14:paraId="29958627">
            <w:pPr>
              <w:pStyle w:val="57"/>
              <w:rPr>
                <w:rFonts w:hint="eastAsia" w:ascii="宋体" w:hAnsi="宋体" w:eastAsia="宋体" w:cs="宋体"/>
                <w:sz w:val="21"/>
                <w:szCs w:val="21"/>
              </w:rPr>
            </w:pPr>
          </w:p>
        </w:tc>
        <w:tc>
          <w:tcPr>
            <w:tcW w:w="768" w:type="dxa"/>
            <w:vAlign w:val="center"/>
          </w:tcPr>
          <w:p w14:paraId="7DB14DD3">
            <w:pPr>
              <w:pStyle w:val="57"/>
              <w:rPr>
                <w:rFonts w:hint="eastAsia" w:ascii="宋体" w:hAnsi="宋体" w:eastAsia="宋体" w:cs="宋体"/>
                <w:sz w:val="21"/>
                <w:szCs w:val="21"/>
              </w:rPr>
            </w:pPr>
          </w:p>
        </w:tc>
      </w:tr>
      <w:tr w14:paraId="10E3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72" w:type="dxa"/>
            <w:vMerge w:val="continue"/>
            <w:vAlign w:val="center"/>
          </w:tcPr>
          <w:p w14:paraId="127E7E54">
            <w:pPr>
              <w:pStyle w:val="57"/>
              <w:rPr>
                <w:rFonts w:hint="eastAsia" w:ascii="宋体" w:hAnsi="宋体" w:eastAsia="宋体" w:cs="宋体"/>
                <w:sz w:val="21"/>
                <w:szCs w:val="21"/>
              </w:rPr>
            </w:pPr>
          </w:p>
        </w:tc>
        <w:tc>
          <w:tcPr>
            <w:tcW w:w="1095" w:type="dxa"/>
            <w:vMerge w:val="continue"/>
            <w:vAlign w:val="center"/>
          </w:tcPr>
          <w:p w14:paraId="581D26E6">
            <w:pPr>
              <w:pStyle w:val="57"/>
              <w:rPr>
                <w:rFonts w:hint="eastAsia" w:ascii="宋体" w:hAnsi="宋体" w:eastAsia="宋体" w:cs="宋体"/>
                <w:sz w:val="21"/>
                <w:szCs w:val="21"/>
              </w:rPr>
            </w:pPr>
          </w:p>
        </w:tc>
        <w:tc>
          <w:tcPr>
            <w:tcW w:w="2364" w:type="dxa"/>
            <w:vAlign w:val="center"/>
          </w:tcPr>
          <w:p w14:paraId="0D491E1E">
            <w:pPr>
              <w:pStyle w:val="57"/>
              <w:rPr>
                <w:rFonts w:hint="eastAsia" w:ascii="宋体" w:hAnsi="宋体" w:eastAsia="宋体" w:cs="宋体"/>
                <w:sz w:val="21"/>
                <w:szCs w:val="21"/>
              </w:rPr>
            </w:pPr>
          </w:p>
        </w:tc>
        <w:tc>
          <w:tcPr>
            <w:tcW w:w="2124" w:type="dxa"/>
            <w:vAlign w:val="center"/>
          </w:tcPr>
          <w:p w14:paraId="1D8AE45A">
            <w:pPr>
              <w:pStyle w:val="57"/>
              <w:rPr>
                <w:rFonts w:hint="eastAsia" w:ascii="宋体" w:hAnsi="宋体" w:eastAsia="宋体" w:cs="宋体"/>
                <w:sz w:val="21"/>
                <w:szCs w:val="21"/>
              </w:rPr>
            </w:pPr>
          </w:p>
        </w:tc>
        <w:tc>
          <w:tcPr>
            <w:tcW w:w="984" w:type="dxa"/>
            <w:vAlign w:val="center"/>
          </w:tcPr>
          <w:p w14:paraId="13D9DB78">
            <w:pPr>
              <w:pStyle w:val="57"/>
              <w:rPr>
                <w:rFonts w:hint="eastAsia" w:ascii="宋体" w:hAnsi="宋体" w:eastAsia="宋体" w:cs="宋体"/>
                <w:sz w:val="21"/>
                <w:szCs w:val="21"/>
              </w:rPr>
            </w:pPr>
          </w:p>
        </w:tc>
        <w:tc>
          <w:tcPr>
            <w:tcW w:w="768" w:type="dxa"/>
            <w:vAlign w:val="center"/>
          </w:tcPr>
          <w:p w14:paraId="174A735A">
            <w:pPr>
              <w:pStyle w:val="57"/>
              <w:rPr>
                <w:rFonts w:hint="eastAsia" w:ascii="宋体" w:hAnsi="宋体" w:eastAsia="宋体" w:cs="宋体"/>
                <w:sz w:val="21"/>
                <w:szCs w:val="21"/>
              </w:rPr>
            </w:pPr>
          </w:p>
        </w:tc>
      </w:tr>
      <w:tr w14:paraId="30C0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772" w:type="dxa"/>
            <w:vMerge w:val="restart"/>
            <w:vAlign w:val="center"/>
          </w:tcPr>
          <w:p w14:paraId="5F71C3E3">
            <w:pPr>
              <w:pStyle w:val="57"/>
              <w:rPr>
                <w:rFonts w:hint="eastAsia" w:ascii="宋体" w:hAnsi="宋体" w:eastAsia="宋体" w:cs="宋体"/>
                <w:sz w:val="21"/>
                <w:szCs w:val="21"/>
              </w:rPr>
            </w:pPr>
          </w:p>
        </w:tc>
        <w:tc>
          <w:tcPr>
            <w:tcW w:w="1095" w:type="dxa"/>
            <w:vMerge w:val="restart"/>
            <w:vAlign w:val="center"/>
          </w:tcPr>
          <w:p w14:paraId="395C21A0">
            <w:pPr>
              <w:pStyle w:val="57"/>
              <w:rPr>
                <w:rFonts w:hint="eastAsia" w:ascii="宋体" w:hAnsi="宋体" w:eastAsia="宋体" w:cs="宋体"/>
                <w:sz w:val="21"/>
                <w:szCs w:val="21"/>
              </w:rPr>
            </w:pPr>
          </w:p>
        </w:tc>
        <w:tc>
          <w:tcPr>
            <w:tcW w:w="2364" w:type="dxa"/>
            <w:vAlign w:val="center"/>
          </w:tcPr>
          <w:p w14:paraId="0AD44092">
            <w:pPr>
              <w:pStyle w:val="57"/>
              <w:rPr>
                <w:rFonts w:hint="eastAsia" w:ascii="宋体" w:hAnsi="宋体" w:eastAsia="宋体" w:cs="宋体"/>
                <w:sz w:val="21"/>
                <w:szCs w:val="21"/>
              </w:rPr>
            </w:pPr>
          </w:p>
        </w:tc>
        <w:tc>
          <w:tcPr>
            <w:tcW w:w="2124" w:type="dxa"/>
            <w:vAlign w:val="center"/>
          </w:tcPr>
          <w:p w14:paraId="736A701D">
            <w:pPr>
              <w:pStyle w:val="57"/>
              <w:rPr>
                <w:rFonts w:hint="eastAsia" w:ascii="宋体" w:hAnsi="宋体" w:eastAsia="宋体" w:cs="宋体"/>
                <w:sz w:val="21"/>
                <w:szCs w:val="21"/>
              </w:rPr>
            </w:pPr>
          </w:p>
        </w:tc>
        <w:tc>
          <w:tcPr>
            <w:tcW w:w="984" w:type="dxa"/>
            <w:vAlign w:val="center"/>
          </w:tcPr>
          <w:p w14:paraId="0C1EE189">
            <w:pPr>
              <w:pStyle w:val="57"/>
              <w:rPr>
                <w:rFonts w:hint="eastAsia" w:ascii="宋体" w:hAnsi="宋体" w:eastAsia="宋体" w:cs="宋体"/>
                <w:sz w:val="21"/>
                <w:szCs w:val="21"/>
              </w:rPr>
            </w:pPr>
          </w:p>
        </w:tc>
        <w:tc>
          <w:tcPr>
            <w:tcW w:w="768" w:type="dxa"/>
            <w:vAlign w:val="center"/>
          </w:tcPr>
          <w:p w14:paraId="4148CED5">
            <w:pPr>
              <w:pStyle w:val="57"/>
              <w:rPr>
                <w:rFonts w:hint="eastAsia" w:ascii="宋体" w:hAnsi="宋体" w:eastAsia="宋体" w:cs="宋体"/>
                <w:sz w:val="21"/>
                <w:szCs w:val="21"/>
              </w:rPr>
            </w:pPr>
          </w:p>
        </w:tc>
      </w:tr>
      <w:tr w14:paraId="7459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772" w:type="dxa"/>
            <w:vMerge w:val="continue"/>
            <w:vAlign w:val="center"/>
          </w:tcPr>
          <w:p w14:paraId="7E85829D">
            <w:pPr>
              <w:pStyle w:val="57"/>
              <w:rPr>
                <w:rFonts w:hint="eastAsia" w:ascii="宋体" w:hAnsi="宋体" w:eastAsia="宋体" w:cs="宋体"/>
                <w:sz w:val="21"/>
                <w:szCs w:val="21"/>
              </w:rPr>
            </w:pPr>
          </w:p>
        </w:tc>
        <w:tc>
          <w:tcPr>
            <w:tcW w:w="1095" w:type="dxa"/>
            <w:vMerge w:val="continue"/>
            <w:vAlign w:val="center"/>
          </w:tcPr>
          <w:p w14:paraId="342DADC5">
            <w:pPr>
              <w:pStyle w:val="57"/>
              <w:rPr>
                <w:rFonts w:hint="eastAsia" w:ascii="宋体" w:hAnsi="宋体" w:eastAsia="宋体" w:cs="宋体"/>
                <w:sz w:val="21"/>
                <w:szCs w:val="21"/>
              </w:rPr>
            </w:pPr>
          </w:p>
        </w:tc>
        <w:tc>
          <w:tcPr>
            <w:tcW w:w="2364" w:type="dxa"/>
            <w:vAlign w:val="center"/>
          </w:tcPr>
          <w:p w14:paraId="5D4EB81B">
            <w:pPr>
              <w:pStyle w:val="57"/>
              <w:rPr>
                <w:rFonts w:hint="eastAsia" w:ascii="宋体" w:hAnsi="宋体" w:eastAsia="宋体" w:cs="宋体"/>
                <w:sz w:val="21"/>
                <w:szCs w:val="21"/>
              </w:rPr>
            </w:pPr>
          </w:p>
        </w:tc>
        <w:tc>
          <w:tcPr>
            <w:tcW w:w="2124" w:type="dxa"/>
            <w:vAlign w:val="center"/>
          </w:tcPr>
          <w:p w14:paraId="6BBED79C">
            <w:pPr>
              <w:pStyle w:val="57"/>
              <w:rPr>
                <w:rFonts w:hint="eastAsia" w:ascii="宋体" w:hAnsi="宋体" w:eastAsia="宋体" w:cs="宋体"/>
                <w:sz w:val="21"/>
                <w:szCs w:val="21"/>
              </w:rPr>
            </w:pPr>
          </w:p>
        </w:tc>
        <w:tc>
          <w:tcPr>
            <w:tcW w:w="984" w:type="dxa"/>
            <w:vAlign w:val="center"/>
          </w:tcPr>
          <w:p w14:paraId="053DF818">
            <w:pPr>
              <w:pStyle w:val="57"/>
              <w:rPr>
                <w:rFonts w:hint="eastAsia" w:ascii="宋体" w:hAnsi="宋体" w:eastAsia="宋体" w:cs="宋体"/>
                <w:sz w:val="21"/>
                <w:szCs w:val="21"/>
              </w:rPr>
            </w:pPr>
          </w:p>
        </w:tc>
        <w:tc>
          <w:tcPr>
            <w:tcW w:w="768" w:type="dxa"/>
            <w:vAlign w:val="center"/>
          </w:tcPr>
          <w:p w14:paraId="41878CF0">
            <w:pPr>
              <w:pStyle w:val="57"/>
              <w:rPr>
                <w:rFonts w:hint="eastAsia" w:ascii="宋体" w:hAnsi="宋体" w:eastAsia="宋体" w:cs="宋体"/>
                <w:sz w:val="21"/>
                <w:szCs w:val="21"/>
              </w:rPr>
            </w:pPr>
          </w:p>
        </w:tc>
      </w:tr>
      <w:tr w14:paraId="0BFD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trPr>
        <w:tc>
          <w:tcPr>
            <w:tcW w:w="772" w:type="dxa"/>
            <w:vMerge w:val="continue"/>
            <w:vAlign w:val="center"/>
          </w:tcPr>
          <w:p w14:paraId="4F80A760">
            <w:pPr>
              <w:pStyle w:val="57"/>
              <w:rPr>
                <w:rFonts w:hint="eastAsia" w:ascii="宋体" w:hAnsi="宋体" w:eastAsia="宋体" w:cs="宋体"/>
                <w:sz w:val="21"/>
                <w:szCs w:val="21"/>
              </w:rPr>
            </w:pPr>
          </w:p>
        </w:tc>
        <w:tc>
          <w:tcPr>
            <w:tcW w:w="1095" w:type="dxa"/>
            <w:vMerge w:val="continue"/>
            <w:vAlign w:val="center"/>
          </w:tcPr>
          <w:p w14:paraId="4521BDD0">
            <w:pPr>
              <w:pStyle w:val="57"/>
              <w:rPr>
                <w:rFonts w:hint="eastAsia" w:ascii="宋体" w:hAnsi="宋体" w:eastAsia="宋体" w:cs="宋体"/>
                <w:sz w:val="21"/>
                <w:szCs w:val="21"/>
              </w:rPr>
            </w:pPr>
          </w:p>
        </w:tc>
        <w:tc>
          <w:tcPr>
            <w:tcW w:w="2364" w:type="dxa"/>
            <w:vAlign w:val="center"/>
          </w:tcPr>
          <w:p w14:paraId="3D88DE9F">
            <w:pPr>
              <w:pStyle w:val="57"/>
              <w:rPr>
                <w:rFonts w:hint="eastAsia" w:ascii="宋体" w:hAnsi="宋体" w:eastAsia="宋体" w:cs="宋体"/>
                <w:sz w:val="21"/>
                <w:szCs w:val="21"/>
              </w:rPr>
            </w:pPr>
          </w:p>
        </w:tc>
        <w:tc>
          <w:tcPr>
            <w:tcW w:w="2124" w:type="dxa"/>
            <w:vAlign w:val="center"/>
          </w:tcPr>
          <w:p w14:paraId="3FCC4BCE">
            <w:pPr>
              <w:pStyle w:val="57"/>
              <w:rPr>
                <w:rFonts w:hint="eastAsia" w:ascii="宋体" w:hAnsi="宋体" w:eastAsia="宋体" w:cs="宋体"/>
                <w:sz w:val="21"/>
                <w:szCs w:val="21"/>
              </w:rPr>
            </w:pPr>
          </w:p>
        </w:tc>
        <w:tc>
          <w:tcPr>
            <w:tcW w:w="984" w:type="dxa"/>
            <w:vAlign w:val="center"/>
          </w:tcPr>
          <w:p w14:paraId="795F40CB">
            <w:pPr>
              <w:pStyle w:val="57"/>
              <w:rPr>
                <w:rFonts w:hint="eastAsia" w:ascii="宋体" w:hAnsi="宋体" w:eastAsia="宋体" w:cs="宋体"/>
                <w:sz w:val="21"/>
                <w:szCs w:val="21"/>
              </w:rPr>
            </w:pPr>
          </w:p>
        </w:tc>
        <w:tc>
          <w:tcPr>
            <w:tcW w:w="768" w:type="dxa"/>
            <w:vAlign w:val="center"/>
          </w:tcPr>
          <w:p w14:paraId="2256C86F">
            <w:pPr>
              <w:pStyle w:val="57"/>
              <w:rPr>
                <w:rFonts w:hint="eastAsia" w:ascii="宋体" w:hAnsi="宋体" w:eastAsia="宋体" w:cs="宋体"/>
                <w:sz w:val="21"/>
                <w:szCs w:val="21"/>
              </w:rPr>
            </w:pPr>
          </w:p>
        </w:tc>
      </w:tr>
      <w:tr w14:paraId="2227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dxa"/>
            <w:vMerge w:val="restart"/>
            <w:vAlign w:val="center"/>
          </w:tcPr>
          <w:p w14:paraId="1DC122B8">
            <w:pPr>
              <w:pStyle w:val="57"/>
              <w:rPr>
                <w:rFonts w:hint="eastAsia" w:ascii="宋体" w:hAnsi="宋体" w:eastAsia="宋体" w:cs="宋体"/>
                <w:sz w:val="21"/>
                <w:szCs w:val="21"/>
              </w:rPr>
            </w:pPr>
          </w:p>
        </w:tc>
        <w:tc>
          <w:tcPr>
            <w:tcW w:w="1095" w:type="dxa"/>
            <w:vMerge w:val="restart"/>
            <w:vAlign w:val="center"/>
          </w:tcPr>
          <w:p w14:paraId="13C1410A">
            <w:pPr>
              <w:pStyle w:val="57"/>
              <w:rPr>
                <w:rFonts w:hint="eastAsia" w:ascii="宋体" w:hAnsi="宋体" w:eastAsia="宋体" w:cs="宋体"/>
                <w:sz w:val="21"/>
                <w:szCs w:val="21"/>
              </w:rPr>
            </w:pPr>
          </w:p>
        </w:tc>
        <w:tc>
          <w:tcPr>
            <w:tcW w:w="2364" w:type="dxa"/>
            <w:vAlign w:val="center"/>
          </w:tcPr>
          <w:p w14:paraId="032B8998">
            <w:pPr>
              <w:pStyle w:val="57"/>
              <w:rPr>
                <w:rFonts w:hint="eastAsia" w:ascii="宋体" w:hAnsi="宋体" w:eastAsia="宋体" w:cs="宋体"/>
                <w:sz w:val="21"/>
                <w:szCs w:val="21"/>
              </w:rPr>
            </w:pPr>
          </w:p>
        </w:tc>
        <w:tc>
          <w:tcPr>
            <w:tcW w:w="2124" w:type="dxa"/>
            <w:vAlign w:val="center"/>
          </w:tcPr>
          <w:p w14:paraId="4E9A01B8">
            <w:pPr>
              <w:pStyle w:val="57"/>
              <w:rPr>
                <w:rFonts w:hint="eastAsia" w:ascii="宋体" w:hAnsi="宋体" w:eastAsia="宋体" w:cs="宋体"/>
                <w:sz w:val="21"/>
                <w:szCs w:val="21"/>
              </w:rPr>
            </w:pPr>
          </w:p>
        </w:tc>
        <w:tc>
          <w:tcPr>
            <w:tcW w:w="984" w:type="dxa"/>
            <w:vAlign w:val="center"/>
          </w:tcPr>
          <w:p w14:paraId="1FE04B71">
            <w:pPr>
              <w:pStyle w:val="57"/>
              <w:rPr>
                <w:rFonts w:hint="eastAsia" w:ascii="宋体" w:hAnsi="宋体" w:eastAsia="宋体" w:cs="宋体"/>
                <w:sz w:val="21"/>
                <w:szCs w:val="21"/>
              </w:rPr>
            </w:pPr>
          </w:p>
        </w:tc>
        <w:tc>
          <w:tcPr>
            <w:tcW w:w="768" w:type="dxa"/>
            <w:vAlign w:val="center"/>
          </w:tcPr>
          <w:p w14:paraId="2A400EF3">
            <w:pPr>
              <w:pStyle w:val="57"/>
              <w:rPr>
                <w:rFonts w:hint="eastAsia" w:ascii="宋体" w:hAnsi="宋体" w:eastAsia="宋体" w:cs="宋体"/>
                <w:sz w:val="21"/>
                <w:szCs w:val="21"/>
              </w:rPr>
            </w:pPr>
          </w:p>
        </w:tc>
      </w:tr>
      <w:tr w14:paraId="64DD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772" w:type="dxa"/>
            <w:vMerge w:val="continue"/>
            <w:vAlign w:val="center"/>
          </w:tcPr>
          <w:p w14:paraId="7010B6BD">
            <w:pPr>
              <w:pStyle w:val="57"/>
              <w:rPr>
                <w:rFonts w:hint="eastAsia" w:ascii="宋体" w:hAnsi="宋体" w:eastAsia="宋体" w:cs="宋体"/>
                <w:sz w:val="21"/>
                <w:szCs w:val="21"/>
              </w:rPr>
            </w:pPr>
          </w:p>
        </w:tc>
        <w:tc>
          <w:tcPr>
            <w:tcW w:w="1095" w:type="dxa"/>
            <w:vMerge w:val="continue"/>
            <w:vAlign w:val="center"/>
          </w:tcPr>
          <w:p w14:paraId="733D2877">
            <w:pPr>
              <w:pStyle w:val="57"/>
              <w:rPr>
                <w:rFonts w:hint="eastAsia" w:ascii="宋体" w:hAnsi="宋体" w:eastAsia="宋体" w:cs="宋体"/>
                <w:sz w:val="21"/>
                <w:szCs w:val="21"/>
              </w:rPr>
            </w:pPr>
          </w:p>
        </w:tc>
        <w:tc>
          <w:tcPr>
            <w:tcW w:w="2364" w:type="dxa"/>
            <w:vAlign w:val="center"/>
          </w:tcPr>
          <w:p w14:paraId="31FE8E45">
            <w:pPr>
              <w:pStyle w:val="57"/>
              <w:rPr>
                <w:rFonts w:hint="eastAsia" w:ascii="宋体" w:hAnsi="宋体" w:eastAsia="宋体" w:cs="宋体"/>
                <w:sz w:val="21"/>
                <w:szCs w:val="21"/>
              </w:rPr>
            </w:pPr>
          </w:p>
        </w:tc>
        <w:tc>
          <w:tcPr>
            <w:tcW w:w="2124" w:type="dxa"/>
            <w:vAlign w:val="center"/>
          </w:tcPr>
          <w:p w14:paraId="4E3AE572">
            <w:pPr>
              <w:pStyle w:val="57"/>
              <w:rPr>
                <w:rFonts w:hint="eastAsia" w:ascii="宋体" w:hAnsi="宋体" w:eastAsia="宋体" w:cs="宋体"/>
                <w:sz w:val="21"/>
                <w:szCs w:val="21"/>
              </w:rPr>
            </w:pPr>
          </w:p>
        </w:tc>
        <w:tc>
          <w:tcPr>
            <w:tcW w:w="984" w:type="dxa"/>
            <w:vAlign w:val="center"/>
          </w:tcPr>
          <w:p w14:paraId="4A92A0E7">
            <w:pPr>
              <w:pStyle w:val="57"/>
              <w:rPr>
                <w:rFonts w:hint="eastAsia" w:ascii="宋体" w:hAnsi="宋体" w:eastAsia="宋体" w:cs="宋体"/>
                <w:sz w:val="21"/>
                <w:szCs w:val="21"/>
              </w:rPr>
            </w:pPr>
          </w:p>
        </w:tc>
        <w:tc>
          <w:tcPr>
            <w:tcW w:w="768" w:type="dxa"/>
            <w:vAlign w:val="center"/>
          </w:tcPr>
          <w:p w14:paraId="60E4983F">
            <w:pPr>
              <w:pStyle w:val="57"/>
              <w:rPr>
                <w:rFonts w:hint="eastAsia" w:ascii="宋体" w:hAnsi="宋体" w:eastAsia="宋体" w:cs="宋体"/>
                <w:sz w:val="21"/>
                <w:szCs w:val="21"/>
              </w:rPr>
            </w:pPr>
          </w:p>
        </w:tc>
      </w:tr>
      <w:tr w14:paraId="5AA9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72" w:type="dxa"/>
            <w:vMerge w:val="continue"/>
            <w:vAlign w:val="center"/>
          </w:tcPr>
          <w:p w14:paraId="1A91821E">
            <w:pPr>
              <w:pStyle w:val="57"/>
              <w:rPr>
                <w:rFonts w:hint="eastAsia" w:ascii="宋体" w:hAnsi="宋体" w:eastAsia="宋体" w:cs="宋体"/>
                <w:sz w:val="21"/>
                <w:szCs w:val="21"/>
              </w:rPr>
            </w:pPr>
          </w:p>
        </w:tc>
        <w:tc>
          <w:tcPr>
            <w:tcW w:w="1095" w:type="dxa"/>
            <w:vMerge w:val="continue"/>
            <w:vAlign w:val="center"/>
          </w:tcPr>
          <w:p w14:paraId="0B636B1D">
            <w:pPr>
              <w:pStyle w:val="57"/>
              <w:rPr>
                <w:rFonts w:hint="eastAsia" w:ascii="宋体" w:hAnsi="宋体" w:eastAsia="宋体" w:cs="宋体"/>
                <w:sz w:val="21"/>
                <w:szCs w:val="21"/>
              </w:rPr>
            </w:pPr>
          </w:p>
        </w:tc>
        <w:tc>
          <w:tcPr>
            <w:tcW w:w="2364" w:type="dxa"/>
            <w:vAlign w:val="center"/>
          </w:tcPr>
          <w:p w14:paraId="59762A8C">
            <w:pPr>
              <w:pStyle w:val="57"/>
              <w:rPr>
                <w:rFonts w:hint="eastAsia" w:ascii="宋体" w:hAnsi="宋体" w:eastAsia="宋体" w:cs="宋体"/>
                <w:sz w:val="21"/>
                <w:szCs w:val="21"/>
              </w:rPr>
            </w:pPr>
          </w:p>
        </w:tc>
        <w:tc>
          <w:tcPr>
            <w:tcW w:w="2124" w:type="dxa"/>
            <w:vAlign w:val="center"/>
          </w:tcPr>
          <w:p w14:paraId="247726AC">
            <w:pPr>
              <w:pStyle w:val="57"/>
              <w:rPr>
                <w:rFonts w:hint="eastAsia" w:ascii="宋体" w:hAnsi="宋体" w:eastAsia="宋体" w:cs="宋体"/>
                <w:sz w:val="21"/>
                <w:szCs w:val="21"/>
              </w:rPr>
            </w:pPr>
          </w:p>
        </w:tc>
        <w:tc>
          <w:tcPr>
            <w:tcW w:w="984" w:type="dxa"/>
            <w:vAlign w:val="center"/>
          </w:tcPr>
          <w:p w14:paraId="58C8FCBE">
            <w:pPr>
              <w:pStyle w:val="57"/>
              <w:rPr>
                <w:rFonts w:hint="eastAsia" w:ascii="宋体" w:hAnsi="宋体" w:eastAsia="宋体" w:cs="宋体"/>
                <w:sz w:val="21"/>
                <w:szCs w:val="21"/>
              </w:rPr>
            </w:pPr>
          </w:p>
        </w:tc>
        <w:tc>
          <w:tcPr>
            <w:tcW w:w="768" w:type="dxa"/>
            <w:vAlign w:val="center"/>
          </w:tcPr>
          <w:p w14:paraId="5F8D59BF">
            <w:pPr>
              <w:pStyle w:val="57"/>
              <w:rPr>
                <w:rFonts w:hint="eastAsia" w:ascii="宋体" w:hAnsi="宋体" w:eastAsia="宋体" w:cs="宋体"/>
                <w:sz w:val="21"/>
                <w:szCs w:val="21"/>
              </w:rPr>
            </w:pPr>
          </w:p>
        </w:tc>
      </w:tr>
      <w:tr w14:paraId="3B72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72" w:type="dxa"/>
            <w:vMerge w:val="restart"/>
            <w:vAlign w:val="center"/>
          </w:tcPr>
          <w:p w14:paraId="381CD17E">
            <w:pPr>
              <w:pStyle w:val="57"/>
              <w:rPr>
                <w:rFonts w:hint="eastAsia" w:ascii="宋体" w:hAnsi="宋体" w:eastAsia="宋体" w:cs="宋体"/>
                <w:sz w:val="21"/>
                <w:szCs w:val="21"/>
                <w:lang w:eastAsia="zh-CN"/>
              </w:rPr>
            </w:pPr>
          </w:p>
        </w:tc>
        <w:tc>
          <w:tcPr>
            <w:tcW w:w="1095" w:type="dxa"/>
            <w:vMerge w:val="restart"/>
            <w:vAlign w:val="center"/>
          </w:tcPr>
          <w:p w14:paraId="477AA34B">
            <w:pPr>
              <w:pStyle w:val="57"/>
              <w:rPr>
                <w:rFonts w:hint="eastAsia" w:ascii="宋体" w:hAnsi="宋体" w:eastAsia="宋体" w:cs="宋体"/>
                <w:sz w:val="21"/>
                <w:szCs w:val="21"/>
              </w:rPr>
            </w:pPr>
          </w:p>
        </w:tc>
        <w:tc>
          <w:tcPr>
            <w:tcW w:w="2364" w:type="dxa"/>
          </w:tcPr>
          <w:p w14:paraId="680B0F77">
            <w:pPr>
              <w:pStyle w:val="57"/>
              <w:rPr>
                <w:rFonts w:hint="eastAsia" w:ascii="宋体" w:hAnsi="宋体" w:eastAsia="宋体" w:cs="宋体"/>
                <w:sz w:val="21"/>
                <w:szCs w:val="21"/>
              </w:rPr>
            </w:pPr>
          </w:p>
        </w:tc>
        <w:tc>
          <w:tcPr>
            <w:tcW w:w="2124" w:type="dxa"/>
          </w:tcPr>
          <w:p w14:paraId="432390CA">
            <w:pPr>
              <w:pStyle w:val="57"/>
              <w:rPr>
                <w:rFonts w:hint="eastAsia" w:ascii="宋体" w:hAnsi="宋体" w:eastAsia="宋体" w:cs="宋体"/>
                <w:sz w:val="21"/>
                <w:szCs w:val="21"/>
                <w:lang w:val="en-US" w:eastAsia="zh-CN"/>
              </w:rPr>
            </w:pPr>
          </w:p>
        </w:tc>
        <w:tc>
          <w:tcPr>
            <w:tcW w:w="984" w:type="dxa"/>
          </w:tcPr>
          <w:p w14:paraId="12DBEE3C">
            <w:pPr>
              <w:pStyle w:val="57"/>
              <w:rPr>
                <w:rFonts w:hint="eastAsia" w:ascii="宋体" w:hAnsi="宋体" w:eastAsia="宋体" w:cs="宋体"/>
                <w:sz w:val="21"/>
                <w:szCs w:val="21"/>
                <w:lang w:val="en-US" w:eastAsia="zh-CN"/>
              </w:rPr>
            </w:pPr>
          </w:p>
        </w:tc>
        <w:tc>
          <w:tcPr>
            <w:tcW w:w="768" w:type="dxa"/>
          </w:tcPr>
          <w:p w14:paraId="409CDC2F">
            <w:pPr>
              <w:pStyle w:val="57"/>
              <w:rPr>
                <w:rFonts w:hint="eastAsia" w:ascii="宋体" w:hAnsi="宋体" w:eastAsia="宋体" w:cs="宋体"/>
                <w:sz w:val="21"/>
                <w:szCs w:val="21"/>
                <w:lang w:val="en-US" w:eastAsia="zh-CN"/>
              </w:rPr>
            </w:pPr>
          </w:p>
        </w:tc>
      </w:tr>
      <w:tr w14:paraId="487B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72" w:type="dxa"/>
            <w:vMerge w:val="continue"/>
            <w:vAlign w:val="center"/>
          </w:tcPr>
          <w:p w14:paraId="472DD63A">
            <w:pPr>
              <w:pStyle w:val="57"/>
              <w:rPr>
                <w:rFonts w:hint="eastAsia" w:ascii="宋体" w:hAnsi="宋体" w:eastAsia="宋体" w:cs="宋体"/>
                <w:sz w:val="21"/>
                <w:szCs w:val="21"/>
                <w:lang w:val="en-US" w:eastAsia="zh-CN"/>
              </w:rPr>
            </w:pPr>
          </w:p>
        </w:tc>
        <w:tc>
          <w:tcPr>
            <w:tcW w:w="1095" w:type="dxa"/>
            <w:vMerge w:val="continue"/>
            <w:vAlign w:val="center"/>
          </w:tcPr>
          <w:p w14:paraId="3083CE6D">
            <w:pPr>
              <w:pStyle w:val="57"/>
              <w:rPr>
                <w:rFonts w:hint="eastAsia" w:ascii="宋体" w:hAnsi="宋体" w:eastAsia="宋体" w:cs="宋体"/>
                <w:kern w:val="0"/>
                <w:sz w:val="21"/>
                <w:szCs w:val="21"/>
                <w:lang w:val="zh-CN"/>
              </w:rPr>
            </w:pPr>
          </w:p>
        </w:tc>
        <w:tc>
          <w:tcPr>
            <w:tcW w:w="2364" w:type="dxa"/>
          </w:tcPr>
          <w:p w14:paraId="534D68E5">
            <w:pPr>
              <w:pStyle w:val="57"/>
              <w:rPr>
                <w:rFonts w:hint="default" w:ascii="宋体" w:hAnsi="宋体" w:eastAsia="宋体" w:cs="宋体"/>
                <w:sz w:val="21"/>
                <w:szCs w:val="21"/>
                <w:lang w:val="en-US" w:eastAsia="zh-CN"/>
              </w:rPr>
            </w:pPr>
          </w:p>
        </w:tc>
        <w:tc>
          <w:tcPr>
            <w:tcW w:w="2124" w:type="dxa"/>
          </w:tcPr>
          <w:p w14:paraId="280C8D05">
            <w:pPr>
              <w:pStyle w:val="57"/>
              <w:rPr>
                <w:rFonts w:hint="eastAsia" w:ascii="宋体" w:hAnsi="宋体" w:eastAsia="宋体" w:cs="宋体"/>
                <w:sz w:val="21"/>
                <w:szCs w:val="21"/>
                <w:lang w:val="en-US" w:eastAsia="zh-CN"/>
              </w:rPr>
            </w:pPr>
          </w:p>
        </w:tc>
        <w:tc>
          <w:tcPr>
            <w:tcW w:w="984" w:type="dxa"/>
          </w:tcPr>
          <w:p w14:paraId="564D8898">
            <w:pPr>
              <w:pStyle w:val="57"/>
              <w:rPr>
                <w:rFonts w:hint="eastAsia" w:ascii="宋体" w:hAnsi="宋体" w:eastAsia="宋体" w:cs="宋体"/>
                <w:sz w:val="21"/>
                <w:szCs w:val="21"/>
                <w:lang w:val="en-US" w:eastAsia="zh-CN"/>
              </w:rPr>
            </w:pPr>
          </w:p>
        </w:tc>
        <w:tc>
          <w:tcPr>
            <w:tcW w:w="768" w:type="dxa"/>
          </w:tcPr>
          <w:p w14:paraId="1522CF63">
            <w:pPr>
              <w:pStyle w:val="57"/>
              <w:rPr>
                <w:rFonts w:hint="eastAsia" w:ascii="宋体" w:hAnsi="宋体" w:eastAsia="宋体" w:cs="宋体"/>
                <w:sz w:val="21"/>
                <w:szCs w:val="21"/>
                <w:lang w:val="en-US" w:eastAsia="zh-CN"/>
              </w:rPr>
            </w:pPr>
          </w:p>
        </w:tc>
      </w:tr>
    </w:tbl>
    <w:p w14:paraId="6857CD1A">
      <w:pPr>
        <w:ind w:firstLine="420" w:firstLineChars="200"/>
        <w:rPr>
          <w:bCs/>
          <w:szCs w:val="21"/>
        </w:rPr>
      </w:pPr>
      <w:r>
        <w:rPr>
          <w:rFonts w:hint="eastAsia"/>
          <w:bCs/>
          <w:szCs w:val="21"/>
        </w:rPr>
        <w:t>《商务要求偏离表》编制指引：</w:t>
      </w:r>
    </w:p>
    <w:p w14:paraId="4F7EB897">
      <w:pPr>
        <w:ind w:firstLine="420" w:firstLineChars="200"/>
        <w:rPr>
          <w:bCs/>
          <w:szCs w:val="21"/>
        </w:rPr>
      </w:pPr>
      <w:r>
        <w:rPr>
          <w:rFonts w:hint="eastAsia"/>
          <w:bCs/>
          <w:szCs w:val="21"/>
        </w:rPr>
        <w:t>1、商务要求偏离表的序号、商务需求项、招标商务要求等栏目对应“用户需求书”中的“商务要求”章节相关内容。</w:t>
      </w:r>
    </w:p>
    <w:p w14:paraId="15D85D2F">
      <w:pPr>
        <w:ind w:firstLine="420" w:firstLineChars="200"/>
        <w:rPr>
          <w:bCs/>
          <w:szCs w:val="21"/>
        </w:rPr>
      </w:pPr>
      <w:r>
        <w:rPr>
          <w:bCs/>
          <w:szCs w:val="21"/>
        </w:rPr>
        <w:t>2</w:t>
      </w:r>
      <w:r>
        <w:rPr>
          <w:rFonts w:hint="eastAsia"/>
          <w:bCs/>
          <w:szCs w:val="21"/>
        </w:rPr>
        <w:t>、“投标商务响应”一栏必须一一对照“招标商务要求”，详细填写自身响应情况，而不能不合理照搬照抄招标文件的商务要求，以体现具体响应情况。</w:t>
      </w:r>
    </w:p>
    <w:p w14:paraId="150EAE56">
      <w:pPr>
        <w:ind w:firstLine="420" w:firstLineChars="200"/>
        <w:rPr>
          <w:bCs/>
          <w:color w:val="FF0000"/>
          <w:szCs w:val="21"/>
        </w:rPr>
      </w:pPr>
      <w:r>
        <w:rPr>
          <w:bCs/>
          <w:szCs w:val="21"/>
        </w:rPr>
        <w:t>3</w:t>
      </w:r>
      <w:r>
        <w:rPr>
          <w:rFonts w:hint="eastAsia"/>
          <w:bCs/>
          <w:szCs w:val="21"/>
        </w:rPr>
        <w:t>、“偏离情况”一栏填写如实填写“正偏离”、“负偏离”或“无偏离”，其中：“正偏离”表示“投标响应优于招标商务要求”，“负偏离”表示“投标响应不满足招标商务要求”，“无偏离”表示“投标响应与招标商务要求一致”。</w:t>
      </w:r>
    </w:p>
    <w:p w14:paraId="4FC3B73B">
      <w:pPr>
        <w:rPr>
          <w:bCs/>
          <w:szCs w:val="21"/>
        </w:rPr>
      </w:pPr>
      <w:r>
        <w:rPr>
          <w:rFonts w:hint="eastAsia"/>
          <w:bCs/>
          <w:szCs w:val="21"/>
        </w:rPr>
        <w:t>“投标商务响应”对比“招标商务要求”存在响应不全（包括未响应整项招标商务要求或者未响应一项招标商务要求的部分内容），均视为“负偏离”。</w:t>
      </w:r>
    </w:p>
    <w:p w14:paraId="41A34330">
      <w:pPr>
        <w:ind w:firstLine="420" w:firstLineChars="200"/>
        <w:rPr>
          <w:bCs/>
          <w:szCs w:val="21"/>
        </w:rPr>
      </w:pPr>
      <w:r>
        <w:rPr>
          <w:rFonts w:hint="eastAsia"/>
          <w:bCs/>
          <w:szCs w:val="21"/>
        </w:rPr>
        <w:t>4、带★号条款为不可偏离条款，如未响应或出现负偏离的，将作投标无效处理。</w:t>
      </w:r>
    </w:p>
    <w:p w14:paraId="24EC8463">
      <w:pPr>
        <w:pStyle w:val="6"/>
        <w:jc w:val="both"/>
        <w:rPr>
          <w:rFonts w:hint="eastAsia" w:ascii="黑体"/>
          <w:sz w:val="24"/>
          <w:szCs w:val="24"/>
        </w:rPr>
      </w:pPr>
      <w:bookmarkStart w:id="82" w:name="_Hlk72260576"/>
      <w:r>
        <w:rPr>
          <w:rFonts w:hint="eastAsia" w:ascii="黑体"/>
          <w:sz w:val="24"/>
          <w:szCs w:val="24"/>
          <w:lang w:val="en-US" w:eastAsia="zh-CN"/>
        </w:rPr>
        <w:t>八</w:t>
      </w:r>
      <w:r>
        <w:rPr>
          <w:rFonts w:hint="eastAsia" w:ascii="黑体"/>
          <w:sz w:val="24"/>
          <w:szCs w:val="24"/>
        </w:rPr>
        <w:t>、施工安全保障措施（格式自定）</w:t>
      </w:r>
    </w:p>
    <w:p w14:paraId="3F87A2AF">
      <w:pPr>
        <w:spacing w:before="60" w:beforeLines="25" w:after="60" w:afterLines="25"/>
        <w:rPr>
          <w:rFonts w:asciiTheme="minorEastAsia" w:hAnsiTheme="minorEastAsia" w:eastAsiaTheme="minorEastAsia" w:cstheme="minorEastAsia"/>
          <w:color w:val="FF0000"/>
          <w:sz w:val="24"/>
          <w:szCs w:val="20"/>
        </w:rPr>
      </w:pPr>
      <w:r>
        <w:rPr>
          <w:rFonts w:hint="eastAsia" w:asciiTheme="minorEastAsia" w:hAnsiTheme="minorEastAsia" w:eastAsiaTheme="minorEastAsia" w:cstheme="minorEastAsia"/>
          <w:color w:val="FF0000"/>
          <w:sz w:val="24"/>
          <w:szCs w:val="20"/>
        </w:rPr>
        <w:t>（特别提示：投标人须按本招标文件评标信息中这一评审因素要求，提供证明资料）</w:t>
      </w:r>
    </w:p>
    <w:p w14:paraId="27E04619">
      <w:pPr>
        <w:pStyle w:val="6"/>
        <w:jc w:val="both"/>
        <w:rPr>
          <w:rFonts w:hint="eastAsia" w:ascii="黑体"/>
          <w:sz w:val="24"/>
          <w:szCs w:val="24"/>
        </w:rPr>
      </w:pPr>
      <w:r>
        <w:rPr>
          <w:rFonts w:hint="eastAsia" w:ascii="黑体"/>
          <w:sz w:val="24"/>
          <w:szCs w:val="24"/>
          <w:lang w:val="en-US" w:eastAsia="zh-CN"/>
        </w:rPr>
        <w:t>九</w:t>
      </w:r>
      <w:r>
        <w:rPr>
          <w:rFonts w:hint="eastAsia" w:ascii="黑体"/>
          <w:sz w:val="24"/>
          <w:szCs w:val="24"/>
        </w:rPr>
        <w:t>、产品质量保证（格式自定）</w:t>
      </w:r>
    </w:p>
    <w:p w14:paraId="19B864FC">
      <w:pPr>
        <w:spacing w:before="60" w:beforeLines="25" w:after="60" w:afterLines="25"/>
        <w:rPr>
          <w:rFonts w:asciiTheme="minorEastAsia" w:hAnsiTheme="minorEastAsia" w:eastAsiaTheme="minorEastAsia" w:cstheme="minorEastAsia"/>
          <w:color w:val="FF0000"/>
          <w:sz w:val="24"/>
          <w:szCs w:val="20"/>
        </w:rPr>
      </w:pPr>
      <w:r>
        <w:rPr>
          <w:rFonts w:hint="eastAsia" w:asciiTheme="minorEastAsia" w:hAnsiTheme="minorEastAsia" w:eastAsiaTheme="minorEastAsia" w:cstheme="minorEastAsia"/>
          <w:color w:val="FF0000"/>
          <w:sz w:val="24"/>
          <w:szCs w:val="20"/>
        </w:rPr>
        <w:t>（特别提示：投标人须按本招标文件评标信息中这一评审因素要求，提供证明资料）</w:t>
      </w:r>
    </w:p>
    <w:p w14:paraId="0F7D7723">
      <w:pPr>
        <w:pStyle w:val="6"/>
        <w:jc w:val="both"/>
        <w:rPr>
          <w:rFonts w:hint="eastAsia" w:ascii="黑体"/>
          <w:sz w:val="24"/>
          <w:szCs w:val="24"/>
        </w:rPr>
      </w:pPr>
      <w:r>
        <w:rPr>
          <w:rFonts w:hint="eastAsia" w:ascii="黑体"/>
          <w:sz w:val="24"/>
          <w:szCs w:val="24"/>
          <w:lang w:val="en-US" w:eastAsia="zh-CN"/>
        </w:rPr>
        <w:t>十</w:t>
      </w:r>
      <w:r>
        <w:rPr>
          <w:rFonts w:hint="eastAsia" w:ascii="黑体"/>
          <w:sz w:val="24"/>
          <w:szCs w:val="24"/>
        </w:rPr>
        <w:t>、售后服务方案（格式自定）</w:t>
      </w:r>
    </w:p>
    <w:p w14:paraId="7C0B9CE2">
      <w:pPr>
        <w:spacing w:before="60" w:beforeLines="25" w:after="60" w:afterLines="25"/>
        <w:rPr>
          <w:rFonts w:asciiTheme="minorEastAsia" w:hAnsiTheme="minorEastAsia" w:eastAsiaTheme="minorEastAsia" w:cstheme="minorEastAsia"/>
          <w:color w:val="FF0000"/>
          <w:sz w:val="24"/>
          <w:szCs w:val="20"/>
        </w:rPr>
      </w:pPr>
      <w:r>
        <w:rPr>
          <w:rFonts w:hint="eastAsia" w:asciiTheme="minorEastAsia" w:hAnsiTheme="minorEastAsia" w:eastAsiaTheme="minorEastAsia" w:cstheme="minorEastAsia"/>
          <w:color w:val="FF0000"/>
          <w:sz w:val="24"/>
          <w:szCs w:val="20"/>
        </w:rPr>
        <w:t>（特别提示：投标人须按本招标文件评标信息中这一评审因素要求，提供证明资料）</w:t>
      </w:r>
    </w:p>
    <w:p w14:paraId="2FC57278">
      <w:pPr>
        <w:pStyle w:val="6"/>
        <w:jc w:val="both"/>
        <w:rPr>
          <w:rFonts w:hint="eastAsia" w:ascii="黑体"/>
          <w:sz w:val="24"/>
          <w:szCs w:val="24"/>
        </w:rPr>
      </w:pPr>
      <w:r>
        <w:rPr>
          <w:rFonts w:hint="eastAsia" w:ascii="黑体"/>
          <w:sz w:val="24"/>
          <w:szCs w:val="24"/>
          <w:lang w:val="en-US" w:eastAsia="zh-CN"/>
        </w:rPr>
        <w:t>十一</w:t>
      </w:r>
      <w:r>
        <w:rPr>
          <w:rFonts w:hint="eastAsia" w:ascii="黑体"/>
          <w:sz w:val="24"/>
          <w:szCs w:val="24"/>
        </w:rPr>
        <w:t>、供应商同类业绩（格式自定）</w:t>
      </w:r>
    </w:p>
    <w:p w14:paraId="4E394E63">
      <w:pPr>
        <w:spacing w:before="60" w:beforeLines="25" w:after="60" w:afterLines="25"/>
        <w:rPr>
          <w:rFonts w:asciiTheme="minorEastAsia" w:hAnsiTheme="minorEastAsia" w:eastAsiaTheme="minorEastAsia" w:cstheme="minorEastAsia"/>
          <w:color w:val="FF0000"/>
          <w:sz w:val="24"/>
          <w:szCs w:val="20"/>
        </w:rPr>
      </w:pPr>
      <w:r>
        <w:rPr>
          <w:rFonts w:hint="eastAsia" w:asciiTheme="minorEastAsia" w:hAnsiTheme="minorEastAsia" w:eastAsiaTheme="minorEastAsia" w:cstheme="minorEastAsia"/>
          <w:color w:val="FF0000"/>
          <w:sz w:val="24"/>
          <w:szCs w:val="20"/>
        </w:rPr>
        <w:t>（特别提示：投标人须按本招标文件评标信息中这一评审因素要求，提供证明资料）</w:t>
      </w:r>
    </w:p>
    <w:p w14:paraId="253652B6">
      <w:pPr>
        <w:rPr>
          <w:rFonts w:hint="eastAsia" w:ascii="黑体" w:hAnsi="宋体" w:eastAsia="黑体"/>
          <w:bCs/>
          <w:kern w:val="0"/>
          <w:sz w:val="24"/>
          <w:szCs w:val="32"/>
        </w:rPr>
      </w:pPr>
    </w:p>
    <w:p w14:paraId="61CE3B11">
      <w:pPr>
        <w:rPr>
          <w:rFonts w:hint="eastAsia" w:ascii="黑体" w:hAnsi="宋体" w:eastAsia="黑体"/>
          <w:bCs/>
          <w:kern w:val="0"/>
          <w:sz w:val="24"/>
          <w:szCs w:val="32"/>
        </w:rPr>
      </w:pPr>
    </w:p>
    <w:p w14:paraId="0AE0BD59">
      <w:pPr>
        <w:rPr>
          <w:rFonts w:hint="eastAsia" w:ascii="黑体" w:hAnsi="宋体" w:eastAsia="黑体"/>
          <w:bCs/>
          <w:kern w:val="0"/>
          <w:sz w:val="24"/>
          <w:szCs w:val="32"/>
        </w:rPr>
      </w:pPr>
    </w:p>
    <w:p w14:paraId="273F0105">
      <w:pPr>
        <w:rPr>
          <w:rFonts w:hint="eastAsia" w:ascii="黑体" w:hAnsi="宋体" w:eastAsia="黑体"/>
          <w:bCs/>
          <w:kern w:val="0"/>
          <w:sz w:val="24"/>
          <w:szCs w:val="32"/>
        </w:rPr>
      </w:pPr>
    </w:p>
    <w:p w14:paraId="6536B90A">
      <w:pPr>
        <w:rPr>
          <w:rFonts w:hint="eastAsia" w:ascii="黑体" w:hAnsi="宋体" w:eastAsia="黑体"/>
          <w:bCs/>
          <w:kern w:val="0"/>
          <w:sz w:val="24"/>
          <w:szCs w:val="32"/>
        </w:rPr>
      </w:pPr>
    </w:p>
    <w:p w14:paraId="20D0F591">
      <w:pPr>
        <w:rPr>
          <w:rFonts w:hint="eastAsia" w:ascii="黑体" w:hAnsi="宋体" w:eastAsia="黑体"/>
          <w:bCs/>
          <w:kern w:val="0"/>
          <w:sz w:val="24"/>
          <w:szCs w:val="32"/>
        </w:rPr>
      </w:pPr>
      <w:r>
        <w:rPr>
          <w:rFonts w:hint="eastAsia" w:ascii="黑体" w:hAnsi="宋体" w:eastAsia="黑体"/>
          <w:bCs/>
          <w:kern w:val="0"/>
          <w:sz w:val="24"/>
          <w:szCs w:val="32"/>
        </w:rPr>
        <w:br w:type="page"/>
      </w:r>
    </w:p>
    <w:p w14:paraId="716B54FC">
      <w:pPr>
        <w:rPr>
          <w:rFonts w:ascii="黑体" w:eastAsia="黑体"/>
          <w:sz w:val="24"/>
          <w:szCs w:val="20"/>
        </w:rPr>
      </w:pPr>
      <w:r>
        <w:rPr>
          <w:rFonts w:hint="eastAsia" w:ascii="黑体" w:hAnsi="宋体" w:eastAsia="黑体"/>
          <w:bCs/>
          <w:kern w:val="0"/>
          <w:sz w:val="24"/>
          <w:szCs w:val="32"/>
          <w:lang w:val="en-US" w:eastAsia="zh-CN"/>
        </w:rPr>
        <w:t>十二</w:t>
      </w:r>
      <w:r>
        <w:rPr>
          <w:rFonts w:hint="eastAsia" w:ascii="黑体" w:hAnsi="宋体" w:eastAsia="黑体"/>
          <w:bCs/>
          <w:kern w:val="0"/>
          <w:sz w:val="24"/>
          <w:szCs w:val="32"/>
        </w:rPr>
        <w:t>、</w:t>
      </w:r>
      <w:bookmarkStart w:id="83" w:name="_Hlk72062872"/>
      <w:r>
        <w:rPr>
          <w:rFonts w:hint="eastAsia" w:ascii="黑体" w:eastAsia="黑体"/>
          <w:sz w:val="24"/>
          <w:szCs w:val="20"/>
        </w:rPr>
        <w:t>投标人认为需要加以说明的其他内容</w:t>
      </w:r>
      <w:bookmarkEnd w:id="83"/>
    </w:p>
    <w:bookmarkEnd w:id="82"/>
    <w:p w14:paraId="4E2C38EE">
      <w:pPr>
        <w:widowControl/>
        <w:jc w:val="center"/>
        <w:rPr>
          <w:rFonts w:hint="eastAsia" w:ascii="黑体" w:hAnsi="宋体" w:eastAsia="黑体"/>
          <w:kern w:val="0"/>
          <w:sz w:val="24"/>
          <w:szCs w:val="20"/>
        </w:rPr>
      </w:pPr>
    </w:p>
    <w:p w14:paraId="2AADF79B">
      <w:pPr>
        <w:widowControl/>
        <w:jc w:val="center"/>
        <w:rPr>
          <w:rFonts w:hint="eastAsia" w:ascii="黑体" w:hAnsi="宋体" w:eastAsia="黑体"/>
          <w:kern w:val="0"/>
          <w:sz w:val="24"/>
          <w:szCs w:val="20"/>
        </w:rPr>
      </w:pPr>
      <w:r>
        <w:rPr>
          <w:rFonts w:hint="eastAsia" w:ascii="黑体" w:hAnsi="宋体" w:eastAsia="黑体"/>
          <w:kern w:val="0"/>
          <w:sz w:val="24"/>
          <w:szCs w:val="20"/>
        </w:rPr>
        <w:t>（一）政府采购违法行为风险知悉确认书</w:t>
      </w:r>
    </w:p>
    <w:p w14:paraId="6B9214F3">
      <w:pPr>
        <w:spacing w:after="120" w:afterLines="50" w:line="360" w:lineRule="exact"/>
        <w:ind w:firstLine="422" w:firstLineChars="200"/>
        <w:rPr>
          <w:rFonts w:hint="eastAsia" w:ascii="宋体" w:hAnsi="宋体" w:cs="宋体"/>
          <w:b/>
          <w:bCs/>
          <w:szCs w:val="21"/>
        </w:rPr>
      </w:pPr>
      <w:r>
        <w:rPr>
          <w:rFonts w:hint="eastAsia" w:ascii="宋体" w:hAnsi="宋体" w:cs="宋体"/>
          <w:b/>
          <w:bCs/>
          <w:szCs w:val="21"/>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15FB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7576D00A">
            <w:pPr>
              <w:spacing w:line="400" w:lineRule="exact"/>
              <w:jc w:val="center"/>
              <w:rPr>
                <w:rFonts w:hint="eastAsia" w:ascii="宋体" w:hAnsi="宋体" w:cs="宋体"/>
                <w:szCs w:val="21"/>
              </w:rPr>
            </w:pPr>
            <w:r>
              <w:rPr>
                <w:rFonts w:hint="eastAsia" w:ascii="宋体" w:hAnsi="宋体" w:cs="宋体"/>
                <w:szCs w:val="21"/>
              </w:rPr>
              <w:t>序号</w:t>
            </w:r>
          </w:p>
        </w:tc>
        <w:tc>
          <w:tcPr>
            <w:tcW w:w="7811" w:type="dxa"/>
          </w:tcPr>
          <w:p w14:paraId="4D2FCAEE">
            <w:pPr>
              <w:spacing w:line="400" w:lineRule="exact"/>
              <w:jc w:val="center"/>
              <w:rPr>
                <w:rFonts w:hint="eastAsia" w:ascii="宋体" w:hAnsi="宋体" w:cs="宋体"/>
                <w:szCs w:val="21"/>
              </w:rPr>
            </w:pPr>
            <w:r>
              <w:rPr>
                <w:rFonts w:hint="eastAsia" w:ascii="宋体" w:hAnsi="宋体" w:cs="宋体"/>
                <w:b/>
                <w:bCs/>
                <w:szCs w:val="21"/>
              </w:rPr>
              <w:t>供应商参与投标禁止情形</w:t>
            </w:r>
          </w:p>
        </w:tc>
      </w:tr>
      <w:tr w14:paraId="44DB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1C96AC44">
            <w:pPr>
              <w:spacing w:line="400" w:lineRule="exact"/>
              <w:jc w:val="center"/>
              <w:rPr>
                <w:rFonts w:hint="eastAsia" w:ascii="宋体" w:hAnsi="宋体" w:cs="宋体"/>
                <w:szCs w:val="21"/>
              </w:rPr>
            </w:pPr>
            <w:r>
              <w:rPr>
                <w:rFonts w:hint="eastAsia" w:ascii="宋体" w:hAnsi="宋体" w:cs="宋体"/>
                <w:szCs w:val="21"/>
              </w:rPr>
              <w:t>1</w:t>
            </w:r>
          </w:p>
        </w:tc>
        <w:tc>
          <w:tcPr>
            <w:tcW w:w="7811" w:type="dxa"/>
            <w:vAlign w:val="center"/>
          </w:tcPr>
          <w:p w14:paraId="19F0B901">
            <w:pPr>
              <w:spacing w:line="400" w:lineRule="exact"/>
              <w:jc w:val="left"/>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14:paraId="4E2F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3D96E465">
            <w:pPr>
              <w:spacing w:line="400" w:lineRule="exact"/>
              <w:jc w:val="center"/>
              <w:rPr>
                <w:rFonts w:hint="eastAsia" w:ascii="宋体" w:hAnsi="宋体" w:cs="宋体"/>
                <w:szCs w:val="21"/>
              </w:rPr>
            </w:pPr>
            <w:r>
              <w:rPr>
                <w:rFonts w:hint="eastAsia" w:ascii="宋体" w:hAnsi="宋体" w:cs="宋体"/>
                <w:szCs w:val="21"/>
              </w:rPr>
              <w:t>2</w:t>
            </w:r>
          </w:p>
        </w:tc>
        <w:tc>
          <w:tcPr>
            <w:tcW w:w="7811" w:type="dxa"/>
            <w:vAlign w:val="center"/>
          </w:tcPr>
          <w:p w14:paraId="7945824B">
            <w:pPr>
              <w:spacing w:line="400" w:lineRule="exact"/>
              <w:jc w:val="left"/>
              <w:rPr>
                <w:rFonts w:hint="eastAsia" w:ascii="宋体" w:hAnsi="宋体" w:cs="宋体"/>
                <w:szCs w:val="21"/>
              </w:rPr>
            </w:pPr>
            <w:r>
              <w:rPr>
                <w:rFonts w:hint="eastAsia" w:ascii="宋体" w:hAnsi="宋体" w:cs="宋体"/>
                <w:szCs w:val="21"/>
              </w:rPr>
              <w:t>参与本项目政府采购活动时，与其他投标供应商存在单位负责人为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14:paraId="4A09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195E938F">
            <w:pPr>
              <w:spacing w:line="400" w:lineRule="exact"/>
              <w:jc w:val="center"/>
              <w:rPr>
                <w:rFonts w:hint="eastAsia" w:ascii="宋体" w:hAnsi="宋体" w:cs="宋体"/>
                <w:szCs w:val="21"/>
              </w:rPr>
            </w:pPr>
            <w:r>
              <w:rPr>
                <w:rFonts w:hint="eastAsia" w:ascii="宋体" w:hAnsi="宋体" w:cs="宋体"/>
                <w:szCs w:val="21"/>
              </w:rPr>
              <w:t>3</w:t>
            </w:r>
          </w:p>
        </w:tc>
        <w:tc>
          <w:tcPr>
            <w:tcW w:w="7811" w:type="dxa"/>
            <w:vAlign w:val="center"/>
          </w:tcPr>
          <w:p w14:paraId="465E2ED3">
            <w:pPr>
              <w:spacing w:line="400" w:lineRule="exact"/>
              <w:jc w:val="left"/>
              <w:rPr>
                <w:rFonts w:hint="eastAsia" w:ascii="宋体" w:hAnsi="宋体" w:cs="宋体"/>
                <w:szCs w:val="21"/>
              </w:rPr>
            </w:pPr>
            <w:r>
              <w:rPr>
                <w:rFonts w:hint="eastAsia" w:ascii="宋体" w:hAnsi="宋体" w:cs="宋体"/>
                <w:szCs w:val="21"/>
              </w:rPr>
              <w:t>与其他投标供应商的投标文件或部分投标文件</w:t>
            </w:r>
            <w:r>
              <w:rPr>
                <w:rFonts w:hint="eastAsia" w:ascii="宋体" w:hAnsi="宋体" w:cs="宋体"/>
                <w:b/>
                <w:bCs/>
                <w:szCs w:val="21"/>
              </w:rPr>
              <w:t>相互混装或存在非正常一致</w:t>
            </w:r>
            <w:r>
              <w:rPr>
                <w:rFonts w:hint="eastAsia" w:ascii="宋体" w:hAnsi="宋体" w:cs="宋体"/>
                <w:szCs w:val="21"/>
              </w:rPr>
              <w:t>。</w:t>
            </w:r>
          </w:p>
        </w:tc>
      </w:tr>
      <w:tr w14:paraId="4FF0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24048FC1">
            <w:pPr>
              <w:spacing w:line="400" w:lineRule="exact"/>
              <w:jc w:val="center"/>
              <w:rPr>
                <w:rFonts w:hint="eastAsia" w:ascii="宋体" w:hAnsi="宋体" w:cs="宋体"/>
                <w:szCs w:val="21"/>
              </w:rPr>
            </w:pPr>
            <w:r>
              <w:rPr>
                <w:rFonts w:hint="eastAsia" w:ascii="宋体" w:hAnsi="宋体" w:cs="宋体"/>
                <w:szCs w:val="21"/>
              </w:rPr>
              <w:t>4</w:t>
            </w:r>
          </w:p>
        </w:tc>
        <w:tc>
          <w:tcPr>
            <w:tcW w:w="7811" w:type="dxa"/>
            <w:vAlign w:val="center"/>
          </w:tcPr>
          <w:p w14:paraId="335E8C7C">
            <w:pPr>
              <w:spacing w:line="400" w:lineRule="exact"/>
              <w:jc w:val="left"/>
              <w:rPr>
                <w:rFonts w:hint="eastAsia" w:ascii="宋体" w:hAnsi="宋体" w:cs="宋体"/>
                <w:szCs w:val="21"/>
              </w:rPr>
            </w:pPr>
            <w:r>
              <w:rPr>
                <w:rFonts w:hint="eastAsia" w:ascii="宋体" w:hAnsi="宋体" w:cs="宋体"/>
                <w:szCs w:val="21"/>
              </w:rPr>
              <w:t>与其他投标供应商的投标文件由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14:paraId="7893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79DBC27A">
            <w:pPr>
              <w:spacing w:line="400" w:lineRule="exact"/>
              <w:jc w:val="center"/>
              <w:rPr>
                <w:rFonts w:hint="eastAsia" w:ascii="宋体" w:hAnsi="宋体" w:cs="宋体"/>
                <w:szCs w:val="21"/>
              </w:rPr>
            </w:pPr>
            <w:r>
              <w:rPr>
                <w:rFonts w:hint="eastAsia" w:ascii="宋体" w:hAnsi="宋体" w:cs="宋体"/>
                <w:szCs w:val="21"/>
              </w:rPr>
              <w:t>5</w:t>
            </w:r>
          </w:p>
        </w:tc>
        <w:tc>
          <w:tcPr>
            <w:tcW w:w="7811" w:type="dxa"/>
            <w:vAlign w:val="center"/>
          </w:tcPr>
          <w:p w14:paraId="296B656C">
            <w:pPr>
              <w:spacing w:line="400" w:lineRule="exact"/>
              <w:jc w:val="left"/>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r w14:paraId="0330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3B2740C7">
            <w:pPr>
              <w:spacing w:line="400" w:lineRule="exact"/>
              <w:jc w:val="center"/>
              <w:rPr>
                <w:rFonts w:hint="eastAsia" w:ascii="宋体" w:hAnsi="宋体" w:cs="宋体"/>
                <w:szCs w:val="21"/>
              </w:rPr>
            </w:pPr>
            <w:r>
              <w:rPr>
                <w:rFonts w:hint="eastAsia" w:ascii="宋体" w:hAnsi="宋体" w:cs="宋体"/>
                <w:szCs w:val="21"/>
              </w:rPr>
              <w:t>6</w:t>
            </w:r>
          </w:p>
        </w:tc>
        <w:tc>
          <w:tcPr>
            <w:tcW w:w="7811" w:type="dxa"/>
            <w:vAlign w:val="center"/>
          </w:tcPr>
          <w:p w14:paraId="17D87DB9">
            <w:pPr>
              <w:spacing w:line="400" w:lineRule="exact"/>
              <w:jc w:val="left"/>
              <w:rPr>
                <w:rFonts w:hint="eastAsia" w:ascii="宋体" w:hAnsi="宋体" w:cs="宋体"/>
                <w:szCs w:val="21"/>
              </w:rPr>
            </w:pPr>
            <w:r>
              <w:rPr>
                <w:rFonts w:hint="eastAsia" w:ascii="宋体" w:hAnsi="宋体" w:cs="宋体"/>
                <w:szCs w:val="21"/>
              </w:rPr>
              <w:t>擅自将投标密钥或电子营业执照出借他人使用或未妥善保管。</w:t>
            </w:r>
          </w:p>
        </w:tc>
      </w:tr>
    </w:tbl>
    <w:p w14:paraId="11A64404">
      <w:pPr>
        <w:spacing w:before="120" w:beforeLines="50" w:line="380" w:lineRule="exact"/>
        <w:ind w:firstLine="422" w:firstLineChars="200"/>
        <w:rPr>
          <w:rFonts w:hint="eastAsia" w:ascii="宋体" w:hAnsi="宋体" w:cs="宋体"/>
          <w:b/>
          <w:szCs w:val="21"/>
        </w:rPr>
      </w:pPr>
      <w:r>
        <w:rPr>
          <w:rFonts w:hint="eastAsia" w:ascii="宋体" w:hAnsi="宋体" w:cs="宋体"/>
          <w:b/>
          <w:szCs w:val="21"/>
        </w:rPr>
        <w:t>一、我单位已充分知悉“隐瞒真实情况，提供虚假资料”的法定情形，包括但不限于：</w:t>
      </w:r>
    </w:p>
    <w:p w14:paraId="5BC53974">
      <w:pPr>
        <w:spacing w:line="380" w:lineRule="exact"/>
        <w:ind w:firstLine="420" w:firstLineChars="200"/>
        <w:rPr>
          <w:rFonts w:hint="eastAsia" w:ascii="宋体" w:hAnsi="宋体" w:cs="宋体"/>
          <w:szCs w:val="21"/>
        </w:rPr>
      </w:pPr>
      <w:r>
        <w:rPr>
          <w:rFonts w:hint="eastAsia" w:ascii="宋体" w:hAnsi="宋体" w:cs="宋体"/>
          <w:szCs w:val="21"/>
        </w:rPr>
        <w:t>（一）通过转让或者租借等方式从其他单位获取资格或者资质证书投标的。</w:t>
      </w:r>
    </w:p>
    <w:p w14:paraId="0CBD0F37">
      <w:pPr>
        <w:spacing w:line="380" w:lineRule="exact"/>
        <w:ind w:firstLine="420" w:firstLineChars="200"/>
        <w:rPr>
          <w:rFonts w:hint="eastAsia" w:ascii="宋体" w:hAnsi="宋体" w:cs="宋体"/>
          <w:szCs w:val="21"/>
        </w:rPr>
      </w:pPr>
      <w:r>
        <w:rPr>
          <w:rFonts w:hint="eastAsia" w:ascii="宋体" w:hAnsi="宋体" w:cs="宋体"/>
          <w:szCs w:val="21"/>
        </w:rPr>
        <w:t>（二）由其他单位或者其他单位负责人在投标供应商编制的投标文件上加盖印章或者签字的。</w:t>
      </w:r>
    </w:p>
    <w:p w14:paraId="7E5A3177">
      <w:pPr>
        <w:spacing w:line="380" w:lineRule="exact"/>
        <w:ind w:firstLine="420" w:firstLineChars="200"/>
        <w:rPr>
          <w:rFonts w:hint="eastAsia" w:ascii="宋体" w:hAnsi="宋体" w:cs="宋体"/>
          <w:szCs w:val="21"/>
        </w:rPr>
      </w:pPr>
      <w:r>
        <w:rPr>
          <w:rFonts w:hint="eastAsia" w:ascii="宋体" w:hAnsi="宋体" w:cs="宋体"/>
          <w:szCs w:val="21"/>
        </w:rPr>
        <w:t>（三）项目负责人或者主要技术人员不是本单位人员的。</w:t>
      </w:r>
    </w:p>
    <w:p w14:paraId="3BA18B30">
      <w:pPr>
        <w:spacing w:line="380" w:lineRule="exact"/>
        <w:ind w:firstLine="420" w:firstLineChars="200"/>
        <w:rPr>
          <w:rFonts w:hint="eastAsia" w:ascii="宋体" w:hAnsi="宋体" w:cs="宋体"/>
          <w:szCs w:val="21"/>
        </w:rPr>
      </w:pPr>
      <w:r>
        <w:rPr>
          <w:rFonts w:hint="eastAsia" w:ascii="宋体" w:hAnsi="宋体" w:cs="宋体"/>
          <w:szCs w:val="21"/>
        </w:rPr>
        <w:t>（四）投标保证金不是从投标供应商基本账户转出的。</w:t>
      </w:r>
    </w:p>
    <w:p w14:paraId="6D92342F">
      <w:pPr>
        <w:spacing w:line="380" w:lineRule="exact"/>
        <w:ind w:firstLine="420" w:firstLineChars="200"/>
        <w:rPr>
          <w:rFonts w:hint="eastAsia" w:ascii="宋体" w:hAnsi="宋体" w:cs="宋体"/>
          <w:szCs w:val="21"/>
        </w:rPr>
      </w:pPr>
      <w:r>
        <w:rPr>
          <w:rFonts w:hint="eastAsia" w:ascii="宋体" w:hAnsi="宋体" w:cs="宋体"/>
          <w:szCs w:val="21"/>
        </w:rPr>
        <w:t>（五）其他隐瞒真实情况、提供虚假资料的行为。</w:t>
      </w:r>
    </w:p>
    <w:p w14:paraId="6BEC92F4">
      <w:pPr>
        <w:spacing w:line="380" w:lineRule="exact"/>
        <w:ind w:firstLine="422" w:firstLineChars="200"/>
        <w:rPr>
          <w:rFonts w:hint="eastAsia" w:ascii="宋体" w:hAnsi="宋体" w:cs="宋体"/>
          <w:b/>
          <w:szCs w:val="21"/>
        </w:rPr>
      </w:pPr>
      <w:r>
        <w:rPr>
          <w:rFonts w:hint="eastAsia" w:ascii="宋体" w:hAnsi="宋体" w:cs="宋体"/>
          <w:b/>
          <w:szCs w:val="21"/>
        </w:rPr>
        <w:t>二、我单位已充分知悉“与其他采购参加人串通投标”的法定情形，包括但不限于：</w:t>
      </w:r>
    </w:p>
    <w:p w14:paraId="60334623">
      <w:pPr>
        <w:spacing w:line="380" w:lineRule="exact"/>
        <w:ind w:firstLine="420" w:firstLineChars="200"/>
        <w:rPr>
          <w:rFonts w:hint="eastAsia" w:ascii="宋体" w:hAnsi="宋体" w:cs="宋体"/>
          <w:szCs w:val="21"/>
        </w:rPr>
      </w:pPr>
      <w:r>
        <w:rPr>
          <w:rFonts w:hint="eastAsia" w:ascii="宋体" w:hAnsi="宋体" w:cs="宋体"/>
          <w:szCs w:val="21"/>
        </w:rPr>
        <w:t>（一）投标供应商之间相互约定给予未中标的供应商利益补偿。</w:t>
      </w:r>
    </w:p>
    <w:p w14:paraId="786BE2D3">
      <w:pPr>
        <w:spacing w:line="380" w:lineRule="exact"/>
        <w:ind w:firstLine="420" w:firstLineChars="200"/>
        <w:rPr>
          <w:rFonts w:hint="eastAsia" w:ascii="宋体" w:hAnsi="宋体" w:cs="宋体"/>
          <w:szCs w:val="21"/>
        </w:rPr>
      </w:pPr>
      <w:r>
        <w:rPr>
          <w:rFonts w:hint="eastAsia" w:ascii="宋体" w:hAnsi="宋体" w:cs="宋体"/>
          <w:szCs w:val="21"/>
        </w:rPr>
        <w:t>（二）不同投标供应商的法定代表人、主要经营负责人、项目投标授权代表人、项目负责人、主要技术人员为同一人、属同一单位或者在同一单位缴纳社会保险。</w:t>
      </w:r>
    </w:p>
    <w:p w14:paraId="173F7508">
      <w:pPr>
        <w:spacing w:line="340" w:lineRule="exact"/>
        <w:ind w:firstLine="420" w:firstLineChars="200"/>
        <w:rPr>
          <w:rFonts w:hint="eastAsia" w:ascii="宋体" w:hAnsi="宋体" w:cs="宋体"/>
          <w:szCs w:val="21"/>
        </w:rPr>
      </w:pPr>
      <w:r>
        <w:rPr>
          <w:rFonts w:hint="eastAsia" w:ascii="宋体" w:hAnsi="宋体" w:cs="宋体"/>
          <w:szCs w:val="21"/>
        </w:rPr>
        <w:t>（三）不同投标供应商的投标文件由同一单位或者同一人编制，或者由同一人分阶段参与编制的。</w:t>
      </w:r>
    </w:p>
    <w:p w14:paraId="3E88F650">
      <w:pPr>
        <w:spacing w:line="340" w:lineRule="exact"/>
        <w:ind w:firstLine="420" w:firstLineChars="200"/>
        <w:rPr>
          <w:rFonts w:hint="eastAsia" w:ascii="宋体" w:hAnsi="宋体" w:cs="宋体"/>
          <w:szCs w:val="21"/>
        </w:rPr>
      </w:pPr>
      <w:r>
        <w:rPr>
          <w:rFonts w:hint="eastAsia" w:ascii="宋体" w:hAnsi="宋体" w:cs="宋体"/>
          <w:szCs w:val="21"/>
        </w:rPr>
        <w:t>（四）不同投标供应商的投标文件或部分投标文件相互混装。</w:t>
      </w:r>
    </w:p>
    <w:p w14:paraId="0FA558A9">
      <w:pPr>
        <w:spacing w:line="340" w:lineRule="exact"/>
        <w:ind w:firstLine="420" w:firstLineChars="200"/>
        <w:rPr>
          <w:rFonts w:hint="eastAsia" w:ascii="宋体" w:hAnsi="宋体" w:cs="宋体"/>
          <w:szCs w:val="21"/>
        </w:rPr>
      </w:pPr>
      <w:r>
        <w:rPr>
          <w:rFonts w:hint="eastAsia" w:ascii="宋体" w:hAnsi="宋体" w:cs="宋体"/>
          <w:szCs w:val="21"/>
        </w:rPr>
        <w:t>（五）不同投标供应商的投标文件内容存在非正常一致。</w:t>
      </w:r>
    </w:p>
    <w:p w14:paraId="11447F8B">
      <w:pPr>
        <w:spacing w:line="340" w:lineRule="exact"/>
        <w:ind w:firstLine="420" w:firstLineChars="200"/>
        <w:rPr>
          <w:rFonts w:hint="eastAsia" w:ascii="宋体" w:hAnsi="宋体" w:cs="宋体"/>
          <w:szCs w:val="21"/>
        </w:rPr>
      </w:pPr>
      <w:r>
        <w:rPr>
          <w:rFonts w:hint="eastAsia" w:ascii="宋体" w:hAnsi="宋体" w:cs="宋体"/>
          <w:szCs w:val="21"/>
        </w:rPr>
        <w:t>（六）由同一单位工作人员为两家以上（含两家）供应商进行同一项投标活动的。</w:t>
      </w:r>
    </w:p>
    <w:p w14:paraId="6449CC1C">
      <w:pPr>
        <w:spacing w:line="340" w:lineRule="exact"/>
        <w:ind w:firstLine="420" w:firstLineChars="200"/>
        <w:rPr>
          <w:rFonts w:hint="eastAsia" w:ascii="宋体" w:hAnsi="宋体" w:cs="宋体"/>
          <w:szCs w:val="21"/>
        </w:rPr>
      </w:pPr>
      <w:r>
        <w:rPr>
          <w:rFonts w:hint="eastAsia" w:ascii="宋体" w:hAnsi="宋体" w:cs="宋体"/>
          <w:szCs w:val="21"/>
        </w:rPr>
        <w:t>（七）不同投标人的投标报价呈规律性差异。</w:t>
      </w:r>
    </w:p>
    <w:p w14:paraId="45BBD4E8">
      <w:pPr>
        <w:spacing w:line="340" w:lineRule="exact"/>
        <w:ind w:firstLine="420" w:firstLineChars="200"/>
        <w:rPr>
          <w:rFonts w:hint="eastAsia" w:ascii="宋体" w:hAnsi="宋体" w:cs="宋体"/>
          <w:szCs w:val="21"/>
        </w:rPr>
      </w:pPr>
      <w:r>
        <w:rPr>
          <w:rFonts w:hint="eastAsia" w:ascii="宋体" w:hAnsi="宋体" w:cs="宋体"/>
          <w:szCs w:val="21"/>
        </w:rPr>
        <w:t>（八）不同投标人的投标保证金从同一单位或者个人的账户转出。</w:t>
      </w:r>
    </w:p>
    <w:p w14:paraId="4EF753A1">
      <w:pPr>
        <w:spacing w:line="340" w:lineRule="exact"/>
        <w:ind w:firstLine="420" w:firstLineChars="200"/>
        <w:rPr>
          <w:rFonts w:hint="eastAsia" w:ascii="宋体" w:hAnsi="宋体" w:cs="宋体"/>
          <w:szCs w:val="21"/>
        </w:rPr>
      </w:pPr>
      <w:r>
        <w:rPr>
          <w:rFonts w:hint="eastAsia" w:ascii="宋体" w:hAnsi="宋体" w:cs="宋体"/>
          <w:szCs w:val="21"/>
        </w:rPr>
        <w:t>（九）主管部门依照法律、法规认定的其他情形。</w:t>
      </w:r>
    </w:p>
    <w:p w14:paraId="44250740">
      <w:pPr>
        <w:spacing w:line="340" w:lineRule="exact"/>
        <w:ind w:firstLine="422" w:firstLineChars="200"/>
        <w:rPr>
          <w:rFonts w:hint="eastAsia" w:ascii="宋体" w:hAnsi="宋体" w:cs="宋体"/>
          <w:b/>
          <w:szCs w:val="21"/>
        </w:rPr>
      </w:pPr>
      <w:r>
        <w:rPr>
          <w:rFonts w:hint="eastAsia" w:ascii="宋体" w:hAnsi="宋体" w:cs="宋体"/>
          <w:b/>
          <w:szCs w:val="21"/>
        </w:rPr>
        <w:t>三、我单位已充分知悉下列情形存在法律风险，在投标前已对相关风险事项进行排查。</w:t>
      </w:r>
    </w:p>
    <w:p w14:paraId="2911D09A">
      <w:pPr>
        <w:spacing w:line="340" w:lineRule="exact"/>
        <w:ind w:firstLine="420" w:firstLineChars="200"/>
        <w:rPr>
          <w:rFonts w:hint="eastAsia" w:ascii="宋体" w:hAnsi="宋体" w:cs="宋体"/>
          <w:b/>
          <w:szCs w:val="21"/>
        </w:rPr>
      </w:pPr>
      <w:r>
        <w:rPr>
          <w:rFonts w:hint="eastAsia" w:ascii="宋体" w:hAnsi="宋体" w:cs="宋体"/>
          <w:szCs w:val="21"/>
        </w:rPr>
        <w:t>（一）对于从其他主体获取的投标资料，我单位应审慎核查，确保其真实性。</w:t>
      </w:r>
      <w:r>
        <w:rPr>
          <w:rFonts w:hint="eastAsia" w:ascii="宋体" w:hAnsi="宋体" w:cs="宋体"/>
          <w:b/>
          <w:szCs w:val="21"/>
        </w:rPr>
        <w:t>如主管部门查实投标文件中存在虚假资料的，无论相关资料是否由第三方或本公司员工提供，均不影响主管部门对供应商存在“隐瞒真实情况，提供虚假资料”违法行为的认定。</w:t>
      </w:r>
    </w:p>
    <w:p w14:paraId="00147BAF">
      <w:pPr>
        <w:spacing w:line="340" w:lineRule="exact"/>
        <w:ind w:firstLine="420" w:firstLineChars="200"/>
        <w:rPr>
          <w:rFonts w:hint="eastAsia" w:ascii="宋体" w:hAnsi="宋体" w:cs="宋体"/>
          <w:szCs w:val="21"/>
        </w:rPr>
      </w:pPr>
      <w:r>
        <w:rPr>
          <w:rFonts w:hint="eastAsia" w:ascii="宋体" w:hAnsi="宋体" w:cs="宋体"/>
          <w:szCs w:val="21"/>
        </w:rPr>
        <w:t>（二）对于涉及国家机关出具的公文、证件、证明材料等文件，一旦涉嫌虚假，经查实，主管部门将依法从严处理，并移送有关部门追究法律责任；涉嫌犯罪的，移送司法机关处理。</w:t>
      </w:r>
    </w:p>
    <w:p w14:paraId="6998BA99">
      <w:pPr>
        <w:spacing w:line="340" w:lineRule="exact"/>
        <w:ind w:firstLine="420" w:firstLineChars="200"/>
        <w:rPr>
          <w:rFonts w:hint="eastAsia" w:ascii="宋体" w:hAnsi="宋体" w:cs="宋体"/>
          <w:szCs w:val="21"/>
        </w:rPr>
      </w:pPr>
      <w:r>
        <w:rPr>
          <w:rFonts w:hint="eastAsia" w:ascii="宋体" w:hAnsi="宋体" w:cs="宋体"/>
          <w:szCs w:val="21"/>
        </w:rPr>
        <w:t>（三）我单位对投标电子密钥或电子营业执照负有妥善保管、及时变更和续期等主体责任；使用电子密钥或电子营业执照在深圳政府采购网站进行的活动，均具有法律效力，须承担相应的法律后果。若</w:t>
      </w:r>
      <w:r>
        <w:rPr>
          <w:rFonts w:hint="eastAsia" w:ascii="宋体" w:hAnsi="宋体" w:cs="宋体"/>
          <w:b/>
          <w:bCs/>
          <w:szCs w:val="21"/>
        </w:rPr>
        <w:t>擅自将投标密钥或电子营业执照出借他人使用所造成的法律后果，由我单位自行承担</w:t>
      </w:r>
      <w:r>
        <w:rPr>
          <w:rFonts w:hint="eastAsia" w:ascii="宋体" w:hAnsi="宋体" w:cs="宋体"/>
          <w:szCs w:val="21"/>
        </w:rPr>
        <w:t>。</w:t>
      </w:r>
    </w:p>
    <w:p w14:paraId="5DA86250">
      <w:pPr>
        <w:spacing w:line="340" w:lineRule="exact"/>
        <w:ind w:firstLine="422" w:firstLineChars="200"/>
        <w:rPr>
          <w:rFonts w:hint="eastAsia" w:ascii="宋体" w:hAnsi="宋体" w:cs="宋体"/>
          <w:b/>
          <w:szCs w:val="21"/>
        </w:rPr>
      </w:pPr>
      <w:r>
        <w:rPr>
          <w:rFonts w:hint="eastAsia" w:ascii="宋体" w:hAnsi="宋体" w:cs="宋体"/>
          <w:b/>
          <w:szCs w:val="21"/>
        </w:rPr>
        <w:t>四、我单位已充分知悉政府采购违法、违规行为的法律后果。</w:t>
      </w:r>
    </w:p>
    <w:p w14:paraId="31AC3262">
      <w:pPr>
        <w:spacing w:line="340" w:lineRule="exact"/>
        <w:ind w:firstLine="420" w:firstLineChars="200"/>
        <w:rPr>
          <w:rFonts w:hint="eastAsia" w:ascii="宋体" w:hAnsi="宋体" w:cs="宋体"/>
          <w:szCs w:val="21"/>
        </w:rPr>
      </w:pPr>
      <w:r>
        <w:rPr>
          <w:rFonts w:hint="eastAsia" w:ascii="宋体" w:hAnsi="宋体" w:cs="宋体"/>
          <w:szCs w:val="21"/>
        </w:rPr>
        <w:t>经查实，若我单位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3E6E5B49">
      <w:pPr>
        <w:spacing w:line="340" w:lineRule="exact"/>
        <w:ind w:firstLine="420" w:firstLineChars="200"/>
        <w:rPr>
          <w:rFonts w:hint="eastAsia" w:ascii="宋体" w:hAnsi="宋体" w:cs="宋体"/>
          <w:szCs w:val="21"/>
          <w:highlight w:val="yellow"/>
        </w:rPr>
      </w:pPr>
      <w:r>
        <w:rPr>
          <w:rFonts w:hint="eastAsia" w:ascii="宋体" w:hAnsi="宋体" w:cs="宋体"/>
          <w:szCs w:val="21"/>
          <w:highlight w:val="yellow"/>
        </w:rPr>
        <w:t>以下文字请投标供应商抄写并确认：“我单位已仔细阅读《政府采购违法行为风险知悉确认书》，充分知悉违法行为的法律后果，并承诺将严谨、诚信、依法依规参与政府采购活动”。</w:t>
      </w:r>
    </w:p>
    <w:tbl>
      <w:tblPr>
        <w:tblStyle w:val="44"/>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19841B7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6A27E55A">
            <w:pPr>
              <w:autoSpaceDE w:val="0"/>
              <w:autoSpaceDN w:val="0"/>
              <w:spacing w:line="340" w:lineRule="exact"/>
              <w:ind w:firstLine="1866"/>
              <w:rPr>
                <w:rFonts w:hint="eastAsia" w:ascii="宋体" w:hAnsi="宋体" w:cs="宋体" w:eastAsiaTheme="minorEastAsia"/>
                <w:spacing w:val="-4"/>
                <w:kern w:val="0"/>
                <w:szCs w:val="21"/>
              </w:rPr>
            </w:pPr>
          </w:p>
        </w:tc>
      </w:tr>
      <w:tr w14:paraId="7E05B22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740AAD8">
            <w:pPr>
              <w:autoSpaceDE w:val="0"/>
              <w:autoSpaceDN w:val="0"/>
              <w:spacing w:line="340" w:lineRule="exact"/>
              <w:ind w:firstLine="1866"/>
              <w:rPr>
                <w:rFonts w:hint="eastAsia" w:ascii="宋体" w:hAnsi="宋体" w:cs="宋体" w:eastAsiaTheme="minorEastAsia"/>
                <w:spacing w:val="-4"/>
                <w:kern w:val="0"/>
                <w:szCs w:val="21"/>
              </w:rPr>
            </w:pPr>
          </w:p>
        </w:tc>
      </w:tr>
      <w:tr w14:paraId="27F74F5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21D45580">
            <w:pPr>
              <w:autoSpaceDE w:val="0"/>
              <w:autoSpaceDN w:val="0"/>
              <w:spacing w:line="340" w:lineRule="exact"/>
              <w:ind w:firstLine="1866"/>
              <w:rPr>
                <w:rFonts w:hint="eastAsia" w:ascii="宋体" w:hAnsi="宋体" w:cs="宋体" w:eastAsiaTheme="minorEastAsia"/>
                <w:spacing w:val="-4"/>
                <w:kern w:val="0"/>
                <w:szCs w:val="21"/>
              </w:rPr>
            </w:pPr>
          </w:p>
        </w:tc>
      </w:tr>
      <w:tr w14:paraId="156E9A8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022ABC79">
            <w:pPr>
              <w:autoSpaceDE w:val="0"/>
              <w:autoSpaceDN w:val="0"/>
              <w:spacing w:line="340" w:lineRule="exact"/>
              <w:ind w:firstLine="1866"/>
              <w:rPr>
                <w:rFonts w:hint="eastAsia" w:ascii="宋体" w:hAnsi="宋体" w:cs="宋体" w:eastAsiaTheme="minorEastAsia"/>
                <w:spacing w:val="-4"/>
                <w:kern w:val="0"/>
                <w:szCs w:val="21"/>
              </w:rPr>
            </w:pPr>
          </w:p>
        </w:tc>
      </w:tr>
    </w:tbl>
    <w:p w14:paraId="0FBC275D">
      <w:pPr>
        <w:widowControl/>
        <w:wordWrap w:val="0"/>
        <w:autoSpaceDE w:val="0"/>
        <w:autoSpaceDN w:val="0"/>
        <w:spacing w:line="340" w:lineRule="exact"/>
        <w:ind w:right="808" w:firstLine="404" w:firstLineChars="200"/>
        <w:jc w:val="right"/>
        <w:rPr>
          <w:rFonts w:hint="eastAsia" w:ascii="宋体" w:hAnsi="宋体" w:cs="宋体"/>
          <w:spacing w:val="-4"/>
          <w:kern w:val="0"/>
          <w:szCs w:val="21"/>
        </w:rPr>
      </w:pPr>
    </w:p>
    <w:p w14:paraId="4EC940A8">
      <w:pPr>
        <w:widowControl/>
        <w:wordWrap w:val="0"/>
        <w:autoSpaceDE w:val="0"/>
        <w:autoSpaceDN w:val="0"/>
        <w:spacing w:line="340" w:lineRule="exact"/>
        <w:ind w:right="808" w:firstLine="404" w:firstLineChars="200"/>
        <w:jc w:val="right"/>
        <w:rPr>
          <w:rFonts w:hint="eastAsia" w:ascii="宋体" w:hAnsi="宋体" w:cs="宋体"/>
          <w:spacing w:val="-4"/>
          <w:kern w:val="0"/>
          <w:szCs w:val="21"/>
          <w:u w:val="single"/>
        </w:rPr>
      </w:pPr>
      <w:r>
        <w:rPr>
          <w:rFonts w:hint="eastAsia" w:ascii="宋体" w:hAnsi="宋体" w:cs="宋体"/>
          <w:spacing w:val="-4"/>
          <w:kern w:val="0"/>
          <w:szCs w:val="21"/>
        </w:rPr>
        <w:t>单位负责人签名：</w:t>
      </w:r>
      <w:r>
        <w:rPr>
          <w:rFonts w:hint="eastAsia" w:ascii="宋体" w:hAnsi="宋体" w:cs="宋体"/>
          <w:spacing w:val="-4"/>
          <w:kern w:val="0"/>
          <w:szCs w:val="21"/>
          <w:u w:val="single"/>
        </w:rPr>
        <w:t xml:space="preserve">              </w:t>
      </w:r>
    </w:p>
    <w:p w14:paraId="1D10C1C4">
      <w:pPr>
        <w:widowControl/>
        <w:wordWrap w:val="0"/>
        <w:autoSpaceDE w:val="0"/>
        <w:autoSpaceDN w:val="0"/>
        <w:spacing w:line="340" w:lineRule="exact"/>
        <w:ind w:right="808" w:firstLine="404" w:firstLineChars="200"/>
        <w:jc w:val="center"/>
        <w:rPr>
          <w:rFonts w:hint="eastAsia" w:ascii="宋体" w:hAnsi="宋体" w:cs="宋体"/>
          <w:spacing w:val="-4"/>
          <w:kern w:val="0"/>
          <w:szCs w:val="21"/>
          <w:u w:val="single"/>
        </w:rPr>
      </w:pPr>
      <w:r>
        <w:rPr>
          <w:rFonts w:hint="eastAsia" w:ascii="宋体" w:hAnsi="宋体" w:cs="宋体"/>
          <w:spacing w:val="-4"/>
          <w:kern w:val="0"/>
          <w:szCs w:val="21"/>
        </w:rPr>
        <w:t xml:space="preserve">                                 （加盖公章）</w:t>
      </w:r>
    </w:p>
    <w:p w14:paraId="790CA346">
      <w:pPr>
        <w:widowControl/>
        <w:wordWrap w:val="0"/>
        <w:autoSpaceDE w:val="0"/>
        <w:autoSpaceDN w:val="0"/>
        <w:spacing w:line="340" w:lineRule="exact"/>
        <w:ind w:right="808" w:firstLine="404" w:firstLineChars="200"/>
        <w:jc w:val="right"/>
        <w:rPr>
          <w:rFonts w:hint="eastAsia" w:ascii="宋体" w:hAnsi="宋体" w:cs="宋体"/>
          <w:spacing w:val="-4"/>
          <w:kern w:val="0"/>
          <w:szCs w:val="21"/>
          <w:u w:val="single"/>
        </w:rPr>
      </w:pPr>
      <w:r>
        <w:rPr>
          <w:rFonts w:hint="eastAsia" w:ascii="宋体" w:hAnsi="宋体" w:cs="宋体"/>
          <w:spacing w:val="-4"/>
          <w:kern w:val="0"/>
          <w:szCs w:val="21"/>
        </w:rPr>
        <w:t xml:space="preserve">     日期：</w:t>
      </w:r>
      <w:r>
        <w:rPr>
          <w:rFonts w:hint="eastAsia" w:ascii="宋体" w:hAnsi="宋体" w:cs="宋体"/>
          <w:spacing w:val="-4"/>
          <w:kern w:val="0"/>
          <w:szCs w:val="21"/>
          <w:u w:val="single"/>
        </w:rPr>
        <w:t xml:space="preserve">              </w:t>
      </w:r>
    </w:p>
    <w:p w14:paraId="370E7247">
      <w:pPr>
        <w:widowControl/>
        <w:autoSpaceDE w:val="0"/>
        <w:autoSpaceDN w:val="0"/>
        <w:spacing w:line="340" w:lineRule="exact"/>
        <w:ind w:firstLine="406" w:firstLineChars="200"/>
        <w:jc w:val="left"/>
        <w:rPr>
          <w:rFonts w:hint="eastAsia" w:ascii="宋体" w:hAnsi="宋体" w:cs="宋体"/>
          <w:b/>
          <w:bCs/>
          <w:spacing w:val="-4"/>
          <w:kern w:val="0"/>
          <w:szCs w:val="21"/>
        </w:rPr>
      </w:pPr>
    </w:p>
    <w:p w14:paraId="04F70F8E">
      <w:pPr>
        <w:widowControl/>
        <w:autoSpaceDE w:val="0"/>
        <w:autoSpaceDN w:val="0"/>
        <w:spacing w:line="340" w:lineRule="exact"/>
        <w:ind w:firstLine="406" w:firstLineChars="200"/>
        <w:jc w:val="left"/>
        <w:rPr>
          <w:rFonts w:hint="eastAsia" w:ascii="宋体" w:hAnsi="宋体" w:cs="宋体"/>
          <w:b/>
          <w:bCs/>
          <w:spacing w:val="-4"/>
          <w:kern w:val="0"/>
          <w:szCs w:val="21"/>
        </w:rPr>
      </w:pPr>
      <w:r>
        <w:rPr>
          <w:rFonts w:hint="eastAsia" w:ascii="宋体" w:hAnsi="宋体" w:cs="宋体"/>
          <w:b/>
          <w:bCs/>
          <w:spacing w:val="-4"/>
          <w:kern w:val="0"/>
          <w:szCs w:val="21"/>
        </w:rPr>
        <w:t>注：1.《政府采购违法行为风险知悉确认书》需由投标供应商负责人签字并加盖单位公章后，扫描上传至投标文件一并提交。</w:t>
      </w:r>
    </w:p>
    <w:p w14:paraId="2C7B894B">
      <w:pPr>
        <w:pStyle w:val="39"/>
        <w:ind w:firstLine="406" w:firstLineChars="200"/>
      </w:pPr>
      <w:r>
        <w:rPr>
          <w:rFonts w:hint="eastAsia" w:ascii="宋体" w:hAnsi="宋体" w:cs="宋体"/>
          <w:b/>
          <w:bCs/>
          <w:spacing w:val="-4"/>
          <w:kern w:val="0"/>
          <w:szCs w:val="21"/>
        </w:rPr>
        <w:t>2.根据《深圳市财政局关于在采购文件及深圳政府采购智慧平台增设供应商投标特别警示条款等事宜的通知》（深财购〔2025〕7号）的要求，《政府采购违法行为风险知悉确认书》用于对供应商违法行为的提醒，不作为供应商资格性审查及符合性审查条件。</w:t>
      </w:r>
    </w:p>
    <w:p w14:paraId="558C901F">
      <w:pPr>
        <w:widowControl/>
        <w:autoSpaceDE w:val="0"/>
        <w:autoSpaceDN w:val="0"/>
        <w:spacing w:line="400" w:lineRule="exact"/>
        <w:jc w:val="left"/>
        <w:rPr>
          <w:rFonts w:hint="eastAsia" w:ascii="宋体" w:hAnsi="宋体" w:eastAsiaTheme="minorEastAsia"/>
          <w:color w:val="FF0000"/>
          <w:spacing w:val="-4"/>
          <w:kern w:val="0"/>
          <w:szCs w:val="21"/>
        </w:rPr>
      </w:pPr>
    </w:p>
    <w:p w14:paraId="23CB4D7D">
      <w:pPr>
        <w:pStyle w:val="39"/>
        <w:rPr>
          <w:rFonts w:hint="eastAsia" w:ascii="宋体" w:hAnsi="宋体" w:eastAsiaTheme="minorEastAsia"/>
          <w:color w:val="FF0000"/>
          <w:spacing w:val="-4"/>
          <w:kern w:val="0"/>
          <w:szCs w:val="21"/>
        </w:rPr>
      </w:pPr>
    </w:p>
    <w:p w14:paraId="5976719A">
      <w:pPr>
        <w:pStyle w:val="39"/>
        <w:rPr>
          <w:rFonts w:hint="eastAsia" w:ascii="宋体" w:hAnsi="宋体" w:eastAsiaTheme="minorEastAsia"/>
          <w:color w:val="FF0000"/>
          <w:spacing w:val="-4"/>
          <w:kern w:val="0"/>
          <w:szCs w:val="21"/>
        </w:rPr>
      </w:pPr>
    </w:p>
    <w:p w14:paraId="3D611D79">
      <w:pPr>
        <w:widowControl/>
        <w:autoSpaceDE w:val="0"/>
        <w:autoSpaceDN w:val="0"/>
        <w:spacing w:line="400" w:lineRule="exact"/>
        <w:ind w:right="1414" w:firstLine="480" w:firstLineChars="200"/>
        <w:jc w:val="right"/>
        <w:rPr>
          <w:rFonts w:eastAsiaTheme="minorEastAsia"/>
          <w:kern w:val="0"/>
          <w:sz w:val="24"/>
        </w:rPr>
      </w:pPr>
    </w:p>
    <w:p w14:paraId="09482E54">
      <w:pPr>
        <w:widowControl/>
        <w:autoSpaceDE w:val="0"/>
        <w:autoSpaceDN w:val="0"/>
        <w:spacing w:line="400" w:lineRule="exact"/>
        <w:ind w:right="1414" w:firstLine="480" w:firstLineChars="200"/>
        <w:jc w:val="right"/>
        <w:rPr>
          <w:rFonts w:eastAsiaTheme="minorEastAsia"/>
          <w:kern w:val="0"/>
          <w:sz w:val="24"/>
        </w:rPr>
      </w:pPr>
    </w:p>
    <w:p w14:paraId="6A186F07">
      <w:pPr>
        <w:widowControl/>
        <w:autoSpaceDE w:val="0"/>
        <w:autoSpaceDN w:val="0"/>
        <w:spacing w:line="400" w:lineRule="exact"/>
        <w:ind w:right="1414" w:firstLine="480" w:firstLineChars="200"/>
        <w:jc w:val="right"/>
        <w:rPr>
          <w:rFonts w:eastAsiaTheme="minorEastAsia"/>
          <w:kern w:val="0"/>
          <w:sz w:val="24"/>
        </w:rPr>
      </w:pPr>
    </w:p>
    <w:p w14:paraId="65D61B32">
      <w:pPr>
        <w:jc w:val="center"/>
        <w:rPr>
          <w:rFonts w:ascii="黑体" w:eastAsia="黑体"/>
          <w:sz w:val="24"/>
          <w:szCs w:val="20"/>
        </w:rPr>
      </w:pPr>
      <w:r>
        <w:rPr>
          <w:rFonts w:hint="eastAsia" w:ascii="黑体" w:eastAsia="黑体"/>
          <w:sz w:val="24"/>
          <w:szCs w:val="20"/>
        </w:rPr>
        <w:t>（二）订单融资情况</w:t>
      </w:r>
    </w:p>
    <w:p w14:paraId="1B1D8AD3">
      <w:pPr>
        <w:ind w:firstLine="422" w:firstLineChars="200"/>
        <w:rPr>
          <w:rFonts w:hint="eastAsia" w:ascii="宋体" w:hAnsi="宋体" w:cs="宋体"/>
          <w:b/>
          <w:bCs/>
        </w:rPr>
      </w:pPr>
      <w:r>
        <w:rPr>
          <w:rFonts w:hint="eastAsia" w:ascii="宋体" w:hAnsi="宋体" w:cs="宋体"/>
          <w:b/>
          <w:bCs/>
        </w:rPr>
        <w:t>1、关于政府采购订单融资政策</w:t>
      </w:r>
    </w:p>
    <w:p w14:paraId="2C42F023">
      <w:pPr>
        <w:ind w:firstLine="420" w:firstLineChars="200"/>
        <w:rPr>
          <w:bCs/>
          <w:szCs w:val="21"/>
        </w:rPr>
      </w:pPr>
      <w:r>
        <w:rPr>
          <w:rFonts w:hint="eastAsia"/>
          <w:bCs/>
          <w:szCs w:val="21"/>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28589C1C">
      <w:pPr>
        <w:ind w:firstLine="422" w:firstLineChars="200"/>
        <w:jc w:val="left"/>
        <w:rPr>
          <w:rFonts w:hint="eastAsia" w:ascii="宋体" w:hAnsi="宋体" w:cs="宋体"/>
          <w:b/>
          <w:bCs/>
        </w:rPr>
      </w:pPr>
      <w:r>
        <w:rPr>
          <w:rFonts w:hint="eastAsia" w:ascii="宋体" w:hAnsi="宋体" w:cs="宋体"/>
          <w:b/>
          <w:bCs/>
        </w:rPr>
        <w:t>2、供应商账户信息</w:t>
      </w:r>
    </w:p>
    <w:p w14:paraId="16D9C06C">
      <w:pPr>
        <w:jc w:val="left"/>
        <w:rPr>
          <w:szCs w:val="21"/>
        </w:rPr>
      </w:pPr>
      <w:r>
        <w:rPr>
          <w:rFonts w:hint="eastAsia"/>
          <w:szCs w:val="21"/>
        </w:rPr>
        <w:t>投标人（单位全称）：</w:t>
      </w:r>
      <w:r>
        <w:rPr>
          <w:rFonts w:hint="eastAsia"/>
          <w:szCs w:val="21"/>
          <w:u w:val="thick"/>
        </w:rPr>
        <w:t xml:space="preserve">                                                          </w:t>
      </w:r>
      <w:r>
        <w:rPr>
          <w:rFonts w:hint="eastAsia"/>
          <w:szCs w:val="21"/>
        </w:rPr>
        <w:t xml:space="preserve">；  </w:t>
      </w:r>
    </w:p>
    <w:p w14:paraId="7728B574">
      <w:pPr>
        <w:jc w:val="left"/>
        <w:rPr>
          <w:szCs w:val="21"/>
        </w:rPr>
      </w:pPr>
      <w:r>
        <w:rPr>
          <w:rFonts w:hint="eastAsia"/>
          <w:szCs w:val="21"/>
        </w:rPr>
        <w:t>投标人单位地址：</w:t>
      </w:r>
      <w:r>
        <w:rPr>
          <w:rFonts w:hint="eastAsia"/>
          <w:szCs w:val="21"/>
          <w:u w:val="thick"/>
        </w:rPr>
        <w:t xml:space="preserve">                                          </w:t>
      </w:r>
      <w:r>
        <w:rPr>
          <w:rFonts w:hint="eastAsia"/>
          <w:szCs w:val="21"/>
        </w:rPr>
        <w:t>；</w:t>
      </w:r>
    </w:p>
    <w:p w14:paraId="323CCA3E">
      <w:pPr>
        <w:jc w:val="left"/>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14:paraId="4B3A32C8">
      <w:pPr>
        <w:jc w:val="left"/>
        <w:rPr>
          <w:szCs w:val="21"/>
          <w:u w:val="thick"/>
        </w:rPr>
      </w:pPr>
      <w:r>
        <w:rPr>
          <w:rFonts w:hint="eastAsia"/>
          <w:szCs w:val="21"/>
        </w:rPr>
        <w:t>联系电话：</w:t>
      </w:r>
      <w:r>
        <w:rPr>
          <w:rFonts w:hint="eastAsia"/>
          <w:szCs w:val="21"/>
          <w:u w:val="thick"/>
        </w:rPr>
        <w:t xml:space="preserve">                                 </w:t>
      </w:r>
      <w:r>
        <w:rPr>
          <w:rFonts w:hint="eastAsia"/>
          <w:szCs w:val="21"/>
        </w:rPr>
        <w:t>；</w:t>
      </w:r>
      <w:r>
        <w:rPr>
          <w:rFonts w:hint="eastAsia"/>
          <w:szCs w:val="21"/>
          <w:u w:val="thick"/>
        </w:rPr>
        <w:t xml:space="preserve">               </w:t>
      </w:r>
    </w:p>
    <w:p w14:paraId="43FD9354">
      <w:pPr>
        <w:jc w:val="left"/>
        <w:rPr>
          <w:szCs w:val="21"/>
        </w:rPr>
      </w:pPr>
      <w:r>
        <w:rPr>
          <w:rFonts w:hint="eastAsia"/>
          <w:szCs w:val="21"/>
        </w:rPr>
        <w:t>开户银行名称：</w:t>
      </w:r>
      <w:r>
        <w:rPr>
          <w:rFonts w:hint="eastAsia"/>
          <w:szCs w:val="21"/>
          <w:u w:val="thick"/>
        </w:rPr>
        <w:t xml:space="preserve">                                                           </w:t>
      </w:r>
      <w:r>
        <w:rPr>
          <w:rFonts w:hint="eastAsia"/>
          <w:szCs w:val="21"/>
        </w:rPr>
        <w:t>；</w:t>
      </w:r>
    </w:p>
    <w:p w14:paraId="5271E913">
      <w:pPr>
        <w:jc w:val="left"/>
        <w:rPr>
          <w:szCs w:val="21"/>
          <w:u w:val="thick"/>
        </w:rPr>
      </w:pPr>
      <w:r>
        <w:rPr>
          <w:rFonts w:hint="eastAsia"/>
          <w:szCs w:val="21"/>
        </w:rPr>
        <w:t>开户银行账号：</w:t>
      </w:r>
      <w:r>
        <w:rPr>
          <w:rFonts w:hint="eastAsia"/>
          <w:szCs w:val="21"/>
          <w:u w:val="thick"/>
        </w:rPr>
        <w:t xml:space="preserve">                                                           </w:t>
      </w:r>
      <w:r>
        <w:rPr>
          <w:rFonts w:hint="eastAsia"/>
          <w:szCs w:val="21"/>
        </w:rPr>
        <w:t>；</w:t>
      </w:r>
    </w:p>
    <w:p w14:paraId="41403877">
      <w:pPr>
        <w:jc w:val="left"/>
        <w:rPr>
          <w:szCs w:val="21"/>
        </w:rPr>
      </w:pPr>
      <w:r>
        <w:rPr>
          <w:rFonts w:hint="eastAsia"/>
          <w:szCs w:val="21"/>
        </w:rPr>
        <w:t>开户银行地址：</w:t>
      </w:r>
      <w:r>
        <w:rPr>
          <w:rFonts w:hint="eastAsia"/>
          <w:szCs w:val="21"/>
          <w:u w:val="thick"/>
        </w:rPr>
        <w:t xml:space="preserve">                                                            </w:t>
      </w:r>
      <w:r>
        <w:rPr>
          <w:rFonts w:hint="eastAsia"/>
          <w:szCs w:val="21"/>
        </w:rPr>
        <w:t>。</w:t>
      </w:r>
    </w:p>
    <w:p w14:paraId="20D8813C">
      <w:pPr>
        <w:ind w:left="420" w:leftChars="200" w:firstLine="210" w:firstLineChars="100"/>
        <w:rPr>
          <w:szCs w:val="21"/>
        </w:rPr>
      </w:pPr>
      <w:r>
        <w:rPr>
          <w:rFonts w:hint="eastAsia"/>
          <w:szCs w:val="21"/>
        </w:rPr>
        <w:t xml:space="preserve"> </w:t>
      </w:r>
      <w:r>
        <w:rPr>
          <w:rFonts w:hint="eastAsia" w:ascii="宋体" w:hAnsi="宋体" w:eastAsiaTheme="minorEastAsia"/>
          <w:b/>
          <w:bCs/>
          <w:color w:val="FF0000"/>
          <w:spacing w:val="-4"/>
          <w:kern w:val="0"/>
          <w:szCs w:val="21"/>
        </w:rPr>
        <w:t>注：本项填写内容作为订单融资开展的参考信息，不作为供应商资格性审查及符合性审查条件。</w:t>
      </w:r>
    </w:p>
    <w:p w14:paraId="2009E54F">
      <w:pPr>
        <w:widowControl/>
        <w:tabs>
          <w:tab w:val="left" w:pos="8200"/>
        </w:tabs>
        <w:autoSpaceDE w:val="0"/>
        <w:autoSpaceDN w:val="0"/>
        <w:spacing w:line="400" w:lineRule="exact"/>
        <w:ind w:right="1414" w:firstLine="406" w:firstLineChars="200"/>
        <w:rPr>
          <w:rFonts w:hint="eastAsia" w:ascii="宋体" w:hAnsi="宋体" w:eastAsiaTheme="minorEastAsia"/>
          <w:b/>
          <w:bCs/>
          <w:color w:val="FF0000"/>
          <w:spacing w:val="-4"/>
          <w:kern w:val="0"/>
          <w:szCs w:val="21"/>
        </w:rPr>
      </w:pPr>
    </w:p>
    <w:p w14:paraId="5198447B">
      <w:pPr>
        <w:widowControl/>
        <w:jc w:val="center"/>
        <w:rPr>
          <w:rFonts w:hint="eastAsia"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14:paraId="3CE581AA">
      <w:pPr>
        <w:jc w:val="center"/>
        <w:rPr>
          <w:rFonts w:hint="eastAsia" w:ascii="黑体" w:hAnsi="宋体" w:eastAsia="黑体"/>
          <w:bCs/>
          <w:kern w:val="0"/>
          <w:sz w:val="24"/>
        </w:rPr>
      </w:pPr>
    </w:p>
    <w:p w14:paraId="32A03537">
      <w:pPr>
        <w:jc w:val="center"/>
        <w:rPr>
          <w:rFonts w:hint="eastAsia"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60B2FE00"/>
    <w:p w14:paraId="246C1747">
      <w:pPr>
        <w:pStyle w:val="8"/>
        <w:rPr>
          <w:rFonts w:hint="eastAsia"/>
        </w:rPr>
      </w:pPr>
      <w:r>
        <w:rPr>
          <w:rFonts w:hint="eastAsia"/>
        </w:rPr>
        <w:t>第五章  合同条款及格式</w:t>
      </w:r>
    </w:p>
    <w:p w14:paraId="5313006E"/>
    <w:p w14:paraId="188DE078">
      <w:pPr>
        <w:jc w:val="center"/>
        <w:outlineLvl w:val="0"/>
      </w:pPr>
      <w:bookmarkStart w:id="84" w:name="_Toc3995"/>
      <w:r>
        <w:rPr>
          <w:rFonts w:hint="eastAsia"/>
          <w:b/>
          <w:sz w:val="24"/>
        </w:rPr>
        <w:t>（仅供参考，具体以项目需求及采购结果为准）</w:t>
      </w:r>
    </w:p>
    <w:bookmarkEnd w:id="84"/>
    <w:p w14:paraId="1E3B0B4F">
      <w:pPr>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政府采购货物买卖合同</w:t>
      </w:r>
    </w:p>
    <w:p w14:paraId="1DF65E26">
      <w:pPr>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（试行）</w:t>
      </w:r>
    </w:p>
    <w:p w14:paraId="5280BD36">
      <w:pPr>
        <w:rPr>
          <w:rFonts w:hint="eastAsia" w:ascii="宋体" w:hAnsi="宋体" w:cs="宋体"/>
          <w:b/>
          <w:bCs/>
          <w:spacing w:val="-20"/>
          <w:kern w:val="44"/>
          <w:sz w:val="40"/>
          <w:szCs w:val="40"/>
        </w:rPr>
      </w:pPr>
    </w:p>
    <w:p w14:paraId="57186875">
      <w:pPr>
        <w:rPr>
          <w:rFonts w:hint="eastAsia" w:ascii="宋体" w:hAnsi="宋体" w:cs="宋体"/>
          <w:b/>
          <w:bCs/>
          <w:spacing w:val="-20"/>
          <w:kern w:val="44"/>
          <w:sz w:val="40"/>
          <w:szCs w:val="40"/>
        </w:rPr>
      </w:pPr>
    </w:p>
    <w:p w14:paraId="634A9D42">
      <w:pPr>
        <w:rPr>
          <w:rFonts w:hint="eastAsia" w:ascii="宋体" w:hAnsi="宋体" w:cs="宋体"/>
          <w:b/>
          <w:bCs/>
          <w:spacing w:val="-20"/>
          <w:kern w:val="44"/>
          <w:sz w:val="40"/>
          <w:szCs w:val="40"/>
        </w:rPr>
      </w:pPr>
    </w:p>
    <w:p w14:paraId="49E31D6E">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0E9F1475">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2780A34B">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22B560B2">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4D59258C">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7B91F471"/>
    <w:p w14:paraId="26E49614">
      <w:pPr>
        <w:rPr>
          <w:rFonts w:eastAsia="黑体"/>
          <w:sz w:val="44"/>
          <w:szCs w:val="44"/>
        </w:rPr>
      </w:pPr>
      <w:r>
        <w:rPr>
          <w:rFonts w:eastAsia="黑体"/>
          <w:sz w:val="44"/>
          <w:szCs w:val="44"/>
        </w:rPr>
        <w:br w:type="page"/>
      </w:r>
    </w:p>
    <w:p w14:paraId="543838B3">
      <w:pPr>
        <w:rPr>
          <w:rFonts w:eastAsia="黑体"/>
          <w:sz w:val="44"/>
          <w:szCs w:val="44"/>
        </w:rPr>
      </w:pPr>
    </w:p>
    <w:p w14:paraId="14F15BE2">
      <w:pPr>
        <w:rPr>
          <w:rFonts w:eastAsia="黑体"/>
          <w:sz w:val="44"/>
          <w:szCs w:val="44"/>
        </w:rPr>
      </w:pPr>
    </w:p>
    <w:p w14:paraId="07AEA2EB">
      <w:pPr>
        <w:jc w:val="center"/>
        <w:rPr>
          <w:rFonts w:eastAsia="黑体"/>
          <w:sz w:val="44"/>
          <w:szCs w:val="44"/>
        </w:rPr>
      </w:pPr>
      <w:r>
        <w:rPr>
          <w:rFonts w:hint="eastAsia" w:eastAsia="黑体"/>
          <w:sz w:val="44"/>
          <w:szCs w:val="44"/>
        </w:rPr>
        <w:t>使 用 说 明</w:t>
      </w:r>
    </w:p>
    <w:p w14:paraId="15E1A529">
      <w:pPr>
        <w:ind w:firstLine="640" w:firstLineChars="200"/>
        <w:rPr>
          <w:rFonts w:hint="eastAsia" w:ascii="仿宋_GB2312" w:hAnsi="仿宋_GB2312" w:eastAsia="仿宋_GB2312" w:cs="仿宋_GB2312"/>
          <w:sz w:val="32"/>
          <w:szCs w:val="32"/>
        </w:rPr>
      </w:pPr>
    </w:p>
    <w:p w14:paraId="6C975BB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14:paraId="1F727C4E">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14:paraId="1148804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14:paraId="0648BDDE">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p w14:paraId="687ED138">
      <w:pPr>
        <w:keepNext/>
        <w:keepLines/>
        <w:adjustRightInd w:val="0"/>
        <w:snapToGrid w:val="0"/>
        <w:spacing w:line="400" w:lineRule="exact"/>
        <w:jc w:val="center"/>
        <w:outlineLvl w:val="1"/>
        <w:rPr>
          <w:rFonts w:hint="eastAsia" w:ascii="黑体" w:hAnsi="黑体" w:eastAsia="黑体"/>
          <w:b/>
          <w:bCs/>
          <w:sz w:val="28"/>
          <w:szCs w:val="28"/>
        </w:rPr>
      </w:pPr>
      <w:bookmarkStart w:id="85" w:name="_Toc22209"/>
    </w:p>
    <w:p w14:paraId="7C42D16D">
      <w:pPr>
        <w:keepNext/>
        <w:keepLines/>
        <w:adjustRightInd w:val="0"/>
        <w:snapToGrid w:val="0"/>
        <w:spacing w:line="400" w:lineRule="exact"/>
        <w:jc w:val="center"/>
        <w:outlineLvl w:val="1"/>
        <w:rPr>
          <w:rFonts w:hint="eastAsia" w:ascii="黑体" w:hAnsi="华文中宋" w:eastAsia="黑体"/>
          <w:sz w:val="28"/>
          <w:szCs w:val="28"/>
        </w:rPr>
      </w:pPr>
      <w:r>
        <w:rPr>
          <w:rFonts w:hint="eastAsia" w:ascii="黑体" w:hAnsi="黑体" w:eastAsia="黑体"/>
          <w:sz w:val="28"/>
          <w:szCs w:val="28"/>
        </w:rPr>
        <w:t xml:space="preserve">第一节 </w:t>
      </w:r>
      <w:r>
        <w:rPr>
          <w:rFonts w:hint="eastAsia" w:ascii="黑体" w:hAnsi="华文中宋" w:eastAsia="黑体"/>
          <w:sz w:val="28"/>
          <w:szCs w:val="28"/>
        </w:rPr>
        <w:t>政府采购合同协议书</w:t>
      </w:r>
      <w:bookmarkEnd w:id="85"/>
    </w:p>
    <w:p w14:paraId="12C3DAD0">
      <w:pPr>
        <w:keepNext/>
        <w:keepLines/>
        <w:adjustRightInd w:val="0"/>
        <w:snapToGrid w:val="0"/>
        <w:spacing w:line="400" w:lineRule="exact"/>
        <w:jc w:val="center"/>
        <w:outlineLvl w:val="1"/>
        <w:rPr>
          <w:rFonts w:hint="eastAsia" w:ascii="黑体" w:hAnsi="华文中宋" w:eastAsia="黑体"/>
          <w:sz w:val="28"/>
          <w:szCs w:val="28"/>
        </w:rPr>
      </w:pPr>
    </w:p>
    <w:p w14:paraId="414B22F9">
      <w:pPr>
        <w:adjustRightInd w:val="0"/>
        <w:snapToGrid w:val="0"/>
        <w:spacing w:line="400" w:lineRule="exact"/>
        <w:rPr>
          <w:rFonts w:hint="eastAsia"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w:t>
      </w:r>
      <w:r>
        <w:rPr>
          <w:rFonts w:hint="eastAsia" w:ascii="宋体" w:hAnsi="宋体"/>
          <w:szCs w:val="21"/>
        </w:rPr>
        <w:tab/>
      </w:r>
      <w:r>
        <w:rPr>
          <w:rFonts w:hint="eastAsia" w:ascii="宋体" w:hAnsi="宋体"/>
          <w:szCs w:val="21"/>
        </w:rPr>
        <w:t xml:space="preserve">                                   文件约定的合同甲方）</w:t>
      </w:r>
    </w:p>
    <w:p w14:paraId="18AE5418">
      <w:pPr>
        <w:adjustRightInd w:val="0"/>
        <w:snapToGrid w:val="0"/>
        <w:spacing w:line="400" w:lineRule="exact"/>
        <w:rPr>
          <w:rFonts w:hint="eastAsia"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14:paraId="24CBB8B0">
      <w:pPr>
        <w:adjustRightInd w:val="0"/>
        <w:snapToGrid w:val="0"/>
        <w:spacing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40B2C607">
      <w:pPr>
        <w:adjustRightInd w:val="0"/>
        <w:snapToGrid w:val="0"/>
        <w:spacing w:line="400" w:lineRule="exact"/>
        <w:rPr>
          <w:rFonts w:hint="eastAsia"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7B610F15">
      <w:pPr>
        <w:spacing w:line="400" w:lineRule="exact"/>
      </w:pPr>
    </w:p>
    <w:p w14:paraId="3B3E7E64">
      <w:pPr>
        <w:adjustRightInd w:val="0"/>
        <w:snapToGrid w:val="0"/>
        <w:spacing w:line="400" w:lineRule="exact"/>
        <w:ind w:firstLine="420" w:firstLineChars="200"/>
        <w:rPr>
          <w:rFonts w:hint="eastAsia" w:ascii="宋体" w:hAnsi="宋体"/>
          <w:szCs w:val="21"/>
        </w:rPr>
      </w:pPr>
      <w:r>
        <w:rPr>
          <w:rFonts w:hint="eastAsia" w:ascii="宋体" w:hAnsi="宋体"/>
          <w:szCs w:val="21"/>
        </w:rPr>
        <w:t xml:space="preserve">依据《中华人民共和国民法典》《中华人民共和国政府采购法》《深圳经济特区政府采购条例》等有关的法律法规，以及本采购项目的招标文件等采购文件、乙方的《投标（响应）文件》及《中标（成交）通知书》，甲乙双方同意签订本合同。具体情况及要求如下：     </w:t>
      </w:r>
    </w:p>
    <w:p w14:paraId="65125AA0">
      <w:pPr>
        <w:numPr>
          <w:ilvl w:val="0"/>
          <w:numId w:val="3"/>
        </w:numPr>
        <w:adjustRightInd w:val="0"/>
        <w:snapToGrid w:val="0"/>
        <w:spacing w:line="400" w:lineRule="exact"/>
        <w:ind w:firstLine="422" w:firstLineChars="200"/>
        <w:rPr>
          <w:rFonts w:hint="eastAsia" w:ascii="宋体" w:hAnsi="宋体"/>
          <w:b/>
          <w:szCs w:val="21"/>
        </w:rPr>
      </w:pPr>
      <w:r>
        <w:rPr>
          <w:rFonts w:hint="eastAsia" w:ascii="宋体" w:hAnsi="宋体"/>
          <w:b/>
          <w:szCs w:val="21"/>
        </w:rPr>
        <w:t>项目信息</w:t>
      </w:r>
    </w:p>
    <w:p w14:paraId="04C6CED8">
      <w:pPr>
        <w:numPr>
          <w:ilvl w:val="0"/>
          <w:numId w:val="4"/>
        </w:numPr>
        <w:adjustRightInd w:val="0"/>
        <w:snapToGrid w:val="0"/>
        <w:spacing w:line="400" w:lineRule="exact"/>
        <w:ind w:firstLine="420" w:firstLineChars="200"/>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p>
    <w:p w14:paraId="5A1B3970">
      <w:pPr>
        <w:numPr>
          <w:ilvl w:val="255"/>
          <w:numId w:val="0"/>
        </w:numPr>
        <w:tabs>
          <w:tab w:val="left" w:pos="999"/>
        </w:tabs>
        <w:adjustRightInd w:val="0"/>
        <w:snapToGrid w:val="0"/>
        <w:spacing w:line="400" w:lineRule="exact"/>
        <w:rPr>
          <w:rFonts w:hint="eastAsia" w:ascii="宋体" w:hAnsi="宋体"/>
          <w:szCs w:val="21"/>
        </w:rPr>
      </w:pPr>
      <w:r>
        <w:rPr>
          <w:rFonts w:hint="eastAsia" w:ascii="宋体" w:hAnsi="宋体"/>
          <w:szCs w:val="21"/>
        </w:rPr>
        <w:t xml:space="preserve">         采购项目编号：</w:t>
      </w:r>
      <w:r>
        <w:rPr>
          <w:rFonts w:ascii="宋体" w:hAnsi="宋体"/>
          <w:szCs w:val="21"/>
          <w:u w:val="single"/>
        </w:rPr>
        <w:t xml:space="preserve">                                          </w:t>
      </w:r>
    </w:p>
    <w:p w14:paraId="23578390">
      <w:pPr>
        <w:adjustRightInd w:val="0"/>
        <w:snapToGrid w:val="0"/>
        <w:spacing w:line="400" w:lineRule="exact"/>
        <w:ind w:firstLine="420" w:firstLineChars="200"/>
        <w:rPr>
          <w:rFonts w:hint="eastAsia"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12F5F959">
      <w:pPr>
        <w:adjustRightInd w:val="0"/>
        <w:snapToGrid w:val="0"/>
        <w:spacing w:line="400" w:lineRule="exact"/>
        <w:ind w:firstLine="420" w:firstLineChars="200"/>
        <w:rPr>
          <w:rFonts w:hint="eastAsia" w:ascii="宋体" w:hAnsi="宋体"/>
          <w:szCs w:val="21"/>
        </w:rPr>
      </w:pPr>
      <w:r>
        <w:rPr>
          <w:rFonts w:hint="eastAsia" w:ascii="宋体" w:hAnsi="宋体"/>
          <w:szCs w:val="21"/>
        </w:rPr>
        <w:t>（3）项目内容：</w:t>
      </w:r>
    </w:p>
    <w:p w14:paraId="092F6A64">
      <w:pPr>
        <w:adjustRightInd w:val="0"/>
        <w:snapToGrid w:val="0"/>
        <w:spacing w:line="400" w:lineRule="exact"/>
        <w:ind w:firstLine="420" w:firstLineChars="200"/>
        <w:rPr>
          <w:rFonts w:hint="eastAsia" w:ascii="宋体" w:hAnsi="宋体"/>
          <w:szCs w:val="21"/>
        </w:rPr>
      </w:pPr>
      <w:r>
        <w:rPr>
          <w:rFonts w:hint="eastAsia" w:ascii="宋体" w:hAnsi="宋体"/>
          <w:szCs w:val="21"/>
        </w:rPr>
        <w:t xml:space="preserve">     采购标的及数量（台/套</w:t>
      </w:r>
      <w:r>
        <w:rPr>
          <w:rFonts w:ascii="宋体" w:hAnsi="宋体"/>
          <w:szCs w:val="21"/>
        </w:rPr>
        <w:t>/</w:t>
      </w:r>
      <w:r>
        <w:rPr>
          <w:rFonts w:hint="eastAsia" w:ascii="宋体" w:hAnsi="宋体"/>
          <w:szCs w:val="21"/>
        </w:rPr>
        <w:t>个</w:t>
      </w:r>
      <w:r>
        <w:rPr>
          <w:rFonts w:ascii="宋体" w:hAnsi="宋体"/>
          <w:szCs w:val="21"/>
        </w:rPr>
        <w:t>/</w:t>
      </w:r>
      <w:r>
        <w:rPr>
          <w:rFonts w:hint="eastAsia" w:ascii="宋体" w:hAnsi="宋体"/>
          <w:szCs w:val="21"/>
        </w:rPr>
        <w:t>架</w:t>
      </w:r>
      <w:r>
        <w:rPr>
          <w:rFonts w:ascii="宋体" w:hAnsi="宋体"/>
          <w:szCs w:val="21"/>
        </w:rPr>
        <w:t>/</w:t>
      </w:r>
      <w:r>
        <w:rPr>
          <w:rFonts w:hint="eastAsia" w:ascii="宋体" w:hAnsi="宋体"/>
          <w:szCs w:val="21"/>
        </w:rPr>
        <w:t>组等）：</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p w14:paraId="3923F509">
      <w:pPr>
        <w:numPr>
          <w:ilvl w:val="255"/>
          <w:numId w:val="0"/>
        </w:numPr>
        <w:adjustRightInd w:val="0"/>
        <w:snapToGrid w:val="0"/>
        <w:spacing w:line="400" w:lineRule="exact"/>
        <w:ind w:firstLine="420" w:firstLineChars="200"/>
        <w:rPr>
          <w:rFonts w:hint="eastAsia" w:ascii="宋体" w:hAnsi="宋体" w:cs="宋体"/>
          <w:szCs w:val="21"/>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p>
    <w:p w14:paraId="471FF073">
      <w:pPr>
        <w:adjustRightInd w:val="0"/>
        <w:snapToGrid w:val="0"/>
        <w:spacing w:line="400" w:lineRule="exact"/>
        <w:ind w:firstLine="945" w:firstLineChars="450"/>
        <w:rPr>
          <w:rFonts w:hint="eastAsia" w:ascii="宋体" w:hAnsi="宋体"/>
          <w:szCs w:val="21"/>
          <w:u w:val="single"/>
        </w:rPr>
      </w:pPr>
      <w:r>
        <w:rPr>
          <w:rFonts w:hint="eastAsia" w:ascii="宋体" w:hAnsi="宋体"/>
          <w:szCs w:val="21"/>
        </w:rPr>
        <w:t>采购标的的技术要求、商务要求具体见附件。</w:t>
      </w:r>
    </w:p>
    <w:p w14:paraId="0617C0DE">
      <w:pPr>
        <w:numPr>
          <w:ilvl w:val="255"/>
          <w:numId w:val="0"/>
        </w:numPr>
        <w:adjustRightInd w:val="0"/>
        <w:snapToGrid w:val="0"/>
        <w:spacing w:line="400" w:lineRule="exact"/>
        <w:ind w:firstLine="945" w:firstLineChars="450"/>
        <w:rPr>
          <w:rFonts w:hint="eastAsia"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14:paraId="38C841F2">
      <w:pPr>
        <w:numPr>
          <w:ilvl w:val="255"/>
          <w:numId w:val="0"/>
        </w:numPr>
        <w:adjustRightInd w:val="0"/>
        <w:snapToGrid w:val="0"/>
        <w:spacing w:line="400" w:lineRule="exact"/>
        <w:ind w:firstLine="420" w:firstLineChars="200"/>
        <w:rPr>
          <w:rFonts w:hint="eastAsia" w:ascii="宋体" w:hAnsi="宋体" w:cs="宋体"/>
          <w:kern w:val="0"/>
          <w:szCs w:val="21"/>
          <w:u w:val="single"/>
        </w:rPr>
      </w:pPr>
      <w:r>
        <w:rPr>
          <w:rFonts w:hint="eastAsia" w:ascii="宋体" w:hAnsi="宋体" w:cs="宋体"/>
          <w:szCs w:val="21"/>
        </w:rPr>
        <w:t xml:space="preserve">     标的名称：</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p>
    <w:p w14:paraId="17779990">
      <w:pPr>
        <w:numPr>
          <w:ilvl w:val="255"/>
          <w:numId w:val="0"/>
        </w:num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 xml:space="preserve">     关键部件：</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17621D9E">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 xml:space="preserve">     关键部件：</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13214446">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 xml:space="preserve">     关键部件：</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p>
    <w:p w14:paraId="71869FFD">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14:paraId="1D239336">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w:t>
      </w:r>
      <w:r>
        <w:rPr>
          <w:rFonts w:hint="eastAsia" w:ascii="汉仪书宋二S" w:hAnsi="汉仪书宋二S" w:eastAsia="汉仪书宋二S" w:cs="汉仪书宋二S"/>
          <w:szCs w:val="21"/>
        </w:rPr>
        <w:t>②</w:t>
      </w:r>
      <w:r>
        <w:rPr>
          <w:rFonts w:hint="eastAsia" w:ascii="宋体" w:hAnsi="宋体" w:cs="宋体"/>
          <w:szCs w:val="21"/>
        </w:rPr>
        <w:t>涉及车辆采购，请填写是否属于新能源汽车：</w:t>
      </w:r>
    </w:p>
    <w:p w14:paraId="3759D7AF">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w:t>
      </w:r>
      <w:r>
        <w:rPr>
          <w:rFonts w:ascii="Wingdings" w:hAnsi="Wingdings" w:cs="宋体"/>
          <w:szCs w:val="21"/>
        </w:rPr>
        <w:t></w:t>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数量：</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r>
        <w:rPr>
          <w:rFonts w:hint="eastAsia" w:ascii="宋体" w:hAnsi="宋体" w:cs="宋体"/>
          <w:szCs w:val="21"/>
        </w:rPr>
        <w:t xml:space="preserve"> </w:t>
      </w:r>
    </w:p>
    <w:p w14:paraId="4DED3914">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w:t>
      </w:r>
      <w:r>
        <w:rPr>
          <w:rFonts w:ascii="Wingdings" w:hAnsi="Wingdings" w:cs="宋体"/>
          <w:szCs w:val="21"/>
        </w:rPr>
        <w:t></w:t>
      </w:r>
      <w:r>
        <w:rPr>
          <w:rFonts w:hint="eastAsia" w:ascii="宋体" w:hAnsi="宋体" w:cs="宋体"/>
          <w:szCs w:val="21"/>
        </w:rPr>
        <w:t>否</w:t>
      </w:r>
    </w:p>
    <w:p w14:paraId="68171D3A">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w:t>
      </w:r>
      <w:r>
        <w:rPr>
          <w:rFonts w:ascii="宋体" w:hAnsi="宋体" w:cs="宋体"/>
          <w:szCs w:val="21"/>
        </w:rPr>
        <w:t>4</w:t>
      </w:r>
      <w:r>
        <w:rPr>
          <w:rFonts w:hint="eastAsia" w:ascii="宋体" w:hAnsi="宋体" w:cs="宋体"/>
          <w:szCs w:val="21"/>
        </w:rPr>
        <w:t>）政府采购组织形式：</w:t>
      </w:r>
      <w:r>
        <w:rPr>
          <w:rFonts w:ascii="Wingdings" w:hAnsi="Wingdings" w:cs="宋体"/>
          <w:szCs w:val="21"/>
        </w:rPr>
        <w:t></w:t>
      </w:r>
      <w:r>
        <w:rPr>
          <w:rFonts w:hint="eastAsia" w:ascii="宋体" w:hAnsi="宋体" w:cs="宋体"/>
          <w:szCs w:val="21"/>
        </w:rPr>
        <w:t xml:space="preserve">集中采购    </w:t>
      </w:r>
      <w:r>
        <w:rPr>
          <w:rFonts w:ascii="Wingdings" w:hAnsi="Wingdings" w:cs="宋体"/>
          <w:szCs w:val="21"/>
        </w:rPr>
        <w:t></w:t>
      </w:r>
      <w:r>
        <w:rPr>
          <w:rFonts w:hint="eastAsia" w:ascii="宋体" w:hAnsi="宋体" w:cs="宋体"/>
          <w:szCs w:val="21"/>
        </w:rPr>
        <w:t>自行采购</w:t>
      </w:r>
    </w:p>
    <w:p w14:paraId="62F2DA17">
      <w:pPr>
        <w:numPr>
          <w:ilvl w:val="255"/>
          <w:numId w:val="0"/>
        </w:numPr>
        <w:autoSpaceDE w:val="0"/>
        <w:autoSpaceDN w:val="0"/>
        <w:adjustRightInd w:val="0"/>
        <w:snapToGrid w:val="0"/>
        <w:spacing w:line="400" w:lineRule="exact"/>
        <w:ind w:left="210" w:leftChars="100" w:firstLine="210" w:firstLineChars="100"/>
        <w:rPr>
          <w:rFonts w:hint="eastAsia" w:ascii="宋体" w:hAnsi="宋体" w:cs="宋体"/>
          <w:szCs w:val="21"/>
          <w:u w:val="single"/>
        </w:rPr>
      </w:pPr>
      <w:r>
        <w:rPr>
          <w:rFonts w:hint="eastAsia" w:ascii="宋体" w:hAnsi="宋体" w:cs="宋体"/>
          <w:szCs w:val="21"/>
        </w:rPr>
        <w:t>（</w:t>
      </w:r>
      <w:r>
        <w:rPr>
          <w:rFonts w:ascii="宋体" w:hAnsi="宋体" w:cs="宋体"/>
          <w:szCs w:val="21"/>
        </w:rPr>
        <w:t>5</w:t>
      </w:r>
      <w:r>
        <w:rPr>
          <w:rFonts w:hint="eastAsia" w:ascii="宋体" w:hAnsi="宋体" w:cs="宋体"/>
          <w:szCs w:val="21"/>
        </w:rPr>
        <w:t>）政府采购方式：</w:t>
      </w:r>
      <w:r>
        <w:rPr>
          <w:rFonts w:ascii="Wingdings" w:hAnsi="Wingdings" w:cs="宋体"/>
          <w:szCs w:val="21"/>
        </w:rPr>
        <w:t></w:t>
      </w:r>
      <w:r>
        <w:rPr>
          <w:rFonts w:hint="eastAsia" w:ascii="宋体" w:hAnsi="宋体" w:cs="宋体"/>
          <w:szCs w:val="21"/>
        </w:rPr>
        <w:t xml:space="preserve">公开招标  </w:t>
      </w:r>
      <w:r>
        <w:rPr>
          <w:rFonts w:ascii="Wingdings" w:hAnsi="Wingdings" w:cs="宋体"/>
          <w:szCs w:val="21"/>
        </w:rPr>
        <w:t></w:t>
      </w:r>
      <w:r>
        <w:rPr>
          <w:rFonts w:hint="eastAsia" w:ascii="宋体" w:hAnsi="宋体" w:cs="宋体"/>
          <w:szCs w:val="21"/>
        </w:rPr>
        <w:t>竞争性谈判</w:t>
      </w:r>
      <w:r>
        <w:rPr>
          <w:rFonts w:hint="eastAsia" w:ascii="宋体" w:hAnsi="宋体" w:eastAsia="华文楷体" w:cs="宋体"/>
          <w:sz w:val="22"/>
          <w:szCs w:val="21"/>
        </w:rPr>
        <w:t xml:space="preserve">  </w:t>
      </w:r>
      <w:r>
        <w:rPr>
          <w:rFonts w:ascii="Wingdings" w:hAnsi="Wingdings" w:cs="宋体"/>
          <w:szCs w:val="21"/>
        </w:rPr>
        <w:t></w:t>
      </w:r>
      <w:r>
        <w:rPr>
          <w:rFonts w:hint="eastAsia" w:ascii="宋体" w:hAnsi="宋体" w:cs="宋体"/>
          <w:szCs w:val="21"/>
        </w:rPr>
        <w:t xml:space="preserve">单一来源  </w:t>
      </w:r>
      <w:r>
        <w:rPr>
          <w:rFonts w:ascii="Wingdings" w:hAnsi="Wingdings" w:cs="宋体"/>
          <w:szCs w:val="21"/>
        </w:rPr>
        <w:t></w:t>
      </w:r>
      <w:r>
        <w:rPr>
          <w:rFonts w:hint="eastAsia" w:ascii="宋体" w:hAnsi="宋体" w:cs="宋体"/>
          <w:szCs w:val="21"/>
        </w:rPr>
        <w:t xml:space="preserve">竞价  </w:t>
      </w:r>
      <w:r>
        <w:rPr>
          <w:rFonts w:ascii="Wingdings" w:hAnsi="Wingdings" w:cs="宋体"/>
          <w:szCs w:val="21"/>
        </w:rPr>
        <w:t></w:t>
      </w:r>
      <w:r>
        <w:rPr>
          <w:rFonts w:hint="eastAsia" w:ascii="宋体" w:hAnsi="宋体" w:cs="宋体"/>
          <w:szCs w:val="21"/>
        </w:rPr>
        <w:t xml:space="preserve">框架协议 </w:t>
      </w:r>
      <w:r>
        <w:rPr>
          <w:rFonts w:ascii="Wingdings" w:hAnsi="Wingdings" w:cs="宋体"/>
          <w:szCs w:val="21"/>
        </w:rPr>
        <w:t></w:t>
      </w:r>
      <w:r>
        <w:rPr>
          <w:rFonts w:hint="eastAsia" w:ascii="宋体" w:hAnsi="宋体" w:cs="宋体"/>
          <w:szCs w:val="21"/>
        </w:rPr>
        <w:t>其他：</w:t>
      </w:r>
      <w:r>
        <w:rPr>
          <w:rFonts w:hint="eastAsia" w:ascii="宋体" w:hAnsi="宋体" w:cs="宋体"/>
          <w:szCs w:val="21"/>
          <w:u w:val="single"/>
        </w:rPr>
        <w:t xml:space="preserve">          </w:t>
      </w:r>
    </w:p>
    <w:p w14:paraId="096F1B52">
      <w:pPr>
        <w:numPr>
          <w:ilvl w:val="255"/>
          <w:numId w:val="0"/>
        </w:numPr>
        <w:autoSpaceDE w:val="0"/>
        <w:autoSpaceDN w:val="0"/>
        <w:adjustRightInd w:val="0"/>
        <w:snapToGrid w:val="0"/>
        <w:spacing w:line="400" w:lineRule="exact"/>
        <w:ind w:firstLine="420"/>
        <w:rPr>
          <w:rFonts w:hint="eastAsia" w:ascii="宋体" w:hAnsi="宋体" w:cs="宋体"/>
          <w:szCs w:val="21"/>
        </w:rPr>
      </w:pPr>
      <w:r>
        <w:rPr>
          <w:rFonts w:hint="eastAsia" w:ascii="宋体" w:hAnsi="宋体" w:cs="宋体"/>
          <w:szCs w:val="21"/>
        </w:rPr>
        <w:t>（注：在框架协议采购的第二阶段，可选择使用该合同文本）</w:t>
      </w:r>
    </w:p>
    <w:p w14:paraId="16C3E4B2">
      <w:pPr>
        <w:numPr>
          <w:ilvl w:val="255"/>
          <w:numId w:val="0"/>
        </w:numPr>
        <w:autoSpaceDE w:val="0"/>
        <w:autoSpaceDN w:val="0"/>
        <w:adjustRightInd w:val="0"/>
        <w:snapToGrid w:val="0"/>
        <w:spacing w:line="400" w:lineRule="exact"/>
        <w:ind w:firstLine="220" w:firstLineChars="100"/>
        <w:rPr>
          <w:rFonts w:hint="eastAsia" w:ascii="宋体" w:hAnsi="宋体"/>
          <w:szCs w:val="21"/>
        </w:rPr>
      </w:pPr>
      <w:r>
        <w:rPr>
          <w:rFonts w:hint="eastAsia" w:ascii="宋体" w:hAnsi="宋体" w:eastAsia="华文楷体" w:cs="华文楷体"/>
          <w:sz w:val="22"/>
          <w:szCs w:val="21"/>
        </w:rPr>
        <w:t xml:space="preserve"> （</w:t>
      </w:r>
      <w:r>
        <w:rPr>
          <w:rFonts w:ascii="宋体" w:hAnsi="宋体" w:eastAsia="华文楷体" w:cs="华文楷体"/>
          <w:sz w:val="22"/>
          <w:szCs w:val="21"/>
        </w:rPr>
        <w:t>6</w:t>
      </w:r>
      <w:r>
        <w:rPr>
          <w:rFonts w:hint="eastAsia" w:ascii="宋体" w:hAnsi="宋体" w:eastAsia="华文楷体" w:cs="华文楷体"/>
          <w:sz w:val="22"/>
          <w:szCs w:val="21"/>
        </w:rPr>
        <w:t>）</w:t>
      </w:r>
      <w:r>
        <w:rPr>
          <w:rFonts w:hint="eastAsia" w:ascii="宋体" w:hAnsi="宋体"/>
          <w:szCs w:val="21"/>
        </w:rPr>
        <w:t>中标（成交）采购标的制造商是否为中小企业：</w:t>
      </w:r>
      <w:r>
        <w:rPr>
          <w:rFonts w:ascii="Wingdings" w:hAnsi="Wingdings"/>
          <w:szCs w:val="21"/>
        </w:rPr>
        <w:t></w:t>
      </w:r>
      <w:r>
        <w:rPr>
          <w:rFonts w:hint="eastAsia" w:ascii="宋体" w:hAnsi="宋体"/>
          <w:szCs w:val="21"/>
        </w:rPr>
        <w:t xml:space="preserve">是      </w:t>
      </w:r>
      <w:r>
        <w:rPr>
          <w:rFonts w:ascii="Wingdings" w:hAnsi="Wingdings"/>
          <w:szCs w:val="21"/>
        </w:rPr>
        <w:t></w:t>
      </w:r>
      <w:r>
        <w:rPr>
          <w:rFonts w:hint="eastAsia" w:ascii="宋体" w:hAnsi="宋体"/>
          <w:szCs w:val="21"/>
        </w:rPr>
        <w:t>否</w:t>
      </w:r>
    </w:p>
    <w:p w14:paraId="6922EECC">
      <w:pPr>
        <w:numPr>
          <w:ilvl w:val="255"/>
          <w:numId w:val="0"/>
        </w:numPr>
        <w:adjustRightInd w:val="0"/>
        <w:snapToGrid w:val="0"/>
        <w:spacing w:line="400" w:lineRule="exact"/>
        <w:rPr>
          <w:rFonts w:hint="eastAsia" w:ascii="宋体" w:hAnsi="宋体"/>
          <w:iCs/>
          <w:szCs w:val="21"/>
        </w:rPr>
      </w:pPr>
      <w:r>
        <w:rPr>
          <w:rFonts w:hint="eastAsia" w:ascii="宋体" w:hAnsi="宋体"/>
          <w:szCs w:val="21"/>
        </w:rPr>
        <w:t xml:space="preserve">         本合同是否为专门面向中小企业的采购合同（中小企业预留合同）：</w:t>
      </w:r>
      <w:r>
        <w:rPr>
          <w:rFonts w:ascii="Wingdings" w:hAnsi="Wingdings"/>
          <w:iCs/>
          <w:szCs w:val="21"/>
        </w:rPr>
        <w:t></w:t>
      </w:r>
      <w:r>
        <w:rPr>
          <w:rFonts w:hint="eastAsia" w:ascii="宋体" w:hAnsi="宋体"/>
          <w:iCs/>
          <w:szCs w:val="21"/>
        </w:rPr>
        <w:t xml:space="preserve">是    </w:t>
      </w:r>
      <w:r>
        <w:rPr>
          <w:rFonts w:ascii="Wingdings" w:hAnsi="Wingdings"/>
          <w:iCs/>
          <w:szCs w:val="21"/>
        </w:rPr>
        <w:t></w:t>
      </w:r>
      <w:r>
        <w:rPr>
          <w:rFonts w:hint="eastAsia" w:ascii="宋体" w:hAnsi="宋体"/>
          <w:iCs/>
          <w:szCs w:val="21"/>
        </w:rPr>
        <w:t>否</w:t>
      </w:r>
    </w:p>
    <w:p w14:paraId="7FE84CFA">
      <w:pPr>
        <w:numPr>
          <w:ilvl w:val="255"/>
          <w:numId w:val="0"/>
        </w:numPr>
        <w:adjustRightInd w:val="0"/>
        <w:snapToGrid w:val="0"/>
        <w:spacing w:line="400" w:lineRule="exact"/>
        <w:rPr>
          <w:rFonts w:hint="eastAsia" w:ascii="宋体" w:hAnsi="宋体"/>
          <w:iCs/>
          <w:szCs w:val="21"/>
        </w:rPr>
      </w:pPr>
      <w:r>
        <w:rPr>
          <w:rFonts w:hint="eastAsia"/>
        </w:rPr>
        <w:t xml:space="preserve">         若本项目不专门面向中小企业采购，是否给予小微企业评审优惠：</w:t>
      </w:r>
      <w:r>
        <w:rPr>
          <w:rFonts w:ascii="Wingdings" w:hAnsi="Wingdings"/>
          <w:iCs/>
          <w:szCs w:val="21"/>
        </w:rPr>
        <w:t></w:t>
      </w:r>
      <w:r>
        <w:rPr>
          <w:rFonts w:hint="eastAsia" w:ascii="宋体" w:hAnsi="宋体"/>
          <w:iCs/>
          <w:szCs w:val="21"/>
        </w:rPr>
        <w:t xml:space="preserve">是   </w:t>
      </w:r>
      <w:r>
        <w:rPr>
          <w:rFonts w:ascii="Wingdings" w:hAnsi="Wingdings"/>
          <w:iCs/>
          <w:szCs w:val="21"/>
        </w:rPr>
        <w:t></w:t>
      </w:r>
      <w:r>
        <w:rPr>
          <w:rFonts w:hint="eastAsia" w:ascii="宋体" w:hAnsi="宋体"/>
          <w:iCs/>
          <w:szCs w:val="21"/>
        </w:rPr>
        <w:t>否</w:t>
      </w:r>
    </w:p>
    <w:p w14:paraId="75F06D92">
      <w:pPr>
        <w:numPr>
          <w:ilvl w:val="255"/>
          <w:numId w:val="0"/>
        </w:numPr>
        <w:adjustRightInd w:val="0"/>
        <w:snapToGrid w:val="0"/>
        <w:spacing w:line="400" w:lineRule="exact"/>
        <w:rPr>
          <w:rFonts w:hint="eastAsia" w:ascii="宋体" w:hAnsi="宋体"/>
          <w:iCs/>
          <w:szCs w:val="21"/>
        </w:rPr>
      </w:pPr>
      <w:r>
        <w:rPr>
          <w:rFonts w:hint="eastAsia"/>
        </w:rPr>
        <w:t xml:space="preserve">         中标（成交）采购标的制造商是否为残疾人福利性单位：</w:t>
      </w:r>
      <w:r>
        <w:rPr>
          <w:rFonts w:ascii="Wingdings" w:hAnsi="Wingdings"/>
          <w:iCs/>
          <w:szCs w:val="21"/>
        </w:rPr>
        <w:t></w:t>
      </w:r>
      <w:r>
        <w:rPr>
          <w:rFonts w:hint="eastAsia" w:ascii="宋体" w:hAnsi="宋体"/>
          <w:iCs/>
          <w:szCs w:val="21"/>
        </w:rPr>
        <w:t xml:space="preserve">是   </w:t>
      </w:r>
      <w:r>
        <w:rPr>
          <w:rFonts w:ascii="Wingdings" w:hAnsi="Wingdings"/>
          <w:iCs/>
          <w:szCs w:val="21"/>
        </w:rPr>
        <w:t></w:t>
      </w:r>
      <w:r>
        <w:rPr>
          <w:rFonts w:hint="eastAsia" w:ascii="宋体" w:hAnsi="宋体"/>
          <w:iCs/>
          <w:szCs w:val="21"/>
        </w:rPr>
        <w:t>否</w:t>
      </w:r>
    </w:p>
    <w:p w14:paraId="4D458C66">
      <w:pPr>
        <w:snapToGrid w:val="0"/>
        <w:spacing w:line="400" w:lineRule="exact"/>
      </w:pPr>
      <w:r>
        <w:rPr>
          <w:rFonts w:hint="eastAsia"/>
        </w:rPr>
        <w:t xml:space="preserve">         中标（成交）采购标的制造商是否为监狱企业：</w:t>
      </w:r>
      <w:r>
        <w:rPr>
          <w:rFonts w:ascii="Wingdings" w:hAnsi="Wingdings"/>
          <w:iCs/>
          <w:szCs w:val="21"/>
        </w:rPr>
        <w:t></w:t>
      </w:r>
      <w:r>
        <w:rPr>
          <w:rFonts w:hint="eastAsia" w:ascii="宋体" w:hAnsi="宋体"/>
          <w:iCs/>
          <w:szCs w:val="21"/>
        </w:rPr>
        <w:t xml:space="preserve">是       </w:t>
      </w:r>
      <w:r>
        <w:rPr>
          <w:rFonts w:ascii="Wingdings" w:hAnsi="Wingdings"/>
          <w:iCs/>
          <w:szCs w:val="21"/>
        </w:rPr>
        <w:t></w:t>
      </w:r>
      <w:r>
        <w:rPr>
          <w:rFonts w:hint="eastAsia" w:ascii="宋体" w:hAnsi="宋体"/>
          <w:iCs/>
          <w:szCs w:val="21"/>
        </w:rPr>
        <w:t>否</w:t>
      </w:r>
    </w:p>
    <w:p w14:paraId="24C5EF74">
      <w:pPr>
        <w:adjustRightInd w:val="0"/>
        <w:snapToGrid w:val="0"/>
        <w:spacing w:line="400" w:lineRule="exact"/>
        <w:ind w:firstLine="420" w:firstLineChars="200"/>
        <w:rPr>
          <w:rFonts w:hint="eastAsia" w:ascii="宋体" w:hAnsi="宋体"/>
          <w:szCs w:val="21"/>
        </w:rPr>
      </w:pPr>
      <w:r>
        <w:rPr>
          <w:rFonts w:hint="eastAsia" w:ascii="宋体" w:hAnsi="宋体"/>
          <w:szCs w:val="21"/>
        </w:rPr>
        <w:t>（</w:t>
      </w:r>
      <w:r>
        <w:rPr>
          <w:rFonts w:ascii="宋体" w:hAnsi="宋体"/>
          <w:szCs w:val="21"/>
        </w:rPr>
        <w:t>7</w:t>
      </w:r>
      <w:r>
        <w:rPr>
          <w:rFonts w:hint="eastAsia" w:ascii="宋体" w:hAnsi="宋体"/>
          <w:szCs w:val="21"/>
        </w:rPr>
        <w:t>）合同是否分包：</w:t>
      </w:r>
      <w:r>
        <w:rPr>
          <w:rFonts w:ascii="Wingdings" w:hAnsi="Wingdings"/>
          <w:iCs/>
          <w:szCs w:val="21"/>
        </w:rPr>
        <w:t></w:t>
      </w:r>
      <w:r>
        <w:rPr>
          <w:rFonts w:hint="eastAsia" w:ascii="宋体" w:hAnsi="宋体"/>
          <w:iCs/>
          <w:szCs w:val="21"/>
        </w:rPr>
        <w:t xml:space="preserve">是       </w:t>
      </w:r>
      <w:r>
        <w:rPr>
          <w:rFonts w:ascii="Wingdings" w:hAnsi="Wingdings"/>
          <w:iCs/>
          <w:szCs w:val="21"/>
        </w:rPr>
        <w:t></w:t>
      </w:r>
      <w:r>
        <w:rPr>
          <w:rFonts w:hint="eastAsia" w:ascii="宋体" w:hAnsi="宋体"/>
          <w:iCs/>
          <w:szCs w:val="21"/>
        </w:rPr>
        <w:t>否</w:t>
      </w:r>
    </w:p>
    <w:p w14:paraId="450297E7">
      <w:pPr>
        <w:adjustRightInd w:val="0"/>
        <w:snapToGrid w:val="0"/>
        <w:spacing w:line="400" w:lineRule="exact"/>
        <w:ind w:firstLine="840" w:firstLineChars="400"/>
        <w:rPr>
          <w:rFonts w:hint="eastAsia"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14:paraId="222F4DDF">
      <w:pPr>
        <w:adjustRightInd w:val="0"/>
        <w:snapToGrid w:val="0"/>
        <w:spacing w:line="400" w:lineRule="exact"/>
        <w:ind w:firstLine="840" w:firstLineChars="400"/>
        <w:rPr>
          <w:rFonts w:hint="eastAsia" w:ascii="宋体" w:hAnsi="宋体"/>
          <w:szCs w:val="21"/>
        </w:rPr>
      </w:pPr>
      <w:r>
        <w:rPr>
          <w:rFonts w:hint="eastAsia" w:ascii="宋体" w:hAnsi="宋体"/>
          <w:szCs w:val="21"/>
        </w:rPr>
        <w:t xml:space="preserve"> 分包供应商/制造商名称（如供应商和制造商不同，请分别填写）：</w:t>
      </w:r>
    </w:p>
    <w:p w14:paraId="25FD3A34">
      <w:pPr>
        <w:adjustRightInd w:val="0"/>
        <w:snapToGrid w:val="0"/>
        <w:spacing w:line="400" w:lineRule="exact"/>
        <w:ind w:firstLine="840" w:firstLineChars="400"/>
        <w:rPr>
          <w:rFonts w:hint="eastAsia"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14:paraId="0288D12D">
      <w:pPr>
        <w:adjustRightInd w:val="0"/>
        <w:snapToGrid w:val="0"/>
        <w:spacing w:line="400" w:lineRule="exact"/>
        <w:ind w:firstLine="840" w:firstLineChars="400"/>
        <w:rPr>
          <w:rFonts w:hint="eastAsia" w:ascii="宋体" w:hAnsi="宋体"/>
          <w:szCs w:val="21"/>
        </w:rPr>
      </w:pPr>
      <w:r>
        <w:rPr>
          <w:rFonts w:hint="eastAsia" w:ascii="宋体" w:hAnsi="宋体"/>
          <w:szCs w:val="21"/>
        </w:rPr>
        <w:t xml:space="preserve"> 分包供应商/制造商类型（如果供应商和制造商不同，只填写制造商类型）：</w:t>
      </w:r>
    </w:p>
    <w:p w14:paraId="14CA46F4">
      <w:pPr>
        <w:adjustRightInd w:val="0"/>
        <w:snapToGrid w:val="0"/>
        <w:spacing w:line="400" w:lineRule="exact"/>
        <w:ind w:firstLine="840" w:firstLineChars="400"/>
        <w:rPr>
          <w:rFonts w:hint="eastAsia" w:ascii="宋体" w:hAnsi="宋体"/>
          <w:iCs/>
          <w:szCs w:val="21"/>
        </w:rPr>
      </w:pPr>
      <w:r>
        <w:rPr>
          <w:rFonts w:hint="eastAsia" w:ascii="宋体" w:hAnsi="宋体"/>
          <w:iCs/>
          <w:szCs w:val="21"/>
        </w:rPr>
        <w:t xml:space="preserve"> </w:t>
      </w:r>
      <w:r>
        <w:rPr>
          <w:rFonts w:ascii="Wingdings" w:hAnsi="Wingdings"/>
          <w:iCs/>
          <w:szCs w:val="21"/>
        </w:rPr>
        <w:t></w:t>
      </w:r>
      <w:r>
        <w:rPr>
          <w:rFonts w:hint="eastAsia" w:ascii="宋体" w:hAnsi="宋体"/>
          <w:iCs/>
          <w:szCs w:val="21"/>
        </w:rPr>
        <w:t xml:space="preserve">大型企业  </w:t>
      </w:r>
      <w:r>
        <w:rPr>
          <w:rFonts w:ascii="Wingdings" w:hAnsi="Wingdings"/>
          <w:iCs/>
          <w:szCs w:val="21"/>
        </w:rPr>
        <w:t></w:t>
      </w:r>
      <w:r>
        <w:rPr>
          <w:rFonts w:hint="eastAsia" w:ascii="宋体" w:hAnsi="宋体"/>
          <w:iCs/>
          <w:szCs w:val="21"/>
        </w:rPr>
        <w:t xml:space="preserve">中型企业  </w:t>
      </w:r>
      <w:r>
        <w:rPr>
          <w:rFonts w:ascii="Wingdings" w:hAnsi="Wingdings"/>
          <w:iCs/>
          <w:szCs w:val="21"/>
        </w:rPr>
        <w:t></w:t>
      </w:r>
      <w:r>
        <w:rPr>
          <w:rFonts w:hint="eastAsia" w:ascii="宋体" w:hAnsi="宋体"/>
          <w:iCs/>
          <w:szCs w:val="21"/>
        </w:rPr>
        <w:t xml:space="preserve">小微型企业  </w:t>
      </w:r>
    </w:p>
    <w:p w14:paraId="25DFCA16">
      <w:pPr>
        <w:adjustRightInd w:val="0"/>
        <w:snapToGrid w:val="0"/>
        <w:spacing w:line="400" w:lineRule="exact"/>
        <w:ind w:firstLine="840" w:firstLineChars="400"/>
        <w:rPr>
          <w:rFonts w:eastAsia="华文楷体"/>
        </w:rPr>
      </w:pPr>
      <w:r>
        <w:rPr>
          <w:rFonts w:hint="eastAsia" w:ascii="宋体" w:hAnsi="宋体"/>
          <w:iCs/>
          <w:szCs w:val="21"/>
        </w:rPr>
        <w:t xml:space="preserve"> </w:t>
      </w:r>
      <w:r>
        <w:rPr>
          <w:rFonts w:ascii="Wingdings" w:hAnsi="Wingdings"/>
          <w:iCs/>
          <w:szCs w:val="21"/>
        </w:rPr>
        <w:t></w:t>
      </w:r>
      <w:r>
        <w:rPr>
          <w:rFonts w:hint="eastAsia" w:ascii="宋体" w:hAnsi="宋体"/>
          <w:iCs/>
          <w:szCs w:val="21"/>
        </w:rPr>
        <w:t xml:space="preserve">残疾人福利性单位 </w:t>
      </w:r>
      <w:r>
        <w:rPr>
          <w:rFonts w:ascii="Wingdings" w:hAnsi="Wingdings"/>
          <w:iCs/>
          <w:szCs w:val="21"/>
        </w:rPr>
        <w:t></w:t>
      </w:r>
      <w:r>
        <w:rPr>
          <w:rFonts w:hint="eastAsia" w:ascii="宋体" w:hAnsi="宋体"/>
          <w:iCs/>
          <w:szCs w:val="21"/>
        </w:rPr>
        <w:t xml:space="preserve">监狱企业 </w:t>
      </w:r>
      <w:r>
        <w:rPr>
          <w:rFonts w:ascii="Wingdings" w:hAnsi="Wingdings"/>
          <w:iCs/>
          <w:szCs w:val="21"/>
        </w:rPr>
        <w:t></w:t>
      </w:r>
      <w:r>
        <w:rPr>
          <w:rFonts w:hint="eastAsia" w:ascii="宋体" w:hAnsi="宋体"/>
          <w:iCs/>
          <w:szCs w:val="21"/>
        </w:rPr>
        <w:t>其他</w:t>
      </w:r>
    </w:p>
    <w:p w14:paraId="34554B83">
      <w:pPr>
        <w:numPr>
          <w:ilvl w:val="255"/>
          <w:numId w:val="0"/>
        </w:numPr>
        <w:adjustRightInd w:val="0"/>
        <w:snapToGrid w:val="0"/>
        <w:spacing w:line="400" w:lineRule="exact"/>
        <w:rPr>
          <w:rFonts w:hint="eastAsia"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rPr>
        <w:t>8</w:t>
      </w:r>
      <w:r>
        <w:rPr>
          <w:rFonts w:hint="eastAsia" w:ascii="宋体" w:hAnsi="宋体" w:cs="宋体"/>
          <w:szCs w:val="21"/>
        </w:rPr>
        <w:t>）中标（成交）供应商是否为外商投资企业：</w:t>
      </w:r>
      <w:r>
        <w:rPr>
          <w:rFonts w:ascii="Wingdings" w:hAnsi="Wingdings" w:cs="宋体"/>
          <w:iCs/>
          <w:szCs w:val="21"/>
        </w:rPr>
        <w:t></w:t>
      </w:r>
      <w:r>
        <w:rPr>
          <w:rFonts w:hint="eastAsia" w:ascii="宋体" w:hAnsi="宋体" w:cs="宋体"/>
          <w:iCs/>
          <w:szCs w:val="21"/>
        </w:rPr>
        <w:t xml:space="preserve">是       </w:t>
      </w:r>
      <w:r>
        <w:rPr>
          <w:rFonts w:ascii="Wingdings" w:hAnsi="Wingdings" w:cs="宋体"/>
          <w:iCs/>
          <w:szCs w:val="21"/>
        </w:rPr>
        <w:t></w:t>
      </w:r>
      <w:r>
        <w:rPr>
          <w:rFonts w:hint="eastAsia" w:ascii="宋体" w:hAnsi="宋体" w:cs="宋体"/>
          <w:iCs/>
          <w:szCs w:val="21"/>
        </w:rPr>
        <w:t>否</w:t>
      </w:r>
    </w:p>
    <w:p w14:paraId="29A0A095">
      <w:pPr>
        <w:tabs>
          <w:tab w:val="left" w:pos="1340"/>
        </w:tabs>
        <w:autoSpaceDE w:val="0"/>
        <w:autoSpaceDN w:val="0"/>
        <w:adjustRightInd w:val="0"/>
        <w:spacing w:line="400" w:lineRule="exact"/>
        <w:ind w:firstLine="420" w:firstLineChars="200"/>
        <w:rPr>
          <w:rFonts w:hint="eastAsia" w:ascii="宋体" w:hAnsi="宋体" w:cs="宋体"/>
          <w:szCs w:val="21"/>
          <w:u w:val="single"/>
        </w:rPr>
      </w:pPr>
      <w:r>
        <w:rPr>
          <w:rFonts w:hint="eastAsia" w:ascii="宋体" w:hAnsi="宋体" w:cs="宋体"/>
          <w:szCs w:val="21"/>
        </w:rPr>
        <w:t xml:space="preserve">     外商投资企业类型：</w:t>
      </w:r>
      <w:r>
        <w:rPr>
          <w:rFonts w:ascii="Wingdings" w:hAnsi="Wingdings" w:cs="宋体"/>
          <w:iCs/>
          <w:szCs w:val="21"/>
        </w:rPr>
        <w:t></w:t>
      </w:r>
      <w:r>
        <w:rPr>
          <w:rFonts w:hint="eastAsia" w:ascii="宋体" w:hAnsi="宋体" w:cs="宋体"/>
          <w:szCs w:val="21"/>
        </w:rPr>
        <w:t xml:space="preserve">全部由外国投资者投资  </w:t>
      </w:r>
      <w:r>
        <w:rPr>
          <w:rFonts w:ascii="Wingdings" w:hAnsi="Wingdings" w:cs="宋体"/>
          <w:iCs/>
          <w:szCs w:val="21"/>
        </w:rPr>
        <w:t></w:t>
      </w:r>
      <w:r>
        <w:rPr>
          <w:rFonts w:hint="eastAsia" w:ascii="宋体" w:hAnsi="宋体" w:cs="宋体"/>
          <w:iCs/>
          <w:szCs w:val="21"/>
        </w:rPr>
        <w:t>部分由外国投资者投资</w:t>
      </w:r>
    </w:p>
    <w:p w14:paraId="1320F8EE">
      <w:pPr>
        <w:numPr>
          <w:ilvl w:val="255"/>
          <w:numId w:val="0"/>
        </w:num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9</w:t>
      </w:r>
      <w:r>
        <w:rPr>
          <w:rFonts w:hint="eastAsia" w:ascii="宋体" w:hAnsi="宋体" w:cs="宋体"/>
          <w:szCs w:val="21"/>
        </w:rPr>
        <w:t>）是否涉及进口产品：</w:t>
      </w:r>
    </w:p>
    <w:p w14:paraId="43B181D7">
      <w:pPr>
        <w:numPr>
          <w:ilvl w:val="255"/>
          <w:numId w:val="0"/>
        </w:numPr>
        <w:adjustRightInd w:val="0"/>
        <w:snapToGrid w:val="0"/>
        <w:spacing w:line="400" w:lineRule="exact"/>
        <w:ind w:firstLine="840" w:firstLineChars="400"/>
        <w:rPr>
          <w:rFonts w:hint="eastAsia" w:ascii="宋体" w:hAnsi="宋体" w:cs="宋体"/>
          <w:szCs w:val="21"/>
          <w:u w:val="single"/>
        </w:rPr>
      </w:pPr>
      <w:r>
        <w:rPr>
          <w:rFonts w:hint="eastAsia" w:ascii="宋体" w:hAnsi="宋体" w:cs="宋体"/>
          <w:szCs w:val="21"/>
        </w:rPr>
        <w:t xml:space="preserve"> </w:t>
      </w:r>
      <w:r>
        <w:rPr>
          <w:rFonts w:ascii="Wingdings" w:hAnsi="Wingdings" w:cs="宋体"/>
          <w:szCs w:val="21"/>
        </w:rPr>
        <w:t></w:t>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7A5D1543">
      <w:pPr>
        <w:numPr>
          <w:ilvl w:val="255"/>
          <w:numId w:val="0"/>
        </w:numPr>
        <w:adjustRightInd w:val="0"/>
        <w:snapToGrid w:val="0"/>
        <w:spacing w:line="400" w:lineRule="exact"/>
        <w:ind w:firstLine="840" w:firstLineChars="400"/>
        <w:rPr>
          <w:rFonts w:hint="eastAsia"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14:paraId="6932B41F">
      <w:pPr>
        <w:adjustRightInd w:val="0"/>
        <w:snapToGrid w:val="0"/>
        <w:spacing w:line="400" w:lineRule="exact"/>
        <w:ind w:firstLine="840" w:firstLineChars="400"/>
        <w:rPr>
          <w:rFonts w:hint="eastAsia" w:ascii="宋体" w:hAnsi="宋体"/>
          <w:szCs w:val="21"/>
        </w:rPr>
      </w:pPr>
      <w:r>
        <w:rPr>
          <w:rFonts w:hint="eastAsia" w:ascii="宋体" w:hAnsi="宋体"/>
          <w:szCs w:val="21"/>
        </w:rPr>
        <w:t xml:space="preserve"> </w:t>
      </w:r>
      <w:r>
        <w:rPr>
          <w:rFonts w:ascii="Wingdings" w:hAnsi="Wingdings"/>
          <w:szCs w:val="21"/>
        </w:rPr>
        <w:t></w:t>
      </w:r>
      <w:r>
        <w:rPr>
          <w:rFonts w:hint="eastAsia" w:ascii="宋体" w:hAnsi="宋体"/>
          <w:szCs w:val="21"/>
        </w:rPr>
        <w:t>否</w:t>
      </w:r>
    </w:p>
    <w:p w14:paraId="57EF5E2A">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szCs w:val="21"/>
        </w:rPr>
        <w:t xml:space="preserve">    （1</w:t>
      </w:r>
      <w:r>
        <w:rPr>
          <w:rFonts w:ascii="宋体" w:hAnsi="宋体"/>
          <w:szCs w:val="21"/>
        </w:rPr>
        <w:t>0</w:t>
      </w:r>
      <w:r>
        <w:rPr>
          <w:rFonts w:hint="eastAsia" w:ascii="宋体" w:hAnsi="宋体"/>
          <w:szCs w:val="21"/>
        </w:rPr>
        <w:t>）是否涉及节能产品：</w:t>
      </w:r>
    </w:p>
    <w:p w14:paraId="75A01526">
      <w:pPr>
        <w:numPr>
          <w:ilvl w:val="255"/>
          <w:numId w:val="0"/>
        </w:numPr>
        <w:tabs>
          <w:tab w:val="left" w:pos="740"/>
        </w:tabs>
        <w:adjustRightInd w:val="0"/>
        <w:snapToGrid w:val="0"/>
        <w:spacing w:line="400" w:lineRule="exact"/>
        <w:rPr>
          <w:rFonts w:hint="eastAsia" w:ascii="宋体" w:hAnsi="宋体"/>
          <w:iCs/>
          <w:szCs w:val="21"/>
        </w:rPr>
      </w:pPr>
      <w:r>
        <w:rPr>
          <w:rFonts w:hint="eastAsia" w:ascii="宋体" w:hAnsi="宋体"/>
          <w:szCs w:val="21"/>
        </w:rPr>
        <w:t xml:space="preserve">         </w:t>
      </w:r>
      <w:r>
        <w:rPr>
          <w:rFonts w:ascii="Wingdings" w:hAnsi="Wingdings"/>
          <w:szCs w:val="21"/>
        </w:rPr>
        <w:t></w:t>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2298DE92">
      <w:pPr>
        <w:numPr>
          <w:ilvl w:val="255"/>
          <w:numId w:val="0"/>
        </w:numPr>
        <w:tabs>
          <w:tab w:val="left" w:pos="740"/>
        </w:tabs>
        <w:adjustRightInd w:val="0"/>
        <w:snapToGrid w:val="0"/>
        <w:spacing w:line="400" w:lineRule="exact"/>
        <w:rPr>
          <w:rFonts w:hint="eastAsia" w:ascii="宋体" w:hAnsi="宋体"/>
          <w:iCs/>
          <w:szCs w:val="21"/>
        </w:rPr>
      </w:pPr>
      <w:r>
        <w:rPr>
          <w:rFonts w:hint="eastAsia" w:ascii="宋体" w:hAnsi="宋体"/>
          <w:iCs/>
          <w:szCs w:val="21"/>
        </w:rPr>
        <w:t xml:space="preserve">                </w:t>
      </w:r>
      <w:r>
        <w:rPr>
          <w:rFonts w:ascii="Wingdings" w:hAnsi="Wingdings"/>
          <w:iCs/>
          <w:szCs w:val="21"/>
        </w:rPr>
        <w:t></w:t>
      </w:r>
      <w:r>
        <w:rPr>
          <w:rFonts w:hint="eastAsia" w:ascii="宋体" w:hAnsi="宋体"/>
          <w:iCs/>
          <w:szCs w:val="21"/>
        </w:rPr>
        <w:t xml:space="preserve">强制采购       </w:t>
      </w:r>
      <w:r>
        <w:rPr>
          <w:rFonts w:ascii="Wingdings" w:hAnsi="Wingdings"/>
          <w:iCs/>
          <w:szCs w:val="21"/>
        </w:rPr>
        <w:t></w:t>
      </w:r>
      <w:r>
        <w:rPr>
          <w:rFonts w:hint="eastAsia" w:ascii="宋体" w:hAnsi="宋体"/>
          <w:iCs/>
          <w:szCs w:val="21"/>
        </w:rPr>
        <w:t xml:space="preserve">优先采购    </w:t>
      </w:r>
    </w:p>
    <w:p w14:paraId="499E061A">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iCs/>
          <w:szCs w:val="21"/>
        </w:rPr>
        <w:t xml:space="preserve">         </w:t>
      </w:r>
      <w:r>
        <w:rPr>
          <w:rFonts w:ascii="Wingdings" w:hAnsi="Wingdings"/>
          <w:szCs w:val="21"/>
        </w:rPr>
        <w:t></w:t>
      </w:r>
      <w:r>
        <w:rPr>
          <w:rFonts w:hint="eastAsia" w:ascii="宋体" w:hAnsi="宋体"/>
          <w:szCs w:val="21"/>
        </w:rPr>
        <w:t>否</w:t>
      </w:r>
    </w:p>
    <w:p w14:paraId="563D74DD">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szCs w:val="21"/>
        </w:rPr>
        <w:t xml:space="preserve">          是否涉及环境标志产品：</w:t>
      </w:r>
    </w:p>
    <w:p w14:paraId="4FD3DBF4">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szCs w:val="21"/>
        </w:rPr>
        <w:t xml:space="preserve">         </w:t>
      </w:r>
      <w:r>
        <w:rPr>
          <w:rFonts w:ascii="Wingdings" w:hAnsi="Wingdings"/>
          <w:szCs w:val="21"/>
        </w:rPr>
        <w:t></w:t>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5CEDC1A2">
      <w:pPr>
        <w:numPr>
          <w:ilvl w:val="255"/>
          <w:numId w:val="0"/>
        </w:numPr>
        <w:tabs>
          <w:tab w:val="left" w:pos="740"/>
        </w:tabs>
        <w:adjustRightInd w:val="0"/>
        <w:snapToGrid w:val="0"/>
        <w:spacing w:line="400" w:lineRule="exact"/>
        <w:rPr>
          <w:rFonts w:hint="eastAsia" w:ascii="宋体" w:hAnsi="宋体"/>
          <w:iCs/>
          <w:szCs w:val="21"/>
        </w:rPr>
      </w:pPr>
      <w:r>
        <w:rPr>
          <w:rFonts w:hint="eastAsia" w:ascii="宋体" w:hAnsi="宋体"/>
          <w:iCs/>
          <w:szCs w:val="21"/>
        </w:rPr>
        <w:t xml:space="preserve">                </w:t>
      </w:r>
      <w:r>
        <w:rPr>
          <w:rFonts w:ascii="Wingdings" w:hAnsi="Wingdings"/>
          <w:iCs/>
          <w:szCs w:val="21"/>
        </w:rPr>
        <w:t></w:t>
      </w:r>
      <w:r>
        <w:rPr>
          <w:rFonts w:hint="eastAsia" w:ascii="宋体" w:hAnsi="宋体"/>
          <w:iCs/>
          <w:szCs w:val="21"/>
        </w:rPr>
        <w:t xml:space="preserve">强制采购       </w:t>
      </w:r>
      <w:r>
        <w:rPr>
          <w:rFonts w:ascii="Wingdings" w:hAnsi="Wingdings"/>
          <w:iCs/>
          <w:szCs w:val="21"/>
        </w:rPr>
        <w:t></w:t>
      </w:r>
      <w:r>
        <w:rPr>
          <w:rFonts w:hint="eastAsia" w:ascii="宋体" w:hAnsi="宋体"/>
          <w:iCs/>
          <w:szCs w:val="21"/>
        </w:rPr>
        <w:t xml:space="preserve">优先采购    </w:t>
      </w:r>
    </w:p>
    <w:p w14:paraId="1CE766FD">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iCs/>
          <w:szCs w:val="21"/>
        </w:rPr>
        <w:t xml:space="preserve">         </w:t>
      </w:r>
      <w:r>
        <w:rPr>
          <w:rFonts w:ascii="Wingdings" w:hAnsi="Wingdings"/>
          <w:szCs w:val="21"/>
        </w:rPr>
        <w:t></w:t>
      </w:r>
      <w:r>
        <w:rPr>
          <w:rFonts w:hint="eastAsia" w:ascii="宋体" w:hAnsi="宋体"/>
          <w:szCs w:val="21"/>
        </w:rPr>
        <w:t>否</w:t>
      </w:r>
    </w:p>
    <w:p w14:paraId="1DA6A7BC">
      <w:pPr>
        <w:numPr>
          <w:ilvl w:val="255"/>
          <w:numId w:val="0"/>
        </w:numPr>
        <w:autoSpaceDE w:val="0"/>
        <w:autoSpaceDN w:val="0"/>
        <w:adjustRightInd w:val="0"/>
        <w:snapToGrid w:val="0"/>
        <w:spacing w:line="400" w:lineRule="exact"/>
        <w:rPr>
          <w:rFonts w:hint="eastAsia" w:ascii="宋体" w:hAnsi="宋体"/>
          <w:szCs w:val="21"/>
        </w:rPr>
      </w:pPr>
      <w:r>
        <w:rPr>
          <w:rFonts w:hint="eastAsia" w:ascii="宋体" w:hAnsi="宋体" w:eastAsia="华文楷体" w:cs="华文楷体"/>
          <w:szCs w:val="21"/>
        </w:rPr>
        <w:t xml:space="preserve">          </w:t>
      </w:r>
      <w:r>
        <w:rPr>
          <w:rFonts w:hint="eastAsia" w:ascii="宋体" w:hAnsi="宋体"/>
          <w:szCs w:val="21"/>
        </w:rPr>
        <w:t xml:space="preserve">是否涉及绿色产品： </w:t>
      </w:r>
    </w:p>
    <w:p w14:paraId="4507C4FE">
      <w:pPr>
        <w:autoSpaceDE w:val="0"/>
        <w:autoSpaceDN w:val="0"/>
        <w:adjustRightInd w:val="0"/>
        <w:spacing w:line="400" w:lineRule="exact"/>
        <w:ind w:firstLine="420"/>
        <w:rPr>
          <w:rFonts w:hint="eastAsia" w:ascii="宋体" w:hAnsi="宋体" w:cs="华文楷体"/>
          <w:sz w:val="22"/>
          <w:szCs w:val="21"/>
          <w:u w:val="single"/>
        </w:rPr>
      </w:pPr>
      <w:r>
        <w:rPr>
          <w:rFonts w:hint="eastAsia" w:ascii="宋体" w:hAnsi="宋体"/>
          <w:szCs w:val="21"/>
        </w:rPr>
        <w:t xml:space="preserve">     </w:t>
      </w:r>
      <w:r>
        <w:rPr>
          <w:rFonts w:ascii="Wingdings" w:hAnsi="Wingdings"/>
          <w:szCs w:val="21"/>
        </w:rPr>
        <w:t></w:t>
      </w:r>
      <w:r>
        <w:rPr>
          <w:rFonts w:hint="eastAsia" w:ascii="宋体" w:hAnsi="宋体"/>
          <w:szCs w:val="21"/>
        </w:rPr>
        <w:t>是，绿色产品政府采购相关政策确定的底级品目名称：</w:t>
      </w:r>
      <w:r>
        <w:rPr>
          <w:rFonts w:hint="eastAsia" w:ascii="宋体" w:hAnsi="宋体" w:cs="华文楷体"/>
          <w:sz w:val="22"/>
          <w:szCs w:val="21"/>
          <w:u w:val="single"/>
        </w:rPr>
        <w:t xml:space="preserve">         </w:t>
      </w:r>
    </w:p>
    <w:p w14:paraId="0D550B28">
      <w:pPr>
        <w:numPr>
          <w:ilvl w:val="255"/>
          <w:numId w:val="0"/>
        </w:numPr>
        <w:tabs>
          <w:tab w:val="left" w:pos="740"/>
        </w:tabs>
        <w:adjustRightInd w:val="0"/>
        <w:snapToGrid w:val="0"/>
        <w:spacing w:line="400" w:lineRule="exact"/>
        <w:rPr>
          <w:rFonts w:hint="eastAsia" w:ascii="宋体" w:hAnsi="宋体"/>
          <w:iCs/>
          <w:szCs w:val="21"/>
        </w:rPr>
      </w:pPr>
      <w:r>
        <w:rPr>
          <w:rFonts w:hint="eastAsia" w:ascii="宋体" w:hAnsi="宋体"/>
          <w:iCs/>
          <w:szCs w:val="21"/>
        </w:rPr>
        <w:t xml:space="preserve">                </w:t>
      </w:r>
      <w:r>
        <w:rPr>
          <w:rFonts w:ascii="Wingdings" w:hAnsi="Wingdings"/>
          <w:iCs/>
          <w:szCs w:val="21"/>
        </w:rPr>
        <w:t></w:t>
      </w:r>
      <w:r>
        <w:rPr>
          <w:rFonts w:hint="eastAsia" w:ascii="宋体" w:hAnsi="宋体"/>
          <w:iCs/>
          <w:szCs w:val="21"/>
        </w:rPr>
        <w:t xml:space="preserve">强制采购       </w:t>
      </w:r>
      <w:r>
        <w:rPr>
          <w:rFonts w:ascii="Wingdings" w:hAnsi="Wingdings"/>
          <w:iCs/>
          <w:szCs w:val="21"/>
        </w:rPr>
        <w:t></w:t>
      </w:r>
      <w:r>
        <w:rPr>
          <w:rFonts w:hint="eastAsia" w:ascii="宋体" w:hAnsi="宋体"/>
          <w:iCs/>
          <w:szCs w:val="21"/>
        </w:rPr>
        <w:t xml:space="preserve">优先采购    </w:t>
      </w:r>
    </w:p>
    <w:p w14:paraId="726158B6">
      <w:pPr>
        <w:autoSpaceDE w:val="0"/>
        <w:autoSpaceDN w:val="0"/>
        <w:adjustRightInd w:val="0"/>
        <w:spacing w:line="400" w:lineRule="exact"/>
        <w:ind w:firstLine="420"/>
        <w:rPr>
          <w:rFonts w:hint="eastAsia" w:ascii="宋体" w:hAnsi="宋体" w:eastAsia="华文楷体" w:cs="华文楷体"/>
          <w:szCs w:val="21"/>
        </w:rPr>
      </w:pPr>
      <w:r>
        <w:rPr>
          <w:rFonts w:hint="eastAsia" w:ascii="宋体" w:hAnsi="宋体"/>
          <w:szCs w:val="21"/>
        </w:rPr>
        <w:t xml:space="preserve">     </w:t>
      </w:r>
      <w:r>
        <w:rPr>
          <w:rFonts w:ascii="Wingdings" w:hAnsi="Wingdings"/>
          <w:szCs w:val="21"/>
        </w:rPr>
        <w:t></w:t>
      </w:r>
      <w:r>
        <w:rPr>
          <w:rFonts w:hint="eastAsia" w:ascii="宋体" w:hAnsi="宋体"/>
          <w:szCs w:val="21"/>
        </w:rPr>
        <w:t>否</w:t>
      </w:r>
    </w:p>
    <w:p w14:paraId="3926E2B9">
      <w:pPr>
        <w:numPr>
          <w:ilvl w:val="255"/>
          <w:numId w:val="0"/>
        </w:numPr>
        <w:adjustRightInd w:val="0"/>
        <w:snapToGrid w:val="0"/>
        <w:spacing w:line="400" w:lineRule="exact"/>
        <w:rPr>
          <w:rFonts w:hint="eastAsia" w:ascii="宋体" w:hAnsi="宋体"/>
          <w:szCs w:val="21"/>
        </w:rPr>
      </w:pPr>
      <w:r>
        <w:rPr>
          <w:rFonts w:hint="eastAsia" w:ascii="宋体" w:hAnsi="宋体"/>
          <w:szCs w:val="21"/>
        </w:rPr>
        <w:t xml:space="preserve">    （1</w:t>
      </w:r>
      <w:r>
        <w:rPr>
          <w:rFonts w:ascii="宋体" w:hAnsi="宋体"/>
          <w:szCs w:val="21"/>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14:paraId="7212E7BA">
      <w:pPr>
        <w:numPr>
          <w:ilvl w:val="255"/>
          <w:numId w:val="0"/>
        </w:numPr>
        <w:adjustRightInd w:val="0"/>
        <w:snapToGrid w:val="0"/>
        <w:spacing w:line="400" w:lineRule="exact"/>
        <w:ind w:firstLine="840" w:firstLineChars="400"/>
        <w:rPr>
          <w:rFonts w:hint="eastAsia" w:ascii="宋体" w:hAnsi="宋体"/>
          <w:szCs w:val="21"/>
        </w:rPr>
      </w:pPr>
      <w:r>
        <w:rPr>
          <w:rFonts w:ascii="Wingdings" w:hAnsi="Wingdings"/>
          <w:szCs w:val="21"/>
        </w:rPr>
        <w:t></w:t>
      </w:r>
      <w:r>
        <w:rPr>
          <w:rFonts w:hint="eastAsia" w:ascii="宋体" w:hAnsi="宋体"/>
          <w:szCs w:val="21"/>
        </w:rPr>
        <w:t xml:space="preserve">是       </w:t>
      </w:r>
      <w:r>
        <w:rPr>
          <w:rFonts w:ascii="Wingdings" w:hAnsi="Wingdings"/>
          <w:szCs w:val="21"/>
        </w:rPr>
        <w:t></w:t>
      </w:r>
      <w:r>
        <w:rPr>
          <w:rFonts w:hint="eastAsia" w:ascii="宋体" w:hAnsi="宋体"/>
          <w:szCs w:val="21"/>
        </w:rPr>
        <w:t xml:space="preserve">否      </w:t>
      </w:r>
      <w:r>
        <w:rPr>
          <w:rFonts w:ascii="Wingdings" w:hAnsi="Wingdings"/>
          <w:szCs w:val="21"/>
        </w:rPr>
        <w:t></w:t>
      </w:r>
      <w:r>
        <w:rPr>
          <w:rFonts w:hint="eastAsia" w:ascii="宋体" w:hAnsi="宋体"/>
          <w:szCs w:val="21"/>
        </w:rPr>
        <w:t>不涉及</w:t>
      </w:r>
    </w:p>
    <w:p w14:paraId="102D3DFF">
      <w:pPr>
        <w:adjustRightInd w:val="0"/>
        <w:snapToGrid w:val="0"/>
        <w:spacing w:line="400" w:lineRule="exact"/>
        <w:ind w:firstLine="420" w:firstLineChars="200"/>
        <w:rPr>
          <w:rFonts w:hint="eastAsia" w:ascii="宋体" w:hAnsi="宋体"/>
          <w:szCs w:val="21"/>
        </w:rPr>
      </w:pPr>
      <w:r>
        <w:rPr>
          <w:rFonts w:hint="eastAsia" w:ascii="宋体" w:hAnsi="宋体"/>
          <w:szCs w:val="21"/>
        </w:rPr>
        <w:t>（12）是否涉及本国产品：</w:t>
      </w:r>
    </w:p>
    <w:p w14:paraId="04FDBC6E">
      <w:pPr>
        <w:numPr>
          <w:ilvl w:val="255"/>
          <w:numId w:val="0"/>
        </w:numPr>
        <w:adjustRightInd w:val="0"/>
        <w:snapToGrid w:val="0"/>
        <w:spacing w:line="400" w:lineRule="exact"/>
        <w:ind w:firstLine="840" w:firstLineChars="400"/>
        <w:rPr>
          <w:rFonts w:hint="eastAsia" w:ascii="宋体" w:hAnsi="宋体" w:cs="宋体"/>
          <w:szCs w:val="21"/>
          <w:u w:val="single"/>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1C4E8B9E">
      <w:pPr>
        <w:numPr>
          <w:ilvl w:val="255"/>
          <w:numId w:val="0"/>
        </w:numPr>
        <w:adjustRightInd w:val="0"/>
        <w:snapToGrid w:val="0"/>
        <w:spacing w:line="400" w:lineRule="exact"/>
        <w:ind w:firstLine="840" w:firstLineChars="400"/>
        <w:rPr>
          <w:rFonts w:hint="eastAsia" w:ascii="宋体" w:hAnsi="宋体" w:cs="宋体"/>
          <w:szCs w:val="21"/>
          <w:u w:val="single"/>
        </w:rPr>
      </w:pPr>
      <w:r>
        <w:rPr>
          <w:rFonts w:hint="eastAsia" w:ascii="宋体" w:hAnsi="宋体" w:cs="宋体"/>
          <w:szCs w:val="21"/>
        </w:rPr>
        <w:t xml:space="preserve">        产品名称1：</w:t>
      </w:r>
      <w:r>
        <w:rPr>
          <w:rFonts w:hint="eastAsia" w:ascii="宋体" w:hAnsi="宋体" w:cs="宋体"/>
          <w:szCs w:val="21"/>
          <w:u w:val="single"/>
        </w:rPr>
        <w:t xml:space="preserve">        </w:t>
      </w:r>
      <w:r>
        <w:rPr>
          <w:rFonts w:hint="eastAsia" w:ascii="宋体" w:hAnsi="宋体" w:cs="宋体"/>
          <w:szCs w:val="21"/>
        </w:rPr>
        <w:t xml:space="preserve"> 生产厂：</w:t>
      </w:r>
      <w:r>
        <w:rPr>
          <w:rFonts w:hint="eastAsia" w:ascii="宋体" w:hAnsi="宋体" w:cs="宋体"/>
          <w:szCs w:val="21"/>
          <w:u w:val="single"/>
        </w:rPr>
        <w:t xml:space="preserve">           </w:t>
      </w:r>
      <w:r>
        <w:rPr>
          <w:rFonts w:hint="eastAsia" w:ascii="宋体" w:hAnsi="宋体" w:cs="宋体"/>
          <w:szCs w:val="21"/>
        </w:rPr>
        <w:t xml:space="preserve"> 厂址：</w:t>
      </w:r>
      <w:r>
        <w:rPr>
          <w:rFonts w:hint="eastAsia" w:ascii="宋体" w:hAnsi="宋体" w:cs="宋体"/>
          <w:szCs w:val="21"/>
          <w:u w:val="single"/>
        </w:rPr>
        <w:t xml:space="preserve">           </w:t>
      </w:r>
      <w:r>
        <w:rPr>
          <w:rFonts w:hint="eastAsia" w:ascii="宋体" w:hAnsi="宋体" w:cs="宋体"/>
          <w:szCs w:val="21"/>
        </w:rPr>
        <w:t xml:space="preserve"> </w:t>
      </w:r>
    </w:p>
    <w:p w14:paraId="26EED57C">
      <w:pPr>
        <w:pStyle w:val="39"/>
        <w:ind w:firstLine="1680" w:firstLineChars="800"/>
      </w:pPr>
      <w:r>
        <w:rPr>
          <w:rFonts w:hint="eastAsia" w:ascii="宋体" w:hAnsi="宋体" w:cs="宋体"/>
          <w:szCs w:val="21"/>
        </w:rPr>
        <w:t>产品名称2：</w:t>
      </w:r>
      <w:r>
        <w:rPr>
          <w:rFonts w:hint="eastAsia" w:ascii="宋体" w:hAnsi="宋体" w:cs="宋体"/>
          <w:szCs w:val="21"/>
          <w:u w:val="single"/>
        </w:rPr>
        <w:t xml:space="preserve">        </w:t>
      </w:r>
      <w:r>
        <w:rPr>
          <w:rFonts w:hint="eastAsia" w:ascii="宋体" w:hAnsi="宋体" w:cs="宋体"/>
          <w:szCs w:val="21"/>
        </w:rPr>
        <w:t xml:space="preserve"> 生产厂：</w:t>
      </w:r>
      <w:r>
        <w:rPr>
          <w:rFonts w:hint="eastAsia" w:ascii="宋体" w:hAnsi="宋体" w:cs="宋体"/>
          <w:szCs w:val="21"/>
          <w:u w:val="single"/>
        </w:rPr>
        <w:t xml:space="preserve">           </w:t>
      </w:r>
      <w:r>
        <w:rPr>
          <w:rFonts w:hint="eastAsia" w:ascii="宋体" w:hAnsi="宋体" w:cs="宋体"/>
          <w:szCs w:val="21"/>
        </w:rPr>
        <w:t xml:space="preserve"> 厂址：</w:t>
      </w:r>
      <w:r>
        <w:rPr>
          <w:rFonts w:hint="eastAsia" w:ascii="宋体" w:hAnsi="宋体" w:cs="宋体"/>
          <w:szCs w:val="21"/>
          <w:u w:val="single"/>
        </w:rPr>
        <w:t xml:space="preserve">           </w:t>
      </w:r>
      <w:r>
        <w:rPr>
          <w:rFonts w:hint="eastAsia" w:ascii="宋体" w:hAnsi="宋体" w:cs="宋体"/>
          <w:szCs w:val="21"/>
        </w:rPr>
        <w:t xml:space="preserve"> </w:t>
      </w:r>
    </w:p>
    <w:p w14:paraId="26188611">
      <w:pPr>
        <w:adjustRightInd w:val="0"/>
        <w:snapToGrid w:val="0"/>
        <w:spacing w:line="400" w:lineRule="exact"/>
        <w:ind w:firstLine="840" w:firstLineChars="400"/>
        <w:rPr>
          <w:rFonts w:hint="eastAsia"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14:paraId="7D9B9583">
      <w:pPr>
        <w:pStyle w:val="39"/>
      </w:pPr>
    </w:p>
    <w:p w14:paraId="631FDA2A">
      <w:pPr>
        <w:pStyle w:val="39"/>
        <w:rPr>
          <w:rFonts w:hint="eastAsia" w:ascii="宋体" w:hAnsi="宋体"/>
          <w:szCs w:val="21"/>
        </w:rPr>
      </w:pPr>
    </w:p>
    <w:p w14:paraId="761F0DC0">
      <w:pPr>
        <w:numPr>
          <w:ilvl w:val="0"/>
          <w:numId w:val="3"/>
        </w:numPr>
        <w:adjustRightInd w:val="0"/>
        <w:snapToGrid w:val="0"/>
        <w:spacing w:line="400" w:lineRule="exact"/>
        <w:ind w:firstLine="422" w:firstLineChars="200"/>
        <w:rPr>
          <w:rFonts w:hint="eastAsia" w:ascii="宋体" w:hAnsi="宋体"/>
          <w:b/>
          <w:szCs w:val="21"/>
        </w:rPr>
      </w:pPr>
      <w:r>
        <w:rPr>
          <w:rFonts w:hint="eastAsia" w:ascii="宋体" w:hAnsi="宋体"/>
          <w:b/>
          <w:szCs w:val="21"/>
        </w:rPr>
        <w:t>合同金额</w:t>
      </w:r>
    </w:p>
    <w:p w14:paraId="4D6B4F6C">
      <w:pPr>
        <w:adjustRightInd w:val="0"/>
        <w:snapToGrid w:val="0"/>
        <w:spacing w:line="400" w:lineRule="exact"/>
        <w:ind w:firstLine="420" w:firstLineChars="200"/>
        <w:rPr>
          <w:rFonts w:hint="eastAsia" w:ascii="宋体" w:hAnsi="宋体"/>
          <w:szCs w:val="21"/>
        </w:rPr>
      </w:pPr>
      <w:r>
        <w:rPr>
          <w:rFonts w:hint="eastAsia" w:ascii="宋体" w:hAnsi="宋体"/>
          <w:szCs w:val="21"/>
        </w:rPr>
        <w:t>（1）合同金额小写：</w:t>
      </w:r>
      <w:r>
        <w:rPr>
          <w:rFonts w:hint="eastAsia" w:ascii="宋体" w:hAnsi="宋体"/>
          <w:szCs w:val="21"/>
          <w:u w:val="single"/>
        </w:rPr>
        <w:t xml:space="preserve">                           </w:t>
      </w:r>
    </w:p>
    <w:p w14:paraId="17A9A621">
      <w:pPr>
        <w:adjustRightInd w:val="0"/>
        <w:snapToGrid w:val="0"/>
        <w:spacing w:line="400" w:lineRule="exact"/>
        <w:rPr>
          <w:rFonts w:hint="eastAsia"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2635B038">
      <w:pPr>
        <w:adjustRightInd w:val="0"/>
        <w:snapToGrid w:val="0"/>
        <w:spacing w:line="400" w:lineRule="exact"/>
        <w:rPr>
          <w:rFonts w:hint="eastAsia"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14:paraId="274CBC70">
      <w:pPr>
        <w:adjustRightInd w:val="0"/>
        <w:snapToGrid w:val="0"/>
        <w:spacing w:line="400" w:lineRule="exact"/>
        <w:rPr>
          <w:rFonts w:hint="eastAsia"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4387281E">
      <w:pPr>
        <w:adjustRightInd w:val="0"/>
        <w:snapToGrid w:val="0"/>
        <w:spacing w:line="400" w:lineRule="exact"/>
        <w:rPr>
          <w:rFonts w:hint="eastAsia" w:ascii="宋体" w:hAnsi="宋体"/>
          <w:szCs w:val="21"/>
        </w:rPr>
      </w:pPr>
      <w:r>
        <w:rPr>
          <w:rFonts w:hint="eastAsia" w:ascii="宋体" w:hAnsi="宋体"/>
          <w:szCs w:val="21"/>
        </w:rPr>
        <w:t xml:space="preserve">    （注：固定单价合同应填写单价和最高限价）</w:t>
      </w:r>
    </w:p>
    <w:p w14:paraId="396EAAC8">
      <w:pPr>
        <w:numPr>
          <w:ilvl w:val="255"/>
          <w:numId w:val="0"/>
        </w:numPr>
        <w:adjustRightInd w:val="0"/>
        <w:snapToGrid w:val="0"/>
        <w:spacing w:line="400" w:lineRule="exact"/>
        <w:rPr>
          <w:rFonts w:hint="eastAsia" w:ascii="宋体" w:hAnsi="宋体"/>
          <w:szCs w:val="21"/>
        </w:rPr>
      </w:pPr>
      <w:r>
        <w:rPr>
          <w:rFonts w:hint="eastAsia" w:ascii="宋体" w:hAnsi="宋体"/>
          <w:szCs w:val="21"/>
        </w:rPr>
        <w:t xml:space="preserve">    （2）合同定价方式（采用组合定价方式的，可以勾选多项）：</w:t>
      </w:r>
    </w:p>
    <w:p w14:paraId="7C13F84B">
      <w:pPr>
        <w:adjustRightInd w:val="0"/>
        <w:snapToGrid w:val="0"/>
        <w:spacing w:line="400" w:lineRule="exact"/>
        <w:ind w:firstLine="420" w:firstLineChars="200"/>
        <w:rPr>
          <w:rFonts w:hint="eastAsia" w:ascii="宋体" w:hAnsi="宋体"/>
          <w:szCs w:val="21"/>
        </w:rPr>
      </w:pPr>
      <w:r>
        <w:rPr>
          <w:rFonts w:hint="eastAsia" w:ascii="宋体" w:hAnsi="宋体"/>
          <w:iCs/>
          <w:szCs w:val="21"/>
        </w:rPr>
        <w:t xml:space="preserve">  </w:t>
      </w:r>
      <w:r>
        <w:rPr>
          <w:rFonts w:ascii="Wingdings" w:hAnsi="Wingdings"/>
          <w:iCs/>
          <w:szCs w:val="21"/>
        </w:rPr>
        <w:t></w:t>
      </w:r>
      <w:r>
        <w:rPr>
          <w:rFonts w:hint="eastAsia" w:ascii="宋体" w:hAnsi="宋体"/>
          <w:iCs/>
          <w:szCs w:val="21"/>
        </w:rPr>
        <w:t xml:space="preserve">固定总价 </w:t>
      </w:r>
      <w:r>
        <w:rPr>
          <w:rFonts w:ascii="Wingdings" w:hAnsi="Wingdings"/>
          <w:iCs/>
          <w:szCs w:val="21"/>
        </w:rPr>
        <w:t></w:t>
      </w:r>
      <w:r>
        <w:rPr>
          <w:rFonts w:hint="eastAsia" w:ascii="宋体" w:hAnsi="宋体"/>
          <w:iCs/>
          <w:szCs w:val="21"/>
        </w:rPr>
        <w:t xml:space="preserve">固定单价 </w:t>
      </w:r>
      <w:r>
        <w:rPr>
          <w:rFonts w:ascii="Wingdings" w:hAnsi="Wingdings"/>
          <w:iCs/>
          <w:szCs w:val="21"/>
        </w:rPr>
        <w:t></w:t>
      </w:r>
      <w:r>
        <w:rPr>
          <w:rFonts w:hint="eastAsia" w:ascii="宋体" w:hAnsi="宋体"/>
          <w:iCs/>
          <w:szCs w:val="21"/>
        </w:rPr>
        <w:t xml:space="preserve">固定费率 </w:t>
      </w:r>
      <w:r>
        <w:rPr>
          <w:rFonts w:ascii="Wingdings" w:hAnsi="Wingdings"/>
          <w:iCs/>
          <w:szCs w:val="21"/>
        </w:rPr>
        <w:t></w:t>
      </w:r>
      <w:r>
        <w:rPr>
          <w:rFonts w:hint="eastAsia" w:ascii="宋体" w:hAnsi="宋体"/>
          <w:iCs/>
          <w:szCs w:val="21"/>
        </w:rPr>
        <w:t xml:space="preserve">成本补偿 </w:t>
      </w:r>
      <w:r>
        <w:rPr>
          <w:rFonts w:ascii="Wingdings" w:hAnsi="Wingdings"/>
          <w:iCs/>
          <w:szCs w:val="21"/>
        </w:rPr>
        <w:t></w:t>
      </w:r>
      <w:r>
        <w:rPr>
          <w:rFonts w:hint="eastAsia" w:ascii="宋体" w:hAnsi="宋体"/>
          <w:iCs/>
          <w:szCs w:val="21"/>
        </w:rPr>
        <w:t xml:space="preserve">绩效激励 </w:t>
      </w:r>
      <w:r>
        <w:rPr>
          <w:rFonts w:ascii="Wingdings" w:hAnsi="Wingdings"/>
          <w:iCs/>
          <w:szCs w:val="21"/>
        </w:rPr>
        <w:t></w:t>
      </w:r>
      <w:r>
        <w:rPr>
          <w:rFonts w:hint="eastAsia" w:ascii="宋体" w:hAnsi="宋体"/>
          <w:iCs/>
          <w:szCs w:val="21"/>
        </w:rPr>
        <w:t>其他</w:t>
      </w:r>
      <w:r>
        <w:rPr>
          <w:rFonts w:hint="eastAsia" w:ascii="宋体" w:hAnsi="宋体"/>
          <w:szCs w:val="21"/>
          <w:u w:val="single"/>
        </w:rPr>
        <w:t xml:space="preserve">       </w:t>
      </w:r>
    </w:p>
    <w:p w14:paraId="583BFD79">
      <w:pPr>
        <w:spacing w:line="400" w:lineRule="exact"/>
        <w:ind w:firstLine="420" w:firstLineChars="200"/>
        <w:rPr>
          <w:szCs w:val="21"/>
        </w:rPr>
      </w:pPr>
      <w:r>
        <w:rPr>
          <w:rFonts w:hint="eastAsia" w:ascii="宋体" w:hAnsi="宋体"/>
          <w:szCs w:val="21"/>
        </w:rPr>
        <w:t>（3）付款方式（按项目实际勾选填写）：</w:t>
      </w:r>
    </w:p>
    <w:p w14:paraId="5A5811C8">
      <w:pPr>
        <w:adjustRightInd w:val="0"/>
        <w:snapToGrid w:val="0"/>
        <w:spacing w:line="400" w:lineRule="exact"/>
        <w:ind w:firstLine="630" w:firstLineChars="300"/>
        <w:rPr>
          <w:rFonts w:hint="eastAsia" w:ascii="宋体" w:hAnsi="宋体"/>
          <w:szCs w:val="21"/>
          <w:u w:val="single"/>
        </w:rPr>
      </w:pPr>
      <w:r>
        <w:rPr>
          <w:rFonts w:ascii="Wingdings" w:hAnsi="Wingdings"/>
          <w:szCs w:val="21"/>
        </w:rPr>
        <w:t></w:t>
      </w:r>
      <w:r>
        <w:rPr>
          <w:rFonts w:hint="eastAsia" w:ascii="宋体" w:hAnsi="宋体"/>
          <w:szCs w:val="21"/>
        </w:rPr>
        <w:t>全额付款：</w:t>
      </w:r>
      <w:r>
        <w:rPr>
          <w:rFonts w:hint="eastAsia" w:ascii="宋体" w:hAnsi="宋体"/>
          <w:szCs w:val="21"/>
          <w:u w:val="single"/>
        </w:rPr>
        <w:t xml:space="preserve">     （应明确一次性支付合同款项的条件）                    </w:t>
      </w:r>
    </w:p>
    <w:p w14:paraId="778A732B">
      <w:pPr>
        <w:snapToGrid w:val="0"/>
        <w:spacing w:line="400" w:lineRule="exact"/>
        <w:ind w:firstLine="630" w:firstLineChars="300"/>
      </w:pPr>
      <w:r>
        <w:rPr>
          <w:rFonts w:ascii="Wingdings" w:hAnsi="Wingdings"/>
          <w:szCs w:val="21"/>
        </w:rPr>
        <w:t></w:t>
      </w:r>
      <w:r>
        <w:rPr>
          <w:rFonts w:hint="eastAsia" w:ascii="宋体" w:hAnsi="宋体"/>
          <w:szCs w:val="21"/>
        </w:rPr>
        <w:t>分期付款：</w:t>
      </w:r>
      <w:r>
        <w:rPr>
          <w:rFonts w:hint="eastAsia" w:ascii="宋体" w:hAnsi="宋体"/>
          <w:szCs w:val="21"/>
          <w:u w:val="single"/>
        </w:rPr>
        <w:t xml:space="preserve">  （应明确分期支付合同款项的各期比例和支付条件，各期支付条件应与分期履约验收情况挂钩） </w:t>
      </w:r>
      <w:r>
        <w:rPr>
          <w:rFonts w:hint="eastAsia" w:ascii="宋体" w:hAnsi="宋体"/>
          <w:szCs w:val="21"/>
        </w:rPr>
        <w:t>，其中涉及预付款的：</w:t>
      </w:r>
      <w:r>
        <w:rPr>
          <w:rFonts w:hint="eastAsia" w:ascii="宋体" w:hAnsi="宋体"/>
          <w:szCs w:val="21"/>
          <w:u w:val="single"/>
        </w:rPr>
        <w:t xml:space="preserve"> （应明确预付款的支付比例和支付条件） </w:t>
      </w:r>
    </w:p>
    <w:p w14:paraId="75791CB9">
      <w:pPr>
        <w:adjustRightInd w:val="0"/>
        <w:snapToGrid w:val="0"/>
        <w:spacing w:line="400" w:lineRule="exact"/>
        <w:ind w:firstLine="630" w:firstLineChars="300"/>
        <w:rPr>
          <w:rFonts w:hint="eastAsia" w:ascii="宋体" w:hAnsi="宋体"/>
          <w:szCs w:val="21"/>
          <w:u w:val="single"/>
        </w:rPr>
      </w:pPr>
      <w:r>
        <w:rPr>
          <w:rFonts w:ascii="Wingdings" w:hAnsi="Wingdings"/>
          <w:szCs w:val="21"/>
        </w:rPr>
        <w:t></w:t>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113D9B05">
      <w:pPr>
        <w:adjustRightInd w:val="0"/>
        <w:snapToGrid w:val="0"/>
        <w:spacing w:line="400" w:lineRule="exact"/>
        <w:ind w:firstLine="630" w:firstLineChars="300"/>
        <w:rPr>
          <w:rFonts w:hint="eastAsia" w:ascii="宋体" w:hAnsi="宋体"/>
          <w:szCs w:val="21"/>
        </w:rPr>
      </w:pPr>
      <w:r>
        <w:rPr>
          <w:rFonts w:ascii="Wingdings" w:hAnsi="Wingdings"/>
          <w:szCs w:val="21"/>
        </w:rPr>
        <w:t></w:t>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37929506">
      <w:pPr>
        <w:numPr>
          <w:ilvl w:val="0"/>
          <w:numId w:val="3"/>
        </w:numPr>
        <w:adjustRightInd w:val="0"/>
        <w:snapToGrid w:val="0"/>
        <w:spacing w:line="400" w:lineRule="exact"/>
        <w:ind w:firstLine="422" w:firstLineChars="200"/>
        <w:rPr>
          <w:rFonts w:hint="eastAsia" w:ascii="宋体" w:hAnsi="宋体"/>
          <w:b/>
          <w:szCs w:val="21"/>
          <w:u w:val="single"/>
        </w:rPr>
      </w:pPr>
      <w:r>
        <w:rPr>
          <w:rFonts w:hint="eastAsia" w:ascii="宋体" w:hAnsi="宋体"/>
          <w:b/>
          <w:szCs w:val="21"/>
        </w:rPr>
        <w:t>合同履行</w:t>
      </w:r>
    </w:p>
    <w:p w14:paraId="0FE5ED31">
      <w:p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08E4C62">
      <w:pPr>
        <w:adjustRightInd w:val="0"/>
        <w:snapToGrid w:val="0"/>
        <w:spacing w:line="400" w:lineRule="exact"/>
        <w:ind w:firstLine="420" w:firstLineChars="200"/>
        <w:rPr>
          <w:rFonts w:hint="eastAsia"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14:paraId="0B4E67E6">
      <w:pPr>
        <w:adjustRightInd w:val="0"/>
        <w:snapToGrid w:val="0"/>
        <w:spacing w:line="400" w:lineRule="exact"/>
        <w:ind w:firstLine="420" w:firstLineChars="200"/>
        <w:rPr>
          <w:rFonts w:hint="eastAsia"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ascii="Wingdings" w:hAnsi="Wingdings" w:cs="宋体"/>
          <w:szCs w:val="21"/>
        </w:rPr>
        <w:t></w:t>
      </w:r>
      <w:r>
        <w:rPr>
          <w:rFonts w:hint="eastAsia" w:ascii="宋体" w:hAnsi="宋体" w:cs="宋体"/>
          <w:szCs w:val="21"/>
        </w:rPr>
        <w:t xml:space="preserve">是    </w:t>
      </w:r>
      <w:r>
        <w:rPr>
          <w:rFonts w:ascii="Wingdings" w:hAnsi="Wingdings" w:cs="宋体"/>
          <w:szCs w:val="21"/>
        </w:rPr>
        <w:t></w:t>
      </w:r>
      <w:r>
        <w:rPr>
          <w:rFonts w:hint="eastAsia" w:ascii="宋体" w:hAnsi="宋体" w:cs="宋体"/>
          <w:szCs w:val="21"/>
        </w:rPr>
        <w:t>否</w:t>
      </w:r>
    </w:p>
    <w:p w14:paraId="5157A076">
      <w:pPr>
        <w:autoSpaceDE w:val="0"/>
        <w:autoSpaceDN w:val="0"/>
        <w:adjustRightInd w:val="0"/>
        <w:spacing w:line="400" w:lineRule="exact"/>
        <w:ind w:firstLine="440" w:firstLineChars="200"/>
        <w:rPr>
          <w:rFonts w:hint="eastAsia" w:ascii="宋体" w:hAnsi="宋体" w:cs="宋体"/>
          <w:szCs w:val="21"/>
        </w:rPr>
      </w:pPr>
      <w:r>
        <w:rPr>
          <w:rFonts w:hint="eastAsia" w:ascii="宋体" w:hAnsi="宋体" w:eastAsia="华文楷体" w:cs="宋体"/>
          <w:bCs/>
          <w:sz w:val="22"/>
          <w:szCs w:val="21"/>
        </w:rPr>
        <w:t xml:space="preserve">  </w:t>
      </w:r>
      <w:r>
        <w:rPr>
          <w:rFonts w:hint="eastAsia" w:ascii="宋体" w:hAnsi="宋体" w:cs="宋体"/>
          <w:szCs w:val="21"/>
        </w:rPr>
        <w:t xml:space="preserve">  收取履约保证金形式：</w:t>
      </w:r>
      <w:r>
        <w:rPr>
          <w:rFonts w:hint="eastAsia" w:ascii="宋体" w:hAnsi="宋体" w:cs="宋体"/>
          <w:bCs/>
          <w:szCs w:val="21"/>
          <w:u w:val="single"/>
        </w:rPr>
        <w:t xml:space="preserve">                            </w:t>
      </w:r>
    </w:p>
    <w:p w14:paraId="6DA0617F">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 xml:space="preserve">    收取履约保证金金额：</w:t>
      </w:r>
      <w:r>
        <w:rPr>
          <w:rFonts w:hint="eastAsia" w:ascii="宋体" w:hAnsi="宋体" w:cs="宋体"/>
          <w:bCs/>
          <w:szCs w:val="21"/>
          <w:u w:val="single"/>
        </w:rPr>
        <w:t xml:space="preserve">                            </w:t>
      </w:r>
    </w:p>
    <w:p w14:paraId="3CDE33D7">
      <w:pPr>
        <w:snapToGrid w:val="0"/>
        <w:spacing w:line="400" w:lineRule="exact"/>
        <w:ind w:firstLine="420" w:firstLineChars="200"/>
        <w:rPr>
          <w:rFonts w:hint="eastAsia"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14:paraId="4AEC57D9">
      <w:pPr>
        <w:adjustRightInd w:val="0"/>
        <w:snapToGrid w:val="0"/>
        <w:spacing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14:paraId="58318C57">
      <w:pPr>
        <w:adjustRightInd w:val="0"/>
        <w:snapToGrid w:val="0"/>
        <w:spacing w:line="400" w:lineRule="exact"/>
        <w:ind w:firstLine="420" w:firstLineChars="200"/>
        <w:rPr>
          <w:rFonts w:hint="eastAsia" w:ascii="宋体" w:hAnsi="宋体" w:cs="宋体"/>
          <w:szCs w:val="21"/>
          <w:u w:val="single"/>
        </w:rPr>
      </w:pPr>
      <w:r>
        <w:rPr>
          <w:rFonts w:hint="eastAsia" w:ascii="宋体" w:hAnsi="宋体" w:cs="宋体"/>
          <w:bCs/>
          <w:szCs w:val="21"/>
        </w:rPr>
        <w:t>（5）风险处置措施和替代方案：</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14:paraId="131F3599">
      <w:pPr>
        <w:numPr>
          <w:ilvl w:val="0"/>
          <w:numId w:val="3"/>
        </w:numPr>
        <w:adjustRightInd w:val="0"/>
        <w:snapToGrid w:val="0"/>
        <w:spacing w:line="400" w:lineRule="exact"/>
        <w:ind w:firstLine="422" w:firstLineChars="200"/>
        <w:rPr>
          <w:rFonts w:hint="eastAsia" w:ascii="宋体" w:hAnsi="宋体"/>
          <w:b/>
          <w:szCs w:val="21"/>
        </w:rPr>
      </w:pPr>
      <w:r>
        <w:rPr>
          <w:rFonts w:hint="eastAsia" w:ascii="宋体" w:hAnsi="宋体"/>
          <w:b/>
          <w:szCs w:val="21"/>
        </w:rPr>
        <w:t>合同验收</w:t>
      </w:r>
    </w:p>
    <w:p w14:paraId="13CC7772">
      <w:pPr>
        <w:numPr>
          <w:ilvl w:val="0"/>
          <w:numId w:val="5"/>
        </w:numPr>
        <w:adjustRightInd w:val="0"/>
        <w:snapToGrid w:val="0"/>
        <w:spacing w:line="400" w:lineRule="exact"/>
        <w:ind w:firstLine="420" w:firstLineChars="200"/>
        <w:rPr>
          <w:rFonts w:hint="eastAsia" w:ascii="宋体" w:hAnsi="宋体"/>
          <w:bCs/>
          <w:szCs w:val="21"/>
        </w:rPr>
      </w:pPr>
      <w:r>
        <w:rPr>
          <w:rFonts w:hint="eastAsia" w:ascii="宋体" w:hAnsi="宋体"/>
          <w:bCs/>
          <w:szCs w:val="21"/>
        </w:rPr>
        <w:t>验收组织方式：</w:t>
      </w:r>
      <w:r>
        <w:rPr>
          <w:rFonts w:ascii="Wingdings" w:hAnsi="Wingdings" w:cs="宋体"/>
          <w:szCs w:val="21"/>
        </w:rPr>
        <w:t></w:t>
      </w:r>
      <w:r>
        <w:rPr>
          <w:rFonts w:hint="eastAsia" w:ascii="宋体" w:hAnsi="宋体"/>
          <w:bCs/>
          <w:szCs w:val="21"/>
        </w:rPr>
        <w:t xml:space="preserve">自行组织 </w:t>
      </w:r>
      <w:r>
        <w:rPr>
          <w:rFonts w:ascii="Wingdings" w:hAnsi="Wingdings" w:cs="宋体"/>
          <w:szCs w:val="21"/>
        </w:rPr>
        <w:t></w:t>
      </w:r>
      <w:r>
        <w:rPr>
          <w:rFonts w:hint="eastAsia" w:ascii="宋体" w:hAnsi="宋体"/>
          <w:bCs/>
          <w:szCs w:val="21"/>
        </w:rPr>
        <w:t>委托第三方组织</w:t>
      </w:r>
    </w:p>
    <w:p w14:paraId="6F60B646">
      <w:pPr>
        <w:adjustRightInd w:val="0"/>
        <w:snapToGrid w:val="0"/>
        <w:spacing w:line="400" w:lineRule="exact"/>
        <w:rPr>
          <w:rFonts w:hint="eastAsia"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14:paraId="68DA88D6">
      <w:pPr>
        <w:adjustRightInd w:val="0"/>
        <w:snapToGrid w:val="0"/>
        <w:spacing w:line="400" w:lineRule="exact"/>
        <w:rPr>
          <w:rFonts w:hint="eastAsia" w:ascii="宋体" w:hAnsi="宋体"/>
          <w:bCs/>
          <w:szCs w:val="21"/>
        </w:rPr>
      </w:pPr>
      <w:r>
        <w:rPr>
          <w:rFonts w:hint="eastAsia" w:ascii="宋体" w:hAnsi="宋体"/>
          <w:bCs/>
          <w:szCs w:val="21"/>
        </w:rPr>
        <w:t xml:space="preserve">        是否邀请本项目的其他供应商参加验收：</w:t>
      </w:r>
      <w:r>
        <w:rPr>
          <w:rFonts w:ascii="Wingdings" w:hAnsi="Wingdings" w:cs="宋体"/>
          <w:szCs w:val="21"/>
        </w:rPr>
        <w:t></w:t>
      </w:r>
      <w:r>
        <w:rPr>
          <w:rFonts w:hint="eastAsia" w:ascii="宋体" w:hAnsi="宋体"/>
          <w:bCs/>
          <w:szCs w:val="21"/>
        </w:rPr>
        <w:t xml:space="preserve">是  </w:t>
      </w:r>
      <w:r>
        <w:rPr>
          <w:rFonts w:ascii="Wingdings" w:hAnsi="Wingdings" w:cs="宋体"/>
          <w:szCs w:val="21"/>
        </w:rPr>
        <w:t></w:t>
      </w:r>
      <w:r>
        <w:rPr>
          <w:rFonts w:hint="eastAsia" w:ascii="宋体" w:hAnsi="宋体"/>
          <w:bCs/>
          <w:szCs w:val="21"/>
        </w:rPr>
        <w:t>否</w:t>
      </w:r>
    </w:p>
    <w:p w14:paraId="3336AC2C">
      <w:pPr>
        <w:adjustRightInd w:val="0"/>
        <w:snapToGrid w:val="0"/>
        <w:spacing w:line="400" w:lineRule="exact"/>
        <w:ind w:firstLine="840" w:firstLineChars="400"/>
        <w:rPr>
          <w:rFonts w:hint="eastAsia" w:ascii="宋体" w:hAnsi="宋体"/>
          <w:bCs/>
          <w:szCs w:val="21"/>
        </w:rPr>
      </w:pPr>
      <w:r>
        <w:rPr>
          <w:rFonts w:hint="eastAsia" w:ascii="宋体" w:hAnsi="宋体"/>
          <w:bCs/>
          <w:szCs w:val="21"/>
        </w:rPr>
        <w:t>是否邀请专家参加验收：</w:t>
      </w:r>
      <w:r>
        <w:rPr>
          <w:rFonts w:ascii="Wingdings" w:hAnsi="Wingdings" w:cs="宋体"/>
          <w:szCs w:val="21"/>
        </w:rPr>
        <w:t></w:t>
      </w:r>
      <w:r>
        <w:rPr>
          <w:rFonts w:hint="eastAsia" w:ascii="宋体" w:hAnsi="宋体"/>
          <w:bCs/>
          <w:szCs w:val="21"/>
        </w:rPr>
        <w:t xml:space="preserve">是  </w:t>
      </w:r>
      <w:r>
        <w:rPr>
          <w:rFonts w:ascii="Wingdings" w:hAnsi="Wingdings" w:cs="宋体"/>
          <w:szCs w:val="21"/>
        </w:rPr>
        <w:t></w:t>
      </w:r>
      <w:r>
        <w:rPr>
          <w:rFonts w:hint="eastAsia" w:ascii="宋体" w:hAnsi="宋体"/>
          <w:bCs/>
          <w:szCs w:val="21"/>
        </w:rPr>
        <w:t>否</w:t>
      </w:r>
    </w:p>
    <w:p w14:paraId="2231ABE6">
      <w:pPr>
        <w:adjustRightInd w:val="0"/>
        <w:snapToGrid w:val="0"/>
        <w:spacing w:line="400" w:lineRule="exact"/>
        <w:ind w:firstLine="840" w:firstLineChars="400"/>
        <w:rPr>
          <w:rFonts w:hint="eastAsia" w:ascii="宋体" w:hAnsi="宋体"/>
          <w:bCs/>
          <w:szCs w:val="21"/>
        </w:rPr>
      </w:pPr>
      <w:r>
        <w:rPr>
          <w:rFonts w:hint="eastAsia" w:ascii="宋体" w:hAnsi="宋体"/>
          <w:bCs/>
          <w:szCs w:val="21"/>
        </w:rPr>
        <w:t>是否邀请服务对象参加验收：</w:t>
      </w:r>
      <w:r>
        <w:rPr>
          <w:rFonts w:ascii="Wingdings" w:hAnsi="Wingdings" w:cs="宋体"/>
          <w:szCs w:val="21"/>
        </w:rPr>
        <w:t></w:t>
      </w:r>
      <w:r>
        <w:rPr>
          <w:rFonts w:hint="eastAsia" w:ascii="宋体" w:hAnsi="宋体"/>
          <w:bCs/>
          <w:szCs w:val="21"/>
        </w:rPr>
        <w:t xml:space="preserve">是  </w:t>
      </w:r>
      <w:r>
        <w:rPr>
          <w:rFonts w:ascii="Wingdings" w:hAnsi="Wingdings" w:cs="宋体"/>
          <w:szCs w:val="21"/>
        </w:rPr>
        <w:t></w:t>
      </w:r>
      <w:r>
        <w:rPr>
          <w:rFonts w:hint="eastAsia" w:ascii="宋体" w:hAnsi="宋体"/>
          <w:bCs/>
          <w:szCs w:val="21"/>
        </w:rPr>
        <w:t>否</w:t>
      </w:r>
    </w:p>
    <w:p w14:paraId="35BFC51C">
      <w:pPr>
        <w:adjustRightInd w:val="0"/>
        <w:snapToGrid w:val="0"/>
        <w:spacing w:line="400" w:lineRule="exact"/>
        <w:ind w:firstLine="840" w:firstLineChars="400"/>
        <w:rPr>
          <w:rFonts w:hint="eastAsia" w:ascii="宋体" w:hAnsi="宋体"/>
          <w:bCs/>
          <w:szCs w:val="21"/>
        </w:rPr>
      </w:pPr>
      <w:r>
        <w:rPr>
          <w:rFonts w:hint="eastAsia" w:ascii="宋体" w:hAnsi="宋体"/>
          <w:bCs/>
          <w:szCs w:val="21"/>
        </w:rPr>
        <w:t>是否邀请第三方检测机构参加验收：</w:t>
      </w:r>
      <w:r>
        <w:rPr>
          <w:rFonts w:ascii="Wingdings" w:hAnsi="Wingdings" w:cs="宋体"/>
          <w:szCs w:val="21"/>
        </w:rPr>
        <w:t></w:t>
      </w:r>
      <w:r>
        <w:rPr>
          <w:rFonts w:hint="eastAsia" w:ascii="宋体" w:hAnsi="宋体"/>
          <w:bCs/>
          <w:szCs w:val="21"/>
        </w:rPr>
        <w:t xml:space="preserve">是  </w:t>
      </w:r>
      <w:r>
        <w:rPr>
          <w:rFonts w:ascii="Wingdings" w:hAnsi="Wingdings" w:cs="宋体"/>
          <w:szCs w:val="21"/>
        </w:rPr>
        <w:t></w:t>
      </w:r>
      <w:r>
        <w:rPr>
          <w:rFonts w:hint="eastAsia" w:ascii="宋体" w:hAnsi="宋体"/>
          <w:bCs/>
          <w:szCs w:val="21"/>
        </w:rPr>
        <w:t>否</w:t>
      </w:r>
    </w:p>
    <w:p w14:paraId="7A29A8C5">
      <w:pPr>
        <w:adjustRightInd w:val="0"/>
        <w:snapToGrid w:val="0"/>
        <w:spacing w:line="400" w:lineRule="exact"/>
        <w:ind w:firstLine="840" w:firstLineChars="400"/>
        <w:rPr>
          <w:rFonts w:hint="eastAsia" w:ascii="宋体" w:hAnsi="宋体"/>
          <w:bCs/>
          <w:szCs w:val="21"/>
        </w:rPr>
      </w:pPr>
      <w:r>
        <w:rPr>
          <w:rFonts w:hint="eastAsia" w:ascii="宋体" w:hAnsi="宋体"/>
          <w:bCs/>
          <w:szCs w:val="21"/>
        </w:rPr>
        <w:t>是否进行抽查检测：</w:t>
      </w:r>
      <w:r>
        <w:rPr>
          <w:rFonts w:ascii="Wingdings" w:hAnsi="Wingdings" w:cs="宋体"/>
          <w:szCs w:val="21"/>
        </w:rPr>
        <w:t></w:t>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ascii="Wingdings" w:hAnsi="Wingdings" w:cs="宋体"/>
          <w:szCs w:val="21"/>
        </w:rPr>
        <w:t></w:t>
      </w:r>
      <w:r>
        <w:rPr>
          <w:rFonts w:hint="eastAsia" w:ascii="宋体" w:hAnsi="宋体"/>
          <w:bCs/>
          <w:szCs w:val="21"/>
        </w:rPr>
        <w:t>否</w:t>
      </w:r>
    </w:p>
    <w:p w14:paraId="1B3986F3">
      <w:pPr>
        <w:adjustRightInd w:val="0"/>
        <w:snapToGrid w:val="0"/>
        <w:spacing w:line="400" w:lineRule="exact"/>
        <w:ind w:firstLine="840" w:firstLineChars="400"/>
        <w:rPr>
          <w:rFonts w:hint="eastAsia" w:ascii="宋体" w:hAnsi="宋体"/>
          <w:bCs/>
          <w:szCs w:val="21"/>
          <w:u w:val="single"/>
        </w:rPr>
      </w:pPr>
      <w:r>
        <w:rPr>
          <w:rFonts w:hint="eastAsia" w:ascii="宋体" w:hAnsi="宋体"/>
          <w:bCs/>
          <w:szCs w:val="21"/>
        </w:rPr>
        <w:t>是否存在破坏性检测：</w:t>
      </w:r>
      <w:r>
        <w:rPr>
          <w:rFonts w:ascii="Wingdings" w:hAnsi="Wingdings" w:cs="宋体"/>
          <w:szCs w:val="21"/>
        </w:rPr>
        <w:t></w:t>
      </w:r>
      <w:r>
        <w:rPr>
          <w:rFonts w:hint="eastAsia" w:ascii="宋体" w:hAnsi="宋体"/>
          <w:bCs/>
          <w:szCs w:val="21"/>
        </w:rPr>
        <w:t>是，</w:t>
      </w:r>
      <w:r>
        <w:rPr>
          <w:rFonts w:hint="eastAsia" w:ascii="宋体" w:hAnsi="宋体"/>
          <w:bCs/>
          <w:szCs w:val="21"/>
          <w:u w:val="single"/>
        </w:rPr>
        <w:t>（应明确对被破坏的检测产品的处理方式）</w:t>
      </w:r>
    </w:p>
    <w:p w14:paraId="79E1F161">
      <w:pPr>
        <w:adjustRightInd w:val="0"/>
        <w:snapToGrid w:val="0"/>
        <w:spacing w:line="400" w:lineRule="exact"/>
        <w:ind w:firstLine="840" w:firstLineChars="400"/>
        <w:rPr>
          <w:rFonts w:hint="eastAsia" w:ascii="宋体" w:hAnsi="宋体"/>
          <w:bCs/>
          <w:szCs w:val="21"/>
        </w:rPr>
      </w:pPr>
      <w:r>
        <w:rPr>
          <w:rFonts w:hint="eastAsia" w:ascii="宋体" w:hAnsi="宋体"/>
          <w:bCs/>
          <w:szCs w:val="21"/>
        </w:rPr>
        <w:t xml:space="preserve">                    </w:t>
      </w:r>
      <w:r>
        <w:rPr>
          <w:rFonts w:ascii="Wingdings" w:hAnsi="Wingdings" w:cs="宋体"/>
          <w:szCs w:val="21"/>
        </w:rPr>
        <w:t></w:t>
      </w:r>
      <w:r>
        <w:rPr>
          <w:rFonts w:hint="eastAsia" w:ascii="宋体" w:hAnsi="宋体"/>
          <w:bCs/>
          <w:szCs w:val="21"/>
        </w:rPr>
        <w:t>否</w:t>
      </w:r>
    </w:p>
    <w:p w14:paraId="3D78300D">
      <w:pPr>
        <w:adjustRightInd w:val="0"/>
        <w:snapToGrid w:val="0"/>
        <w:spacing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02A49C11">
      <w:pPr>
        <w:adjustRightInd w:val="0"/>
        <w:snapToGrid w:val="0"/>
        <w:spacing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14:paraId="558A2B79">
      <w:pPr>
        <w:adjustRightInd w:val="0"/>
        <w:snapToGrid w:val="0"/>
        <w:spacing w:line="400" w:lineRule="exact"/>
        <w:ind w:firstLine="420" w:firstLineChars="200"/>
        <w:rPr>
          <w:rFonts w:hint="eastAsia" w:ascii="宋体" w:hAnsi="宋体"/>
          <w:bCs/>
          <w:szCs w:val="21"/>
        </w:rPr>
      </w:pPr>
      <w:r>
        <w:rPr>
          <w:rFonts w:hint="eastAsia" w:ascii="宋体" w:hAnsi="宋体"/>
          <w:bCs/>
          <w:szCs w:val="21"/>
        </w:rPr>
        <w:t>（3）履约验收方式：</w:t>
      </w:r>
      <w:r>
        <w:rPr>
          <w:rFonts w:ascii="Wingdings" w:hAnsi="Wingdings" w:cs="宋体"/>
          <w:szCs w:val="21"/>
        </w:rPr>
        <w:t></w:t>
      </w:r>
      <w:r>
        <w:rPr>
          <w:rFonts w:hint="eastAsia" w:ascii="宋体" w:hAnsi="宋体"/>
          <w:bCs/>
          <w:szCs w:val="21"/>
        </w:rPr>
        <w:t xml:space="preserve">一次性验收         </w:t>
      </w:r>
    </w:p>
    <w:p w14:paraId="2E6CB091">
      <w:pPr>
        <w:adjustRightInd w:val="0"/>
        <w:snapToGrid w:val="0"/>
        <w:spacing w:line="400" w:lineRule="exact"/>
        <w:rPr>
          <w:rFonts w:hint="eastAsia" w:ascii="宋体" w:hAnsi="宋体"/>
          <w:bCs/>
          <w:szCs w:val="21"/>
        </w:rPr>
      </w:pPr>
      <w:r>
        <w:rPr>
          <w:rFonts w:hint="eastAsia" w:ascii="宋体" w:hAnsi="宋体"/>
          <w:bCs/>
          <w:szCs w:val="21"/>
        </w:rPr>
        <w:t xml:space="preserve">                       </w:t>
      </w:r>
      <w:r>
        <w:rPr>
          <w:rFonts w:ascii="Wingdings" w:hAnsi="Wingdings" w:cs="宋体"/>
          <w:szCs w:val="21"/>
        </w:rPr>
        <w:t></w:t>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rPr>
        <w:t>/</w:t>
      </w:r>
      <w:r>
        <w:rPr>
          <w:rFonts w:hint="eastAsia" w:ascii="宋体" w:hAnsi="宋体"/>
          <w:bCs/>
          <w:szCs w:val="21"/>
          <w:u w:val="single"/>
        </w:rPr>
        <w:t xml:space="preserve">分项验收的工作安排）  </w:t>
      </w:r>
    </w:p>
    <w:p w14:paraId="3CE51E1F">
      <w:pPr>
        <w:adjustRightInd w:val="0"/>
        <w:snapToGrid w:val="0"/>
        <w:spacing w:line="400" w:lineRule="exact"/>
        <w:ind w:firstLine="420" w:firstLineChars="200"/>
        <w:rPr>
          <w:rFonts w:hint="eastAsia"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7E07B50C">
      <w:pPr>
        <w:adjustRightInd w:val="0"/>
        <w:snapToGrid w:val="0"/>
        <w:spacing w:line="400" w:lineRule="exact"/>
        <w:ind w:firstLine="420" w:firstLineChars="200"/>
        <w:rPr>
          <w:rFonts w:hint="eastAsia"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14:paraId="5C61BEDA">
      <w:pPr>
        <w:adjustRightInd w:val="0"/>
        <w:snapToGrid w:val="0"/>
        <w:spacing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198EBB95">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bCs/>
          <w:szCs w:val="21"/>
        </w:rPr>
        <w:t>（7）是否以采购活动中供应商提供的样品作为参考：</w:t>
      </w:r>
      <w:r>
        <w:rPr>
          <w:rFonts w:ascii="Wingdings" w:hAnsi="Wingdings" w:cs="宋体"/>
          <w:szCs w:val="21"/>
        </w:rPr>
        <w:t></w:t>
      </w:r>
      <w:r>
        <w:rPr>
          <w:rFonts w:hint="eastAsia" w:ascii="宋体" w:hAnsi="宋体" w:cs="宋体"/>
          <w:bCs/>
          <w:szCs w:val="21"/>
        </w:rPr>
        <w:t xml:space="preserve">是  </w:t>
      </w:r>
      <w:r>
        <w:rPr>
          <w:rFonts w:ascii="Wingdings" w:hAnsi="Wingdings" w:cs="宋体"/>
          <w:szCs w:val="21"/>
        </w:rPr>
        <w:t></w:t>
      </w:r>
      <w:r>
        <w:rPr>
          <w:rFonts w:hint="eastAsia" w:ascii="宋体" w:hAnsi="宋体" w:cs="宋体"/>
          <w:bCs/>
          <w:szCs w:val="21"/>
        </w:rPr>
        <w:t>否</w:t>
      </w:r>
    </w:p>
    <w:p w14:paraId="44D35025">
      <w:pPr>
        <w:adjustRightInd w:val="0"/>
        <w:snapToGrid w:val="0"/>
        <w:spacing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14:paraId="39A62257">
      <w:pPr>
        <w:numPr>
          <w:ilvl w:val="0"/>
          <w:numId w:val="3"/>
        </w:numPr>
        <w:adjustRightInd w:val="0"/>
        <w:snapToGrid w:val="0"/>
        <w:spacing w:line="400" w:lineRule="exact"/>
        <w:ind w:firstLine="422" w:firstLineChars="200"/>
        <w:rPr>
          <w:rFonts w:hint="eastAsia" w:ascii="宋体" w:hAnsi="宋体"/>
          <w:b/>
          <w:szCs w:val="21"/>
        </w:rPr>
      </w:pPr>
      <w:r>
        <w:rPr>
          <w:rFonts w:hint="eastAsia" w:ascii="宋体" w:hAnsi="宋体"/>
          <w:b/>
          <w:szCs w:val="21"/>
        </w:rPr>
        <w:t>组成合同的文件</w:t>
      </w:r>
    </w:p>
    <w:p w14:paraId="4ABA2898">
      <w:pPr>
        <w:adjustRightInd w:val="0"/>
        <w:snapToGrid w:val="0"/>
        <w:spacing w:line="400" w:lineRule="exact"/>
        <w:ind w:firstLine="420" w:firstLineChars="200"/>
        <w:rPr>
          <w:rFonts w:hint="eastAsia" w:ascii="宋体" w:hAnsi="宋体"/>
          <w:szCs w:val="21"/>
        </w:rPr>
      </w:pPr>
      <w:r>
        <w:rPr>
          <w:rFonts w:hint="eastAsia" w:ascii="宋体" w:hAnsi="宋体"/>
          <w:szCs w:val="21"/>
        </w:rPr>
        <w:t>本协议书与下列文件一起构成合同文件，如下述文件之间有任何抵触、矛盾或歧义，应按以下顺序解释：</w:t>
      </w:r>
    </w:p>
    <w:p w14:paraId="6C239B59">
      <w:pPr>
        <w:adjustRightInd w:val="0"/>
        <w:snapToGrid w:val="0"/>
        <w:spacing w:line="400" w:lineRule="exact"/>
        <w:ind w:firstLine="420" w:firstLineChars="200"/>
        <w:rPr>
          <w:rFonts w:hint="eastAsia" w:ascii="宋体" w:hAnsi="宋体"/>
          <w:szCs w:val="21"/>
        </w:rPr>
      </w:pPr>
      <w:r>
        <w:rPr>
          <w:rFonts w:hint="eastAsia" w:ascii="宋体" w:hAnsi="宋体"/>
          <w:szCs w:val="21"/>
        </w:rPr>
        <w:t>（1）政府采购合同协议书及其变更、补充协议</w:t>
      </w:r>
    </w:p>
    <w:p w14:paraId="3EC30083">
      <w:pPr>
        <w:adjustRightInd w:val="0"/>
        <w:snapToGrid w:val="0"/>
        <w:spacing w:line="400" w:lineRule="exact"/>
        <w:ind w:firstLine="420" w:firstLineChars="200"/>
        <w:rPr>
          <w:rFonts w:hint="eastAsia" w:ascii="宋体" w:hAnsi="宋体"/>
          <w:szCs w:val="21"/>
        </w:rPr>
      </w:pPr>
      <w:r>
        <w:rPr>
          <w:rFonts w:hint="eastAsia" w:ascii="宋体" w:hAnsi="宋体"/>
          <w:szCs w:val="21"/>
        </w:rPr>
        <w:t>（2）政府采购合同专用条款</w:t>
      </w:r>
    </w:p>
    <w:p w14:paraId="251B8FCF">
      <w:pPr>
        <w:adjustRightInd w:val="0"/>
        <w:snapToGrid w:val="0"/>
        <w:spacing w:line="400" w:lineRule="exact"/>
        <w:ind w:firstLine="420" w:firstLineChars="200"/>
        <w:rPr>
          <w:rFonts w:hint="eastAsia" w:ascii="宋体" w:hAnsi="宋体"/>
          <w:szCs w:val="21"/>
        </w:rPr>
      </w:pPr>
      <w:r>
        <w:rPr>
          <w:rFonts w:hint="eastAsia" w:ascii="宋体" w:hAnsi="宋体"/>
          <w:szCs w:val="21"/>
        </w:rPr>
        <w:t>（3）政府采购合同通用条款</w:t>
      </w:r>
    </w:p>
    <w:p w14:paraId="135AEF68">
      <w:pPr>
        <w:adjustRightInd w:val="0"/>
        <w:snapToGrid w:val="0"/>
        <w:spacing w:line="400" w:lineRule="exact"/>
        <w:ind w:firstLine="420" w:firstLineChars="200"/>
        <w:rPr>
          <w:rFonts w:hint="eastAsia" w:ascii="宋体" w:hAnsi="宋体"/>
          <w:szCs w:val="21"/>
        </w:rPr>
      </w:pPr>
      <w:r>
        <w:rPr>
          <w:rFonts w:hint="eastAsia" w:ascii="宋体" w:hAnsi="宋体"/>
          <w:szCs w:val="21"/>
        </w:rPr>
        <w:t>（4）中标（成交）通知书</w:t>
      </w:r>
    </w:p>
    <w:p w14:paraId="034C494C">
      <w:pPr>
        <w:adjustRightInd w:val="0"/>
        <w:snapToGrid w:val="0"/>
        <w:spacing w:line="400" w:lineRule="exact"/>
        <w:ind w:firstLine="420" w:firstLineChars="200"/>
        <w:rPr>
          <w:rFonts w:hint="eastAsia" w:ascii="宋体" w:hAnsi="宋体"/>
          <w:szCs w:val="21"/>
        </w:rPr>
      </w:pPr>
      <w:r>
        <w:rPr>
          <w:rFonts w:hint="eastAsia" w:ascii="宋体" w:hAnsi="宋体"/>
          <w:szCs w:val="21"/>
        </w:rPr>
        <w:t>（5）投标（响应）文件</w:t>
      </w:r>
    </w:p>
    <w:p w14:paraId="7F9D781A">
      <w:pPr>
        <w:adjustRightInd w:val="0"/>
        <w:snapToGrid w:val="0"/>
        <w:spacing w:line="400" w:lineRule="exact"/>
        <w:ind w:firstLine="420" w:firstLineChars="200"/>
        <w:rPr>
          <w:rFonts w:hint="eastAsia" w:ascii="宋体" w:hAnsi="宋体"/>
          <w:szCs w:val="21"/>
        </w:rPr>
      </w:pPr>
      <w:r>
        <w:rPr>
          <w:rFonts w:hint="eastAsia" w:ascii="宋体" w:hAnsi="宋体"/>
          <w:szCs w:val="21"/>
        </w:rPr>
        <w:t>（6）采购文件</w:t>
      </w:r>
    </w:p>
    <w:p w14:paraId="72DC2D87">
      <w:pPr>
        <w:adjustRightInd w:val="0"/>
        <w:snapToGrid w:val="0"/>
        <w:spacing w:line="400" w:lineRule="exact"/>
        <w:ind w:firstLine="420" w:firstLineChars="200"/>
        <w:rPr>
          <w:rFonts w:hint="eastAsia" w:ascii="宋体" w:hAnsi="宋体"/>
          <w:szCs w:val="21"/>
        </w:rPr>
      </w:pPr>
      <w:r>
        <w:rPr>
          <w:rFonts w:hint="eastAsia" w:ascii="宋体" w:hAnsi="宋体"/>
          <w:szCs w:val="21"/>
        </w:rPr>
        <w:t>（7）有关技术文件，图纸</w:t>
      </w:r>
    </w:p>
    <w:p w14:paraId="4F559162">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（8）</w:t>
      </w:r>
      <w:r>
        <w:rPr>
          <w:rFonts w:hint="eastAsia" w:ascii="宋体" w:hAnsi="宋体" w:cs="宋体"/>
          <w:color w:val="000000"/>
          <w:szCs w:val="21"/>
        </w:rPr>
        <w:t>国家法律、行政法规和规章制度规定或合同约定的作为合同组成部分的其他文件</w:t>
      </w:r>
    </w:p>
    <w:p w14:paraId="43DBB33A">
      <w:pPr>
        <w:numPr>
          <w:ilvl w:val="0"/>
          <w:numId w:val="3"/>
        </w:numPr>
        <w:adjustRightInd w:val="0"/>
        <w:snapToGrid w:val="0"/>
        <w:spacing w:line="400" w:lineRule="exact"/>
        <w:ind w:firstLine="422" w:firstLineChars="200"/>
        <w:rPr>
          <w:rFonts w:hint="eastAsia" w:ascii="宋体" w:hAnsi="宋体"/>
          <w:b/>
          <w:szCs w:val="21"/>
        </w:rPr>
      </w:pPr>
      <w:r>
        <w:rPr>
          <w:rFonts w:hint="eastAsia" w:ascii="宋体" w:hAnsi="宋体"/>
          <w:b/>
          <w:szCs w:val="21"/>
        </w:rPr>
        <w:t>合同生效</w:t>
      </w:r>
    </w:p>
    <w:p w14:paraId="36B1D515">
      <w:pPr>
        <w:adjustRightInd w:val="0"/>
        <w:snapToGrid w:val="0"/>
        <w:spacing w:line="400" w:lineRule="exact"/>
        <w:ind w:firstLine="420" w:firstLineChars="200"/>
        <w:rPr>
          <w:rFonts w:hint="eastAsia"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66A4E150">
      <w:pPr>
        <w:numPr>
          <w:ilvl w:val="0"/>
          <w:numId w:val="3"/>
        </w:numPr>
        <w:adjustRightInd w:val="0"/>
        <w:snapToGrid w:val="0"/>
        <w:spacing w:line="400" w:lineRule="exact"/>
        <w:ind w:firstLine="422" w:firstLineChars="200"/>
        <w:rPr>
          <w:rFonts w:hint="eastAsia" w:ascii="宋体" w:hAnsi="宋体"/>
          <w:b/>
          <w:szCs w:val="21"/>
        </w:rPr>
      </w:pPr>
      <w:r>
        <w:rPr>
          <w:rFonts w:hint="eastAsia" w:ascii="宋体" w:hAnsi="宋体"/>
          <w:b/>
          <w:szCs w:val="21"/>
        </w:rPr>
        <w:t>合同份数</w:t>
      </w:r>
    </w:p>
    <w:p w14:paraId="44209D11">
      <w:pPr>
        <w:adjustRightInd w:val="0"/>
        <w:snapToGrid w:val="0"/>
        <w:spacing w:line="400" w:lineRule="exact"/>
        <w:ind w:firstLine="420" w:firstLineChars="200"/>
        <w:rPr>
          <w:rFonts w:hint="eastAsia"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14:paraId="6E2A1D5D">
      <w:pPr>
        <w:adjustRightInd w:val="0"/>
        <w:snapToGrid w:val="0"/>
        <w:spacing w:line="400" w:lineRule="exact"/>
        <w:ind w:firstLine="420" w:firstLineChars="200"/>
        <w:rPr>
          <w:rFonts w:hint="eastAsia"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5CA3ED7B">
      <w:pPr>
        <w:adjustRightInd w:val="0"/>
        <w:snapToGrid w:val="0"/>
        <w:spacing w:line="400" w:lineRule="exact"/>
        <w:ind w:firstLine="420" w:firstLineChars="200"/>
        <w:rPr>
          <w:rFonts w:hint="eastAsia" w:ascii="宋体" w:hAnsi="宋体"/>
          <w:szCs w:val="21"/>
        </w:rPr>
      </w:pPr>
      <w:r>
        <w:rPr>
          <w:rFonts w:hint="eastAsia" w:ascii="宋体" w:hAnsi="宋体"/>
          <w:szCs w:val="21"/>
        </w:rPr>
        <w:t>合同订立地点：</w:t>
      </w:r>
      <w:r>
        <w:rPr>
          <w:rFonts w:hint="eastAsia" w:ascii="宋体" w:hAnsi="宋体"/>
          <w:szCs w:val="21"/>
          <w:u w:val="single"/>
        </w:rPr>
        <w:t xml:space="preserve">                           </w:t>
      </w:r>
    </w:p>
    <w:p w14:paraId="0C7CB811">
      <w:pPr>
        <w:adjustRightInd w:val="0"/>
        <w:snapToGrid w:val="0"/>
        <w:spacing w:line="400" w:lineRule="exact"/>
        <w:ind w:firstLine="420" w:firstLineChars="200"/>
      </w:pPr>
      <w:r>
        <w:rPr>
          <w:rFonts w:hint="eastAsia" w:ascii="宋体" w:hAnsi="宋体"/>
          <w:szCs w:val="21"/>
        </w:rPr>
        <w:t>附件：具体标的及其技术要求和商务要求、联合协议、分包意向协议等。</w:t>
      </w:r>
    </w:p>
    <w:p w14:paraId="2FF34FBC">
      <w:r>
        <w:rPr>
          <w:rFonts w:hint="eastAsia"/>
        </w:rPr>
        <w:br w:type="page"/>
      </w:r>
    </w:p>
    <w:p w14:paraId="4ABC5F9F">
      <w:pPr>
        <w:ind w:firstLine="420" w:firstLineChars="200"/>
        <w:rPr>
          <w:szCs w:val="21"/>
        </w:rPr>
      </w:pPr>
    </w:p>
    <w:tbl>
      <w:tblPr>
        <w:tblStyle w:val="21"/>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6DC11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4B16185">
            <w:pPr>
              <w:adjustRightInd w:val="0"/>
              <w:snapToGrid w:val="0"/>
              <w:spacing w:line="300" w:lineRule="exact"/>
              <w:jc w:val="center"/>
            </w:pPr>
            <w:r>
              <w:rPr>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4095" w:type="dxa"/>
            <w:gridSpan w:val="2"/>
            <w:tcBorders>
              <w:left w:val="single" w:color="auto" w:sz="2" w:space="0"/>
              <w:bottom w:val="single" w:color="auto" w:sz="2" w:space="0"/>
            </w:tcBorders>
            <w:vAlign w:val="center"/>
          </w:tcPr>
          <w:p w14:paraId="5A970DD0">
            <w:pPr>
              <w:adjustRightInd w:val="0"/>
              <w:snapToGrid w:val="0"/>
              <w:spacing w:line="300" w:lineRule="exact"/>
              <w:jc w:val="center"/>
            </w:pPr>
            <w:r>
              <w:rPr>
                <w:szCs w:val="21"/>
              </w:rPr>
              <w:t>乙方</w:t>
            </w:r>
            <w:r>
              <w:rPr>
                <w:rFonts w:hint="eastAsia"/>
                <w:szCs w:val="21"/>
              </w:rPr>
              <w:t>（供应商）</w:t>
            </w:r>
          </w:p>
        </w:tc>
      </w:tr>
      <w:tr w14:paraId="0FF6EB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6302A1A5">
            <w:pPr>
              <w:adjustRightInd w:val="0"/>
              <w:snapToGrid w:val="0"/>
              <w:spacing w:line="300" w:lineRule="exact"/>
              <w:jc w:val="center"/>
              <w:rPr>
                <w:szCs w:val="21"/>
              </w:rPr>
            </w:pPr>
            <w:r>
              <w:rPr>
                <w:szCs w:val="21"/>
              </w:rPr>
              <w:t>单位名称</w:t>
            </w:r>
            <w:r>
              <w:rPr>
                <w:rFonts w:hint="eastAsia"/>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14:paraId="58A09D27">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02B4FFA">
            <w:pPr>
              <w:adjustRightInd w:val="0"/>
              <w:snapToGrid w:val="0"/>
              <w:spacing w:line="300" w:lineRule="exact"/>
              <w:jc w:val="center"/>
              <w:rPr>
                <w:szCs w:val="21"/>
              </w:rPr>
            </w:pPr>
            <w:r>
              <w:rPr>
                <w:szCs w:val="21"/>
              </w:rPr>
              <w:t>单位名称</w:t>
            </w:r>
            <w:r>
              <w:rPr>
                <w:rFonts w:hint="eastAsia"/>
                <w:szCs w:val="21"/>
              </w:rPr>
              <w:t>（公章或合同章）</w:t>
            </w:r>
          </w:p>
        </w:tc>
        <w:tc>
          <w:tcPr>
            <w:tcW w:w="2116" w:type="dxa"/>
            <w:tcBorders>
              <w:top w:val="single" w:color="auto" w:sz="2" w:space="0"/>
              <w:left w:val="single" w:color="auto" w:sz="2" w:space="0"/>
              <w:bottom w:val="single" w:color="auto" w:sz="2" w:space="0"/>
            </w:tcBorders>
            <w:vAlign w:val="center"/>
          </w:tcPr>
          <w:p w14:paraId="699CAB6F">
            <w:pPr>
              <w:adjustRightInd w:val="0"/>
              <w:snapToGrid w:val="0"/>
              <w:spacing w:line="300" w:lineRule="exact"/>
              <w:jc w:val="center"/>
              <w:rPr>
                <w:spacing w:val="20"/>
                <w:szCs w:val="21"/>
              </w:rPr>
            </w:pPr>
          </w:p>
        </w:tc>
      </w:tr>
      <w:tr w14:paraId="272C13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7BF6486F">
            <w:pPr>
              <w:adjustRightInd w:val="0"/>
              <w:snapToGrid w:val="0"/>
              <w:spacing w:line="300" w:lineRule="exact"/>
              <w:jc w:val="center"/>
              <w:rPr>
                <w:szCs w:val="21"/>
              </w:rPr>
            </w:pPr>
            <w:r>
              <w:rPr>
                <w:szCs w:val="21"/>
              </w:rPr>
              <w:t>法定代表人</w:t>
            </w:r>
          </w:p>
          <w:p w14:paraId="70D379B2">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412" w:type="dxa"/>
            <w:vMerge w:val="restart"/>
            <w:tcBorders>
              <w:top w:val="single" w:color="auto" w:sz="2" w:space="0"/>
              <w:left w:val="single" w:color="auto" w:sz="2" w:space="0"/>
              <w:right w:val="single" w:color="auto" w:sz="2" w:space="0"/>
            </w:tcBorders>
            <w:vAlign w:val="center"/>
          </w:tcPr>
          <w:p w14:paraId="31C2C341">
            <w:pPr>
              <w:adjustRightInd w:val="0"/>
              <w:snapToGrid w:val="0"/>
              <w:spacing w:line="300" w:lineRule="exact"/>
              <w:jc w:val="center"/>
              <w:rPr>
                <w:szCs w:val="21"/>
              </w:rPr>
            </w:pPr>
          </w:p>
        </w:tc>
        <w:tc>
          <w:tcPr>
            <w:tcW w:w="1979" w:type="dxa"/>
            <w:tcBorders>
              <w:top w:val="single" w:color="auto" w:sz="2" w:space="0"/>
              <w:left w:val="single" w:color="auto" w:sz="2" w:space="0"/>
              <w:right w:val="single" w:color="auto" w:sz="2" w:space="0"/>
            </w:tcBorders>
            <w:vAlign w:val="center"/>
          </w:tcPr>
          <w:p w14:paraId="5DEA5E19">
            <w:pPr>
              <w:adjustRightInd w:val="0"/>
              <w:snapToGrid w:val="0"/>
              <w:spacing w:line="300" w:lineRule="exact"/>
              <w:jc w:val="center"/>
              <w:rPr>
                <w:szCs w:val="21"/>
              </w:rPr>
            </w:pPr>
            <w:r>
              <w:rPr>
                <w:szCs w:val="21"/>
              </w:rPr>
              <w:t>法定代表人</w:t>
            </w:r>
          </w:p>
          <w:p w14:paraId="6E80B55E">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16" w:type="dxa"/>
            <w:tcBorders>
              <w:top w:val="single" w:color="auto" w:sz="2" w:space="0"/>
              <w:left w:val="single" w:color="auto" w:sz="2" w:space="0"/>
              <w:bottom w:val="single" w:color="auto" w:sz="2" w:space="0"/>
            </w:tcBorders>
            <w:vAlign w:val="center"/>
          </w:tcPr>
          <w:p w14:paraId="76739782">
            <w:pPr>
              <w:adjustRightInd w:val="0"/>
              <w:snapToGrid w:val="0"/>
              <w:spacing w:line="300" w:lineRule="exact"/>
              <w:jc w:val="center"/>
              <w:rPr>
                <w:szCs w:val="21"/>
              </w:rPr>
            </w:pPr>
          </w:p>
        </w:tc>
      </w:tr>
      <w:tr w14:paraId="363FE5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07716EF1">
            <w:pPr>
              <w:adjustRightInd w:val="0"/>
              <w:snapToGrid w:val="0"/>
              <w:spacing w:line="300" w:lineRule="exact"/>
              <w:jc w:val="center"/>
              <w:rPr>
                <w:szCs w:val="21"/>
              </w:rPr>
            </w:pPr>
          </w:p>
        </w:tc>
        <w:tc>
          <w:tcPr>
            <w:tcW w:w="2412" w:type="dxa"/>
            <w:vMerge w:val="continue"/>
            <w:tcBorders>
              <w:left w:val="single" w:color="auto" w:sz="2" w:space="0"/>
              <w:bottom w:val="single" w:color="auto" w:sz="2" w:space="0"/>
              <w:right w:val="single" w:color="auto" w:sz="2" w:space="0"/>
            </w:tcBorders>
            <w:vAlign w:val="center"/>
          </w:tcPr>
          <w:p w14:paraId="7CD2DC19">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9CE6BB2">
            <w:pPr>
              <w:adjustRightInd w:val="0"/>
              <w:snapToGrid w:val="0"/>
              <w:spacing w:line="300" w:lineRule="exact"/>
              <w:jc w:val="center"/>
              <w:rPr>
                <w:szCs w:val="21"/>
              </w:rPr>
            </w:pPr>
            <w:r>
              <w:rPr>
                <w:rFonts w:hint="eastAsia"/>
                <w:szCs w:val="21"/>
              </w:rPr>
              <w:t>拥有者性别</w:t>
            </w:r>
          </w:p>
        </w:tc>
        <w:tc>
          <w:tcPr>
            <w:tcW w:w="2116" w:type="dxa"/>
            <w:tcBorders>
              <w:top w:val="single" w:color="auto" w:sz="2" w:space="0"/>
              <w:left w:val="single" w:color="auto" w:sz="2" w:space="0"/>
              <w:bottom w:val="single" w:color="auto" w:sz="2" w:space="0"/>
            </w:tcBorders>
            <w:vAlign w:val="center"/>
          </w:tcPr>
          <w:p w14:paraId="52A2D29F">
            <w:pPr>
              <w:adjustRightInd w:val="0"/>
              <w:snapToGrid w:val="0"/>
              <w:spacing w:line="300" w:lineRule="exact"/>
              <w:jc w:val="center"/>
              <w:rPr>
                <w:spacing w:val="20"/>
                <w:szCs w:val="21"/>
              </w:rPr>
            </w:pPr>
          </w:p>
        </w:tc>
      </w:tr>
      <w:tr w14:paraId="3FCADB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A9AA10">
            <w:pPr>
              <w:adjustRightInd w:val="0"/>
              <w:snapToGrid w:val="0"/>
              <w:spacing w:line="300" w:lineRule="exact"/>
              <w:jc w:val="center"/>
              <w:rPr>
                <w:szCs w:val="21"/>
              </w:rPr>
            </w:pPr>
            <w:r>
              <w:rPr>
                <w:rFonts w:hint="eastAsia"/>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14:paraId="3E8BBF09">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3569CD">
            <w:pPr>
              <w:adjustRightInd w:val="0"/>
              <w:snapToGrid w:val="0"/>
              <w:spacing w:line="300" w:lineRule="exact"/>
              <w:jc w:val="center"/>
              <w:rPr>
                <w:szCs w:val="21"/>
              </w:rPr>
            </w:pPr>
            <w:r>
              <w:rPr>
                <w:rFonts w:hint="eastAsia"/>
                <w:szCs w:val="21"/>
              </w:rPr>
              <w:t>住  所</w:t>
            </w:r>
          </w:p>
        </w:tc>
        <w:tc>
          <w:tcPr>
            <w:tcW w:w="2116" w:type="dxa"/>
            <w:tcBorders>
              <w:top w:val="single" w:color="auto" w:sz="2" w:space="0"/>
              <w:left w:val="single" w:color="auto" w:sz="2" w:space="0"/>
              <w:bottom w:val="single" w:color="auto" w:sz="2" w:space="0"/>
            </w:tcBorders>
            <w:vAlign w:val="center"/>
          </w:tcPr>
          <w:p w14:paraId="59771DF5">
            <w:pPr>
              <w:adjustRightInd w:val="0"/>
              <w:snapToGrid w:val="0"/>
              <w:spacing w:line="300" w:lineRule="exact"/>
              <w:jc w:val="center"/>
              <w:rPr>
                <w:spacing w:val="20"/>
                <w:szCs w:val="21"/>
              </w:rPr>
            </w:pPr>
          </w:p>
        </w:tc>
      </w:tr>
      <w:tr w14:paraId="3127C7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557B3D9">
            <w:pPr>
              <w:adjustRightInd w:val="0"/>
              <w:snapToGrid w:val="0"/>
              <w:spacing w:line="300" w:lineRule="exact"/>
              <w:jc w:val="center"/>
              <w:rPr>
                <w:szCs w:val="21"/>
              </w:rPr>
            </w:pPr>
            <w:r>
              <w:rPr>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2AEE9F8C">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E6B13E4">
            <w:pPr>
              <w:adjustRightInd w:val="0"/>
              <w:snapToGrid w:val="0"/>
              <w:spacing w:line="300" w:lineRule="exact"/>
              <w:jc w:val="center"/>
              <w:rPr>
                <w:szCs w:val="21"/>
              </w:rPr>
            </w:pPr>
            <w:r>
              <w:rPr>
                <w:szCs w:val="21"/>
              </w:rPr>
              <w:t>联 系 人</w:t>
            </w:r>
          </w:p>
        </w:tc>
        <w:tc>
          <w:tcPr>
            <w:tcW w:w="2116" w:type="dxa"/>
            <w:tcBorders>
              <w:top w:val="single" w:color="auto" w:sz="2" w:space="0"/>
              <w:left w:val="single" w:color="auto" w:sz="2" w:space="0"/>
              <w:bottom w:val="single" w:color="auto" w:sz="2" w:space="0"/>
            </w:tcBorders>
            <w:vAlign w:val="center"/>
          </w:tcPr>
          <w:p w14:paraId="1171A3B8">
            <w:pPr>
              <w:adjustRightInd w:val="0"/>
              <w:snapToGrid w:val="0"/>
              <w:spacing w:line="300" w:lineRule="exact"/>
              <w:jc w:val="center"/>
              <w:rPr>
                <w:spacing w:val="20"/>
                <w:szCs w:val="21"/>
              </w:rPr>
            </w:pPr>
          </w:p>
        </w:tc>
      </w:tr>
      <w:tr w14:paraId="566198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1D7239B">
            <w:pPr>
              <w:adjustRightInd w:val="0"/>
              <w:snapToGrid w:val="0"/>
              <w:spacing w:line="300" w:lineRule="exact"/>
              <w:jc w:val="center"/>
              <w:rPr>
                <w:szCs w:val="21"/>
              </w:rPr>
            </w:pPr>
            <w:r>
              <w:rPr>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60D33552">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FC35BC1">
            <w:pPr>
              <w:adjustRightInd w:val="0"/>
              <w:snapToGrid w:val="0"/>
              <w:spacing w:line="300" w:lineRule="exact"/>
              <w:jc w:val="center"/>
              <w:rPr>
                <w:szCs w:val="21"/>
              </w:rPr>
            </w:pPr>
            <w:r>
              <w:rPr>
                <w:szCs w:val="21"/>
              </w:rPr>
              <w:t>联系电话</w:t>
            </w:r>
          </w:p>
        </w:tc>
        <w:tc>
          <w:tcPr>
            <w:tcW w:w="2116" w:type="dxa"/>
            <w:tcBorders>
              <w:top w:val="single" w:color="auto" w:sz="2" w:space="0"/>
              <w:left w:val="single" w:color="auto" w:sz="2" w:space="0"/>
              <w:bottom w:val="single" w:color="auto" w:sz="2" w:space="0"/>
            </w:tcBorders>
            <w:vAlign w:val="center"/>
          </w:tcPr>
          <w:p w14:paraId="257594C8">
            <w:pPr>
              <w:adjustRightInd w:val="0"/>
              <w:snapToGrid w:val="0"/>
              <w:spacing w:line="300" w:lineRule="exact"/>
              <w:jc w:val="center"/>
              <w:rPr>
                <w:spacing w:val="20"/>
                <w:szCs w:val="21"/>
              </w:rPr>
            </w:pPr>
          </w:p>
        </w:tc>
      </w:tr>
      <w:tr w14:paraId="76E303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FFF70BE">
            <w:pPr>
              <w:adjustRightInd w:val="0"/>
              <w:snapToGrid w:val="0"/>
              <w:spacing w:line="300" w:lineRule="exact"/>
              <w:jc w:val="center"/>
              <w:rPr>
                <w:szCs w:val="21"/>
              </w:rPr>
            </w:pPr>
            <w:r>
              <w:rPr>
                <w:rFonts w:hint="eastAsia"/>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4EDFEEEE">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9E3E881">
            <w:pPr>
              <w:adjustRightInd w:val="0"/>
              <w:snapToGrid w:val="0"/>
              <w:spacing w:line="300" w:lineRule="exact"/>
              <w:jc w:val="center"/>
              <w:rPr>
                <w:szCs w:val="21"/>
              </w:rPr>
            </w:pPr>
            <w:r>
              <w:rPr>
                <w:rFonts w:hint="eastAsia"/>
                <w:szCs w:val="21"/>
              </w:rPr>
              <w:t>通信地址</w:t>
            </w:r>
          </w:p>
        </w:tc>
        <w:tc>
          <w:tcPr>
            <w:tcW w:w="2116" w:type="dxa"/>
            <w:tcBorders>
              <w:top w:val="single" w:color="auto" w:sz="2" w:space="0"/>
              <w:left w:val="single" w:color="auto" w:sz="2" w:space="0"/>
              <w:bottom w:val="single" w:color="auto" w:sz="2" w:space="0"/>
            </w:tcBorders>
            <w:vAlign w:val="center"/>
          </w:tcPr>
          <w:p w14:paraId="172D410B">
            <w:pPr>
              <w:adjustRightInd w:val="0"/>
              <w:snapToGrid w:val="0"/>
              <w:spacing w:line="300" w:lineRule="exact"/>
              <w:jc w:val="center"/>
              <w:rPr>
                <w:spacing w:val="20"/>
                <w:szCs w:val="21"/>
              </w:rPr>
            </w:pPr>
          </w:p>
        </w:tc>
      </w:tr>
      <w:tr w14:paraId="24B5A1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45F98A9">
            <w:pPr>
              <w:adjustRightInd w:val="0"/>
              <w:snapToGrid w:val="0"/>
              <w:spacing w:line="300" w:lineRule="exact"/>
              <w:jc w:val="center"/>
              <w:rPr>
                <w:szCs w:val="21"/>
              </w:rPr>
            </w:pPr>
            <w:r>
              <w:rPr>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7B749C63">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54C751D">
            <w:pPr>
              <w:adjustRightInd w:val="0"/>
              <w:snapToGrid w:val="0"/>
              <w:spacing w:line="300" w:lineRule="exact"/>
              <w:jc w:val="center"/>
              <w:rPr>
                <w:szCs w:val="21"/>
              </w:rPr>
            </w:pPr>
            <w:r>
              <w:rPr>
                <w:szCs w:val="21"/>
              </w:rPr>
              <w:t>邮政编码</w:t>
            </w:r>
          </w:p>
        </w:tc>
        <w:tc>
          <w:tcPr>
            <w:tcW w:w="2116" w:type="dxa"/>
            <w:tcBorders>
              <w:top w:val="single" w:color="auto" w:sz="2" w:space="0"/>
              <w:left w:val="single" w:color="auto" w:sz="2" w:space="0"/>
              <w:bottom w:val="single" w:color="auto" w:sz="2" w:space="0"/>
            </w:tcBorders>
            <w:vAlign w:val="center"/>
          </w:tcPr>
          <w:p w14:paraId="1E8544D3">
            <w:pPr>
              <w:adjustRightInd w:val="0"/>
              <w:snapToGrid w:val="0"/>
              <w:spacing w:line="300" w:lineRule="exact"/>
              <w:jc w:val="center"/>
              <w:rPr>
                <w:spacing w:val="20"/>
                <w:szCs w:val="21"/>
              </w:rPr>
            </w:pPr>
          </w:p>
        </w:tc>
      </w:tr>
      <w:tr w14:paraId="488C82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52B3D59">
            <w:pPr>
              <w:adjustRightInd w:val="0"/>
              <w:snapToGrid w:val="0"/>
              <w:spacing w:line="300" w:lineRule="exact"/>
              <w:jc w:val="center"/>
              <w:rPr>
                <w:szCs w:val="21"/>
              </w:rPr>
            </w:pPr>
            <w:r>
              <w:rPr>
                <w:rFonts w:hint="eastAsia"/>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3FF35D52">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0DD7120">
            <w:pPr>
              <w:adjustRightInd w:val="0"/>
              <w:snapToGrid w:val="0"/>
              <w:spacing w:line="300" w:lineRule="exact"/>
              <w:jc w:val="center"/>
              <w:rPr>
                <w:szCs w:val="21"/>
              </w:rPr>
            </w:pPr>
            <w:r>
              <w:rPr>
                <w:rFonts w:hint="eastAsia"/>
                <w:szCs w:val="21"/>
              </w:rPr>
              <w:t>电子邮箱</w:t>
            </w:r>
          </w:p>
        </w:tc>
        <w:tc>
          <w:tcPr>
            <w:tcW w:w="2116" w:type="dxa"/>
            <w:tcBorders>
              <w:top w:val="single" w:color="auto" w:sz="2" w:space="0"/>
              <w:left w:val="single" w:color="auto" w:sz="2" w:space="0"/>
              <w:bottom w:val="single" w:color="auto" w:sz="2" w:space="0"/>
            </w:tcBorders>
            <w:vAlign w:val="center"/>
          </w:tcPr>
          <w:p w14:paraId="608B9973">
            <w:pPr>
              <w:adjustRightInd w:val="0"/>
              <w:snapToGrid w:val="0"/>
              <w:spacing w:line="300" w:lineRule="exact"/>
              <w:jc w:val="center"/>
              <w:rPr>
                <w:spacing w:val="20"/>
                <w:szCs w:val="21"/>
              </w:rPr>
            </w:pPr>
          </w:p>
        </w:tc>
      </w:tr>
      <w:tr w14:paraId="15923C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5DD0032">
            <w:pPr>
              <w:adjustRightInd w:val="0"/>
              <w:snapToGrid w:val="0"/>
              <w:spacing w:line="300" w:lineRule="exact"/>
              <w:jc w:val="center"/>
              <w:rPr>
                <w:szCs w:val="21"/>
              </w:rPr>
            </w:pPr>
            <w:r>
              <w:rPr>
                <w:rFonts w:hint="eastAsia"/>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59FEAD82">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90D72E4">
            <w:pPr>
              <w:adjustRightInd w:val="0"/>
              <w:snapToGrid w:val="0"/>
              <w:spacing w:line="300" w:lineRule="exact"/>
              <w:jc w:val="center"/>
              <w:rPr>
                <w:szCs w:val="21"/>
              </w:rPr>
            </w:pPr>
            <w:r>
              <w:rPr>
                <w:rFonts w:hint="eastAsia"/>
                <w:szCs w:val="21"/>
              </w:rPr>
              <w:t>统一社会信用代码</w:t>
            </w:r>
          </w:p>
        </w:tc>
        <w:tc>
          <w:tcPr>
            <w:tcW w:w="2116" w:type="dxa"/>
            <w:tcBorders>
              <w:top w:val="single" w:color="auto" w:sz="2" w:space="0"/>
              <w:left w:val="single" w:color="auto" w:sz="2" w:space="0"/>
              <w:bottom w:val="single" w:color="auto" w:sz="2" w:space="0"/>
            </w:tcBorders>
            <w:vAlign w:val="center"/>
          </w:tcPr>
          <w:p w14:paraId="625D8A8D">
            <w:pPr>
              <w:adjustRightInd w:val="0"/>
              <w:snapToGrid w:val="0"/>
              <w:spacing w:line="300" w:lineRule="exact"/>
              <w:jc w:val="center"/>
              <w:rPr>
                <w:spacing w:val="20"/>
                <w:szCs w:val="21"/>
              </w:rPr>
            </w:pPr>
          </w:p>
        </w:tc>
      </w:tr>
      <w:tr w14:paraId="1609A2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7EF44A8">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2BB20DDE">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AFBB94A">
            <w:pPr>
              <w:adjustRightInd w:val="0"/>
              <w:snapToGrid w:val="0"/>
              <w:spacing w:line="300" w:lineRule="exact"/>
              <w:jc w:val="center"/>
              <w:rPr>
                <w:szCs w:val="21"/>
              </w:rPr>
            </w:pPr>
            <w:r>
              <w:rPr>
                <w:szCs w:val="21"/>
              </w:rPr>
              <w:t>开户名称</w:t>
            </w:r>
          </w:p>
        </w:tc>
        <w:tc>
          <w:tcPr>
            <w:tcW w:w="2116" w:type="dxa"/>
            <w:tcBorders>
              <w:top w:val="single" w:color="auto" w:sz="2" w:space="0"/>
              <w:left w:val="single" w:color="auto" w:sz="2" w:space="0"/>
              <w:bottom w:val="single" w:color="auto" w:sz="2" w:space="0"/>
            </w:tcBorders>
            <w:vAlign w:val="center"/>
          </w:tcPr>
          <w:p w14:paraId="22CF1636">
            <w:pPr>
              <w:adjustRightInd w:val="0"/>
              <w:snapToGrid w:val="0"/>
              <w:spacing w:line="300" w:lineRule="exact"/>
              <w:jc w:val="center"/>
              <w:rPr>
                <w:spacing w:val="20"/>
                <w:szCs w:val="21"/>
              </w:rPr>
            </w:pPr>
          </w:p>
        </w:tc>
      </w:tr>
      <w:tr w14:paraId="58D0A3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ABA34DD">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6DD6397D">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AD6EE02">
            <w:pPr>
              <w:adjustRightInd w:val="0"/>
              <w:snapToGrid w:val="0"/>
              <w:spacing w:line="300" w:lineRule="exact"/>
              <w:jc w:val="center"/>
              <w:rPr>
                <w:szCs w:val="21"/>
              </w:rPr>
            </w:pPr>
            <w:r>
              <w:rPr>
                <w:szCs w:val="21"/>
              </w:rPr>
              <w:t>开户银行</w:t>
            </w:r>
          </w:p>
        </w:tc>
        <w:tc>
          <w:tcPr>
            <w:tcW w:w="2116" w:type="dxa"/>
            <w:tcBorders>
              <w:top w:val="single" w:color="auto" w:sz="2" w:space="0"/>
              <w:left w:val="single" w:color="auto" w:sz="2" w:space="0"/>
              <w:bottom w:val="single" w:color="auto" w:sz="2" w:space="0"/>
            </w:tcBorders>
            <w:vAlign w:val="center"/>
          </w:tcPr>
          <w:p w14:paraId="41E7BE93">
            <w:pPr>
              <w:adjustRightInd w:val="0"/>
              <w:snapToGrid w:val="0"/>
              <w:spacing w:line="300" w:lineRule="exact"/>
              <w:jc w:val="center"/>
              <w:rPr>
                <w:spacing w:val="20"/>
                <w:szCs w:val="21"/>
              </w:rPr>
            </w:pPr>
          </w:p>
        </w:tc>
      </w:tr>
      <w:tr w14:paraId="05EE9C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1685EE3">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4BE7D1F">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F32E2C7">
            <w:pPr>
              <w:adjustRightInd w:val="0"/>
              <w:snapToGrid w:val="0"/>
              <w:spacing w:line="300" w:lineRule="exact"/>
              <w:jc w:val="center"/>
              <w:rPr>
                <w:szCs w:val="21"/>
              </w:rPr>
            </w:pPr>
            <w:r>
              <w:rPr>
                <w:szCs w:val="21"/>
              </w:rPr>
              <w:t>银行账号</w:t>
            </w:r>
          </w:p>
        </w:tc>
        <w:tc>
          <w:tcPr>
            <w:tcW w:w="2116" w:type="dxa"/>
            <w:tcBorders>
              <w:top w:val="single" w:color="auto" w:sz="2" w:space="0"/>
              <w:left w:val="single" w:color="auto" w:sz="2" w:space="0"/>
              <w:bottom w:val="single" w:color="auto" w:sz="2" w:space="0"/>
            </w:tcBorders>
            <w:vAlign w:val="center"/>
          </w:tcPr>
          <w:p w14:paraId="64D2F919">
            <w:pPr>
              <w:adjustRightInd w:val="0"/>
              <w:snapToGrid w:val="0"/>
              <w:spacing w:line="300" w:lineRule="exact"/>
              <w:jc w:val="center"/>
              <w:rPr>
                <w:spacing w:val="20"/>
                <w:szCs w:val="21"/>
              </w:rPr>
            </w:pPr>
          </w:p>
        </w:tc>
      </w:tr>
      <w:tr w14:paraId="302170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0756CED5">
            <w:pPr>
              <w:adjustRightInd w:val="0"/>
              <w:snapToGrid w:val="0"/>
              <w:spacing w:before="120" w:beforeLines="50" w:line="360" w:lineRule="auto"/>
              <w:jc w:val="left"/>
              <w:rPr>
                <w:spacing w:val="20"/>
                <w:szCs w:val="21"/>
              </w:rPr>
            </w:pPr>
            <w:r>
              <w:rPr>
                <w:rFonts w:hint="eastAsia" w:ascii="宋体" w:hAnsi="宋体"/>
                <w:szCs w:val="21"/>
              </w:rPr>
              <w:t>注：涉及联合体或其他合同主体的信息应按上表格式加列。</w:t>
            </w:r>
          </w:p>
        </w:tc>
      </w:tr>
    </w:tbl>
    <w:p w14:paraId="6524F43B">
      <w:pPr>
        <w:keepNext/>
        <w:keepLines/>
        <w:adjustRightInd w:val="0"/>
        <w:snapToGrid w:val="0"/>
        <w:spacing w:before="120" w:beforeLines="50" w:line="360" w:lineRule="auto"/>
        <w:jc w:val="center"/>
        <w:outlineLvl w:val="1"/>
        <w:rPr>
          <w:rFonts w:hint="eastAsia" w:ascii="黑体" w:hAnsi="黑体" w:eastAsia="黑体"/>
          <w:b/>
          <w:bCs/>
          <w:sz w:val="28"/>
          <w:szCs w:val="28"/>
        </w:rPr>
      </w:pPr>
      <w:r>
        <w:rPr>
          <w:rFonts w:ascii="宋体" w:hAnsi="宋体"/>
          <w:b/>
          <w:bCs/>
          <w:szCs w:val="21"/>
          <w:u w:val="single"/>
        </w:rPr>
        <w:br w:type="page"/>
      </w:r>
      <w:bookmarkStart w:id="86" w:name="_Toc27624"/>
      <w:r>
        <w:rPr>
          <w:rFonts w:hint="eastAsia" w:ascii="黑体" w:hAnsi="黑体" w:eastAsia="黑体"/>
          <w:sz w:val="28"/>
          <w:szCs w:val="28"/>
        </w:rPr>
        <w:t>第二节 政府采购合同通用条款</w:t>
      </w:r>
      <w:bookmarkEnd w:id="86"/>
    </w:p>
    <w:p w14:paraId="64484C00">
      <w:pPr>
        <w:tabs>
          <w:tab w:val="left" w:pos="8820"/>
          <w:tab w:val="left" w:pos="9345"/>
          <w:tab w:val="left" w:pos="9765"/>
        </w:tabs>
        <w:adjustRightInd w:val="0"/>
        <w:snapToGrid w:val="0"/>
        <w:spacing w:line="400" w:lineRule="exact"/>
        <w:jc w:val="left"/>
        <w:rPr>
          <w:rFonts w:hint="eastAsia" w:ascii="宋体" w:hAnsi="宋体"/>
          <w:b/>
          <w:bCs/>
          <w:sz w:val="24"/>
        </w:rPr>
      </w:pPr>
      <w:r>
        <w:rPr>
          <w:rFonts w:hint="eastAsia" w:ascii="宋体" w:hAnsi="宋体"/>
          <w:b/>
          <w:sz w:val="24"/>
        </w:rPr>
        <w:t xml:space="preserve">1. </w:t>
      </w:r>
      <w:r>
        <w:rPr>
          <w:rFonts w:hint="eastAsia" w:ascii="宋体" w:hAnsi="宋体"/>
          <w:b/>
          <w:bCs/>
          <w:sz w:val="24"/>
        </w:rPr>
        <w:t>定义</w:t>
      </w:r>
    </w:p>
    <w:p w14:paraId="4E7A0824">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1.1合同当事人</w:t>
      </w:r>
    </w:p>
    <w:p w14:paraId="4D7B2A1C">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14:paraId="16138B0B">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14:paraId="20D4B4B8">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（3）其他合同主体是指除采购人和供应商以外，</w:t>
      </w:r>
      <w:r>
        <w:rPr>
          <w:rFonts w:hint="eastAsia" w:ascii="宋体" w:hAnsi="宋体" w:cs="宋体"/>
          <w:bCs/>
          <w:color w:val="000000"/>
          <w:szCs w:val="21"/>
        </w:rPr>
        <w:t>依法参与合同缔结或履行，享有权利、承担义务的合同当事人</w:t>
      </w:r>
      <w:r>
        <w:rPr>
          <w:rFonts w:hint="eastAsia" w:ascii="宋体" w:hAnsi="宋体"/>
          <w:szCs w:val="21"/>
        </w:rPr>
        <w:t>。</w:t>
      </w:r>
    </w:p>
    <w:p w14:paraId="664DF56E">
      <w:pPr>
        <w:tabs>
          <w:tab w:val="left" w:pos="570"/>
          <w:tab w:val="left" w:pos="9240"/>
          <w:tab w:val="left" w:pos="9555"/>
        </w:tabs>
        <w:adjustRightInd w:val="0"/>
        <w:snapToGrid w:val="0"/>
        <w:spacing w:line="400" w:lineRule="exact"/>
        <w:ind w:firstLine="420" w:firstLineChars="200"/>
        <w:jc w:val="left"/>
        <w:rPr>
          <w:rFonts w:hint="eastAsia" w:ascii="宋体" w:hAnsi="宋体"/>
          <w:szCs w:val="21"/>
        </w:rPr>
      </w:pPr>
      <w:r>
        <w:rPr>
          <w:rFonts w:hint="eastAsia" w:ascii="宋体" w:hAnsi="宋体"/>
          <w:szCs w:val="21"/>
        </w:rPr>
        <w:t>1.2本合同下列术语应解释为：</w:t>
      </w:r>
    </w:p>
    <w:p w14:paraId="787F6DAE">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（1）“合同”系指</w:t>
      </w:r>
      <w:r>
        <w:rPr>
          <w:rFonts w:hint="eastAsia" w:ascii="宋体" w:hAnsi="宋体" w:cs="宋体"/>
          <w:bCs/>
          <w:color w:val="000000"/>
          <w:szCs w:val="21"/>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szCs w:val="21"/>
        </w:rPr>
        <w:t>国家法律、行政法规和规章制度规定或合同约定的作为合同组成部分的其他文件</w:t>
      </w:r>
      <w:r>
        <w:rPr>
          <w:rFonts w:hint="eastAsia" w:ascii="宋体" w:hAnsi="宋体"/>
          <w:szCs w:val="21"/>
        </w:rPr>
        <w:t>。</w:t>
      </w:r>
    </w:p>
    <w:p w14:paraId="022670F2">
      <w:pPr>
        <w:tabs>
          <w:tab w:val="left" w:pos="570"/>
          <w:tab w:val="left" w:pos="9240"/>
          <w:tab w:val="left" w:pos="9555"/>
        </w:tabs>
        <w:adjustRightInd w:val="0"/>
        <w:snapToGrid w:val="0"/>
        <w:spacing w:line="400" w:lineRule="exact"/>
        <w:ind w:firstLine="420" w:firstLineChars="200"/>
        <w:jc w:val="left"/>
        <w:rPr>
          <w:rFonts w:hint="eastAsia" w:ascii="宋体" w:hAnsi="宋体"/>
          <w:szCs w:val="21"/>
        </w:rPr>
      </w:pPr>
      <w:r>
        <w:rPr>
          <w:rFonts w:hint="eastAsia" w:ascii="宋体" w:hAnsi="宋体"/>
          <w:szCs w:val="21"/>
        </w:rPr>
        <w:t>（2）“合同价款”系指根据本合同规定乙方在全面履行合同义务后甲方应支付给乙方的价款。</w:t>
      </w:r>
    </w:p>
    <w:p w14:paraId="00527521">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rPr>
      </w:pPr>
      <w:r>
        <w:rPr>
          <w:rFonts w:hint="eastAsia" w:ascii="宋体" w:hAnsi="宋体"/>
          <w:szCs w:val="21"/>
        </w:rPr>
        <w:t>（3）“货物”系指乙方根据本合同规定须向甲方提供的各种形态和种类的物品，包括原材料、设备、产品（</w:t>
      </w:r>
      <w:r>
        <w:rPr>
          <w:rFonts w:hint="eastAsia" w:ascii="宋体" w:hAnsi="宋体"/>
          <w:color w:val="000000"/>
          <w:szCs w:val="21"/>
        </w:rPr>
        <w:t>包括软件）及相关的其备品备件、工具、手册及</w:t>
      </w:r>
      <w:r>
        <w:rPr>
          <w:rFonts w:ascii="宋体" w:hAnsi="宋体"/>
          <w:color w:val="000000"/>
          <w:szCs w:val="21"/>
        </w:rPr>
        <w:t>其他</w:t>
      </w:r>
      <w:r>
        <w:rPr>
          <w:rFonts w:hint="eastAsia" w:ascii="宋体" w:hAnsi="宋体"/>
          <w:color w:val="000000"/>
          <w:szCs w:val="21"/>
        </w:rPr>
        <w:t>技术资料和材料等。</w:t>
      </w:r>
    </w:p>
    <w:p w14:paraId="329AC5D1">
      <w:pPr>
        <w:adjustRightInd w:val="0"/>
        <w:snapToGrid w:val="0"/>
        <w:spacing w:line="400" w:lineRule="exact"/>
        <w:ind w:firstLine="420" w:firstLineChars="200"/>
        <w:jc w:val="left"/>
        <w:rPr>
          <w:rFonts w:hint="eastAsia" w:ascii="宋体" w:hAnsi="宋体"/>
          <w:color w:val="000000"/>
          <w:szCs w:val="21"/>
          <w:highlight w:val="yellow"/>
        </w:rPr>
      </w:pPr>
      <w:r>
        <w:rPr>
          <w:rFonts w:hint="eastAsia" w:ascii="宋体" w:hAnsi="宋体"/>
          <w:color w:val="000000"/>
          <w:szCs w:val="21"/>
        </w:rPr>
        <w:t>（4）“</w:t>
      </w:r>
      <w:r>
        <w:rPr>
          <w:rFonts w:hint="eastAsia" w:ascii="宋体" w:hAnsi="宋体"/>
          <w:szCs w:val="21"/>
        </w:rPr>
        <w:t>相关</w:t>
      </w:r>
      <w:r>
        <w:rPr>
          <w:rFonts w:hint="eastAsia" w:ascii="宋体" w:hAnsi="宋体"/>
          <w:color w:val="000000"/>
          <w:szCs w:val="21"/>
        </w:rPr>
        <w:t>服务”系指根据合同规定，乙方应提供的与货物有关的技术、管理和</w:t>
      </w:r>
      <w:r>
        <w:rPr>
          <w:rFonts w:ascii="宋体" w:hAnsi="宋体"/>
          <w:color w:val="000000"/>
          <w:szCs w:val="21"/>
        </w:rPr>
        <w:t>其他</w:t>
      </w:r>
      <w:r>
        <w:rPr>
          <w:rFonts w:hint="eastAsia" w:ascii="宋体" w:hAnsi="宋体"/>
          <w:color w:val="000000"/>
          <w:szCs w:val="21"/>
        </w:rPr>
        <w:t>服务，包括但不限于：管理和质量保证、运输、保险、检验、现场准备、安装、集成、调试、培训、维修、废弃处置、技术支持等以及合同中规定乙方应承担的</w:t>
      </w:r>
      <w:r>
        <w:rPr>
          <w:rFonts w:ascii="宋体" w:hAnsi="宋体"/>
          <w:color w:val="000000"/>
          <w:szCs w:val="21"/>
        </w:rPr>
        <w:t>其他</w:t>
      </w:r>
      <w:r>
        <w:rPr>
          <w:rFonts w:hint="eastAsia" w:ascii="宋体" w:hAnsi="宋体"/>
          <w:color w:val="000000"/>
          <w:szCs w:val="21"/>
        </w:rPr>
        <w:t>义务。</w:t>
      </w:r>
    </w:p>
    <w:p w14:paraId="00943EBD">
      <w:pPr>
        <w:adjustRightInd w:val="0"/>
        <w:snapToGrid w:val="0"/>
        <w:spacing w:line="400" w:lineRule="exact"/>
        <w:ind w:firstLine="420" w:firstLineChars="200"/>
        <w:jc w:val="left"/>
        <w:rPr>
          <w:rFonts w:hint="eastAsia" w:ascii="宋体" w:hAnsi="宋体"/>
          <w:color w:val="000000"/>
          <w:szCs w:val="21"/>
          <w:highlight w:val="yellow"/>
        </w:rPr>
      </w:pPr>
      <w:r>
        <w:rPr>
          <w:rFonts w:hint="eastAsia" w:ascii="宋体" w:hAnsi="宋体"/>
          <w:color w:val="000000"/>
          <w:szCs w:val="21"/>
        </w:rPr>
        <w:t>（5）“分包”系指中标（成交）供应商按采购文件、投标（响应）文件的规定，根据分包意向协议，将中标（成交）项目中的部分履约内容，分给具有相应资质条件的供应商履行合同的行为。</w:t>
      </w:r>
    </w:p>
    <w:p w14:paraId="33D522AF">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（6）</w:t>
      </w:r>
      <w:r>
        <w:rPr>
          <w:rFonts w:hint="eastAsia" w:ascii="宋体" w:hAnsi="宋体"/>
          <w:szCs w:val="21"/>
        </w:rPr>
        <w:t>“联合体”系指由两个以上的自然人、法人或者非法人组织组成，以一个供应商的身份共同参加政府采购的主体</w:t>
      </w:r>
      <w:r>
        <w:rPr>
          <w:rFonts w:hint="eastAsia" w:ascii="宋体" w:hAnsi="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rPr>
        <w:t>政府采购合同专用条款</w:t>
      </w:r>
      <w:r>
        <w:rPr>
          <w:rFonts w:hint="eastAsia" w:ascii="宋体" w:hAnsi="宋体"/>
          <w:color w:val="000000"/>
          <w:szCs w:val="21"/>
        </w:rPr>
        <w:t>】。</w:t>
      </w:r>
    </w:p>
    <w:p w14:paraId="7EFD5902">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（7）其他术语解释，见【</w:t>
      </w:r>
      <w:r>
        <w:rPr>
          <w:rFonts w:hint="eastAsia" w:ascii="宋体" w:hAnsi="宋体"/>
          <w:b/>
          <w:bCs/>
          <w:color w:val="000000"/>
          <w:szCs w:val="21"/>
        </w:rPr>
        <w:t>政府采购合同专用条款</w:t>
      </w:r>
      <w:r>
        <w:rPr>
          <w:rFonts w:hint="eastAsia" w:ascii="宋体" w:hAnsi="宋体"/>
          <w:color w:val="000000"/>
          <w:szCs w:val="21"/>
        </w:rPr>
        <w:t>】。</w:t>
      </w:r>
    </w:p>
    <w:p w14:paraId="4C7D5A2E">
      <w:pPr>
        <w:numPr>
          <w:ilvl w:val="0"/>
          <w:numId w:val="6"/>
        </w:num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color w:val="000000"/>
          <w:sz w:val="24"/>
        </w:rPr>
        <w:t>合同标的及金额</w:t>
      </w:r>
    </w:p>
    <w:p w14:paraId="06B56193">
      <w:pPr>
        <w:autoSpaceDE w:val="0"/>
        <w:autoSpaceDN w:val="0"/>
        <w:adjustRightInd w:val="0"/>
        <w:snapToGrid w:val="0"/>
        <w:spacing w:line="400" w:lineRule="exact"/>
        <w:ind w:firstLine="420" w:firstLineChars="200"/>
        <w:jc w:val="left"/>
        <w:rPr>
          <w:rFonts w:hint="eastAsia" w:ascii="宋体" w:hAnsi="宋体"/>
          <w:b/>
          <w:bCs/>
          <w:i/>
          <w:iCs/>
          <w:color w:val="000000"/>
          <w:szCs w:val="21"/>
        </w:rPr>
      </w:pPr>
      <w:r>
        <w:rPr>
          <w:rFonts w:hint="eastAsia" w:ascii="宋体" w:hAnsi="宋体"/>
          <w:color w:val="000000"/>
          <w:szCs w:val="21"/>
        </w:rPr>
        <w:t>2.1 合同标的及金额应与中标（成交）结果一致。乙方为履行本合同而发生的所有费用均应包含在合同价款中，甲方不再另行支付</w:t>
      </w:r>
      <w:r>
        <w:rPr>
          <w:rFonts w:ascii="宋体" w:hAnsi="宋体"/>
          <w:color w:val="000000"/>
          <w:szCs w:val="21"/>
        </w:rPr>
        <w:t>其他</w:t>
      </w:r>
      <w:r>
        <w:rPr>
          <w:rFonts w:hint="eastAsia" w:ascii="宋体" w:hAnsi="宋体"/>
          <w:color w:val="000000"/>
          <w:szCs w:val="21"/>
        </w:rPr>
        <w:t>任何费用。</w:t>
      </w:r>
    </w:p>
    <w:p w14:paraId="04E4C05D">
      <w:pPr>
        <w:adjustRightInd w:val="0"/>
        <w:snapToGrid w:val="0"/>
        <w:spacing w:line="400" w:lineRule="exact"/>
        <w:jc w:val="left"/>
        <w:rPr>
          <w:rFonts w:hint="eastAsia" w:ascii="宋体" w:hAnsi="宋体"/>
          <w:b/>
          <w:color w:val="000000"/>
          <w:sz w:val="24"/>
        </w:rPr>
      </w:pPr>
      <w:r>
        <w:rPr>
          <w:rFonts w:hint="eastAsia" w:ascii="宋体" w:hAnsi="宋体"/>
          <w:b/>
          <w:color w:val="000000"/>
          <w:sz w:val="24"/>
        </w:rPr>
        <w:t>3. 履行合同的时间、地点和方式</w:t>
      </w:r>
    </w:p>
    <w:p w14:paraId="786BBB02">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3.1 </w:t>
      </w:r>
      <w:r>
        <w:rPr>
          <w:rFonts w:hint="eastAsia" w:ascii="宋体" w:hAnsi="宋体" w:cs="宋体"/>
          <w:szCs w:val="21"/>
        </w:rPr>
        <w:t>乙方应当在约定的时间、地点，按照约定方式履行合同。</w:t>
      </w:r>
    </w:p>
    <w:p w14:paraId="59542363">
      <w:p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4. 甲方的权利和义务</w:t>
      </w:r>
    </w:p>
    <w:p w14:paraId="6FAA9B0C">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4.1</w:t>
      </w:r>
      <w:r>
        <w:rPr>
          <w:rFonts w:ascii="宋体" w:hAnsi="宋体"/>
          <w:color w:val="000000"/>
          <w:szCs w:val="21"/>
        </w:rPr>
        <w:t xml:space="preserve"> 签署合同后，甲方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r>
        <w:rPr>
          <w:rFonts w:hint="eastAsia" w:ascii="宋体" w:hAnsi="宋体"/>
          <w:color w:val="000000"/>
          <w:szCs w:val="21"/>
        </w:rPr>
        <w:t>甲方有权对乙方的履约行为进行检查，并</w:t>
      </w:r>
      <w:r>
        <w:rPr>
          <w:rFonts w:ascii="宋体" w:hAnsi="宋体"/>
          <w:color w:val="000000"/>
          <w:szCs w:val="21"/>
        </w:rPr>
        <w:t>及时确认乙方提交的事项</w:t>
      </w:r>
      <w:r>
        <w:rPr>
          <w:rFonts w:hint="eastAsia" w:ascii="宋体" w:hAnsi="宋体"/>
          <w:color w:val="000000"/>
          <w:szCs w:val="21"/>
        </w:rPr>
        <w:t>。甲方应当</w:t>
      </w:r>
      <w:r>
        <w:rPr>
          <w:rFonts w:ascii="宋体" w:hAnsi="宋体"/>
          <w:color w:val="000000"/>
          <w:szCs w:val="21"/>
        </w:rPr>
        <w:t>配合乙方完成</w:t>
      </w:r>
      <w:r>
        <w:rPr>
          <w:rFonts w:hint="eastAsia" w:ascii="宋体" w:hAnsi="宋体"/>
          <w:color w:val="000000"/>
          <w:szCs w:val="21"/>
        </w:rPr>
        <w:t>相关项目</w:t>
      </w:r>
      <w:r>
        <w:rPr>
          <w:rFonts w:ascii="宋体" w:hAnsi="宋体"/>
          <w:color w:val="000000"/>
          <w:szCs w:val="21"/>
        </w:rPr>
        <w:t>实施工作。</w:t>
      </w:r>
    </w:p>
    <w:p w14:paraId="730AB5D6">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4.2 </w:t>
      </w:r>
      <w:r>
        <w:rPr>
          <w:rFonts w:ascii="宋体" w:hAnsi="宋体"/>
          <w:color w:val="000000"/>
          <w:szCs w:val="21"/>
        </w:rPr>
        <w:t>甲方有权要求乙方按时提交各阶段有关</w:t>
      </w:r>
      <w:r>
        <w:rPr>
          <w:rFonts w:hint="eastAsia" w:ascii="宋体" w:hAnsi="宋体"/>
          <w:color w:val="000000"/>
          <w:szCs w:val="21"/>
        </w:rPr>
        <w:t>安排计划</w:t>
      </w:r>
      <w:r>
        <w:rPr>
          <w:rFonts w:ascii="宋体" w:hAnsi="宋体"/>
          <w:color w:val="000000"/>
          <w:szCs w:val="21"/>
        </w:rPr>
        <w:t>，并有权</w:t>
      </w:r>
      <w:r>
        <w:rPr>
          <w:rFonts w:hint="eastAsia" w:ascii="宋体" w:hAnsi="宋体"/>
          <w:color w:val="000000"/>
          <w:szCs w:val="21"/>
        </w:rPr>
        <w:t>定期核对乙方提供货物数量、规格、质量等内容。甲方</w:t>
      </w:r>
      <w:r>
        <w:rPr>
          <w:rFonts w:ascii="宋体" w:hAnsi="宋体"/>
          <w:color w:val="000000"/>
          <w:szCs w:val="21"/>
        </w:rPr>
        <w:t>有权督促乙方工作并要求乙方</w:t>
      </w:r>
      <w:r>
        <w:rPr>
          <w:rFonts w:hint="eastAsia" w:ascii="宋体" w:hAnsi="宋体"/>
          <w:color w:val="000000"/>
          <w:szCs w:val="21"/>
        </w:rPr>
        <w:t>更</w:t>
      </w:r>
      <w:r>
        <w:rPr>
          <w:rFonts w:ascii="宋体" w:hAnsi="宋体"/>
          <w:color w:val="000000"/>
          <w:szCs w:val="21"/>
        </w:rPr>
        <w:t>换不符合要求的</w:t>
      </w:r>
      <w:r>
        <w:rPr>
          <w:rFonts w:hint="eastAsia" w:ascii="宋体" w:hAnsi="宋体"/>
          <w:color w:val="000000"/>
          <w:szCs w:val="21"/>
        </w:rPr>
        <w:t>货物</w:t>
      </w:r>
      <w:r>
        <w:rPr>
          <w:rFonts w:ascii="宋体" w:hAnsi="宋体"/>
          <w:color w:val="000000"/>
          <w:szCs w:val="21"/>
        </w:rPr>
        <w:t>。</w:t>
      </w:r>
    </w:p>
    <w:p w14:paraId="65069016">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4.</w:t>
      </w:r>
      <w:r>
        <w:rPr>
          <w:rFonts w:ascii="宋体" w:hAnsi="宋体"/>
          <w:color w:val="000000"/>
          <w:szCs w:val="21"/>
        </w:rPr>
        <w:t>3</w:t>
      </w:r>
      <w:r>
        <w:rPr>
          <w:rFonts w:hint="eastAsia" w:ascii="宋体" w:hAnsi="宋体"/>
          <w:color w:val="000000"/>
          <w:szCs w:val="21"/>
        </w:rPr>
        <w:t xml:space="preserve"> </w:t>
      </w:r>
      <w:r>
        <w:rPr>
          <w:rFonts w:ascii="宋体" w:hAnsi="宋体"/>
          <w:color w:val="000000"/>
          <w:szCs w:val="21"/>
        </w:rPr>
        <w:t>甲方</w:t>
      </w:r>
      <w:r>
        <w:rPr>
          <w:rFonts w:hint="eastAsia" w:ascii="宋体" w:hAnsi="宋体"/>
          <w:color w:val="000000"/>
          <w:szCs w:val="21"/>
        </w:rPr>
        <w:t>有权要求乙方对缺陷部分予以修复，并按合同约定享有货物保修及其他合同约定的权利。</w:t>
      </w:r>
    </w:p>
    <w:p w14:paraId="4FA64589">
      <w:pPr>
        <w:snapToGrid w:val="0"/>
        <w:spacing w:line="400" w:lineRule="exact"/>
        <w:ind w:firstLine="420" w:firstLineChars="200"/>
        <w:rPr>
          <w:rFonts w:eastAsia="华文楷体"/>
        </w:rPr>
      </w:pPr>
      <w:r>
        <w:rPr>
          <w:rFonts w:ascii="宋体" w:hAnsi="宋体"/>
          <w:color w:val="000000"/>
          <w:szCs w:val="21"/>
        </w:rPr>
        <w:t>4.4 甲方应当按照合同约定及时对交付的货物进行验收</w:t>
      </w:r>
      <w:r>
        <w:rPr>
          <w:rFonts w:hint="eastAsia" w:ascii="宋体" w:hAnsi="宋体"/>
          <w:color w:val="000000"/>
          <w:szCs w:val="21"/>
        </w:rPr>
        <w:t>，</w:t>
      </w:r>
      <w:r>
        <w:rPr>
          <w:rFonts w:hint="eastAsia" w:ascii="宋体" w:hAnsi="宋体" w:cs="宋体"/>
          <w:szCs w:val="21"/>
        </w:rPr>
        <w:t>未</w:t>
      </w:r>
      <w:r>
        <w:rPr>
          <w:rFonts w:hint="eastAsia" w:ascii="宋体" w:hAnsi="宋体"/>
          <w:color w:val="000000"/>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color w:val="000000"/>
          <w:szCs w:val="21"/>
        </w:rPr>
        <w:t>视为验收通过。</w:t>
      </w:r>
    </w:p>
    <w:p w14:paraId="3CF77C9C">
      <w:pPr>
        <w:autoSpaceDE w:val="0"/>
        <w:autoSpaceDN w:val="0"/>
        <w:adjustRightInd w:val="0"/>
        <w:snapToGrid w:val="0"/>
        <w:spacing w:line="400" w:lineRule="exact"/>
        <w:ind w:firstLine="420" w:firstLineChars="200"/>
        <w:jc w:val="left"/>
        <w:rPr>
          <w:rFonts w:hint="eastAsia"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 xml:space="preserve">5 </w:t>
      </w:r>
      <w:r>
        <w:rPr>
          <w:rFonts w:hint="eastAsia" w:ascii="宋体" w:hAnsi="宋体"/>
          <w:color w:val="000000"/>
          <w:szCs w:val="21"/>
        </w:rPr>
        <w:t>甲方应当根据合同约定及时向乙方支付合同价款</w:t>
      </w:r>
      <w:r>
        <w:rPr>
          <w:rFonts w:ascii="宋体" w:hAnsi="宋体"/>
          <w:color w:val="000000"/>
          <w:szCs w:val="21"/>
        </w:rPr>
        <w:t>，不得以内部人员变更、履行内部付款流程等为由，拒绝或迟延支付。</w:t>
      </w:r>
    </w:p>
    <w:p w14:paraId="15FC7B5C">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4.6</w:t>
      </w:r>
      <w:r>
        <w:rPr>
          <w:rFonts w:ascii="宋体" w:hAnsi="宋体"/>
          <w:color w:val="000000"/>
          <w:szCs w:val="21"/>
        </w:rPr>
        <w:t xml:space="preserve"> </w:t>
      </w:r>
      <w:r>
        <w:rPr>
          <w:rFonts w:hint="eastAsia" w:ascii="宋体" w:hAnsi="宋体"/>
          <w:color w:val="000000"/>
          <w:szCs w:val="21"/>
        </w:rPr>
        <w:t>国家法律法规规定及</w:t>
      </w:r>
      <w:r>
        <w:rPr>
          <w:rFonts w:hint="eastAsia" w:ascii="宋体" w:hAnsi="宋体" w:cs="宋体"/>
          <w:b/>
          <w:bCs/>
          <w:szCs w:val="21"/>
        </w:rPr>
        <w:t>【政府采购合同专用条款】</w:t>
      </w:r>
      <w:r>
        <w:rPr>
          <w:rFonts w:hint="eastAsia" w:ascii="宋体" w:hAnsi="宋体"/>
          <w:color w:val="000000"/>
          <w:szCs w:val="21"/>
        </w:rPr>
        <w:t>约定应由甲方承担的其他义务和责任。</w:t>
      </w:r>
    </w:p>
    <w:p w14:paraId="7534E3EF">
      <w:p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5. 乙方的权利和义务</w:t>
      </w:r>
    </w:p>
    <w:p w14:paraId="794D9845">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5.1 </w:t>
      </w:r>
      <w:r>
        <w:rPr>
          <w:rFonts w:ascii="宋体" w:hAnsi="宋体"/>
          <w:color w:val="000000"/>
          <w:szCs w:val="21"/>
        </w:rPr>
        <w:t>签署合同后，乙方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p>
    <w:p w14:paraId="51D9121A">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5.</w:t>
      </w:r>
      <w:r>
        <w:rPr>
          <w:rFonts w:ascii="宋体" w:hAnsi="宋体"/>
          <w:color w:val="000000"/>
          <w:szCs w:val="21"/>
        </w:rPr>
        <w:t>2 乙方应按照合同要求</w:t>
      </w:r>
      <w:r>
        <w:rPr>
          <w:rFonts w:hint="eastAsia" w:ascii="宋体" w:hAnsi="宋体"/>
          <w:color w:val="000000"/>
          <w:szCs w:val="21"/>
        </w:rPr>
        <w:t>履约</w:t>
      </w:r>
      <w:r>
        <w:rPr>
          <w:rFonts w:ascii="宋体" w:hAnsi="宋体"/>
          <w:color w:val="000000"/>
          <w:szCs w:val="21"/>
        </w:rPr>
        <w:t>，充分合理安排，确保</w:t>
      </w:r>
      <w:r>
        <w:rPr>
          <w:rFonts w:hint="eastAsia" w:ascii="宋体" w:hAnsi="宋体"/>
          <w:color w:val="000000"/>
          <w:szCs w:val="21"/>
        </w:rPr>
        <w:t>提供的货物及相关服务符合合同有关</w:t>
      </w:r>
      <w:r>
        <w:rPr>
          <w:rFonts w:ascii="宋体" w:hAnsi="宋体"/>
          <w:color w:val="000000"/>
          <w:szCs w:val="21"/>
        </w:rPr>
        <w:t>要求</w:t>
      </w:r>
      <w:r>
        <w:rPr>
          <w:rFonts w:hint="eastAsia" w:ascii="宋体" w:hAnsi="宋体"/>
          <w:color w:val="000000"/>
          <w:szCs w:val="21"/>
        </w:rPr>
        <w:t>。接受项目行业管理部门及政府有关部门的指导，配合甲方的履约检查及验收，并</w:t>
      </w:r>
      <w:r>
        <w:rPr>
          <w:rFonts w:ascii="宋体" w:hAnsi="宋体"/>
          <w:color w:val="000000"/>
          <w:szCs w:val="21"/>
        </w:rPr>
        <w:t>负责项目实施过程中的所有协调工作。</w:t>
      </w:r>
    </w:p>
    <w:p w14:paraId="0BCA943B">
      <w:pPr>
        <w:spacing w:line="400" w:lineRule="exact"/>
        <w:ind w:firstLine="369" w:firstLineChars="176"/>
        <w:rPr>
          <w:rFonts w:hint="eastAsia" w:ascii="宋体" w:hAnsi="宋体" w:cs="宋体"/>
          <w:color w:val="000000"/>
          <w:szCs w:val="21"/>
        </w:rPr>
      </w:pPr>
      <w:r>
        <w:rPr>
          <w:rFonts w:hint="eastAsia" w:ascii="宋体" w:hAnsi="宋体"/>
          <w:color w:val="000000"/>
          <w:szCs w:val="21"/>
        </w:rPr>
        <w:t>5.</w:t>
      </w:r>
      <w:r>
        <w:rPr>
          <w:rFonts w:ascii="宋体" w:hAnsi="宋体"/>
          <w:color w:val="000000"/>
          <w:szCs w:val="21"/>
        </w:rPr>
        <w:t>3</w:t>
      </w:r>
      <w:r>
        <w:rPr>
          <w:rFonts w:hint="eastAsia" w:ascii="宋体" w:hAnsi="宋体"/>
          <w:color w:val="000000"/>
          <w:szCs w:val="21"/>
        </w:rPr>
        <w:t>乙方有权</w:t>
      </w:r>
      <w:r>
        <w:rPr>
          <w:rFonts w:hint="eastAsia" w:ascii="宋体" w:hAnsi="宋体" w:cs="宋体"/>
          <w:color w:val="000000"/>
          <w:szCs w:val="21"/>
        </w:rPr>
        <w:t>根据合同约定向甲方收取合同价款。</w:t>
      </w:r>
    </w:p>
    <w:p w14:paraId="401E5364">
      <w:pPr>
        <w:spacing w:line="400" w:lineRule="exact"/>
        <w:ind w:firstLine="369" w:firstLineChars="176"/>
        <w:rPr>
          <w:rFonts w:hint="eastAsia" w:ascii="宋体" w:hAnsi="宋体" w:cs="宋体"/>
          <w:color w:val="000000"/>
          <w:szCs w:val="21"/>
        </w:rPr>
      </w:pPr>
      <w:r>
        <w:rPr>
          <w:rFonts w:hint="eastAsia" w:ascii="宋体" w:hAnsi="宋体"/>
          <w:color w:val="000000"/>
          <w:szCs w:val="21"/>
        </w:rPr>
        <w:t>5.</w:t>
      </w:r>
      <w:r>
        <w:rPr>
          <w:rFonts w:ascii="宋体" w:hAnsi="宋体"/>
          <w:color w:val="000000"/>
          <w:szCs w:val="21"/>
        </w:rPr>
        <w:t>4</w:t>
      </w:r>
      <w:r>
        <w:rPr>
          <w:rFonts w:hint="eastAsia" w:ascii="宋体" w:hAnsi="宋体" w:cs="宋体"/>
          <w:color w:val="000000"/>
          <w:szCs w:val="21"/>
        </w:rPr>
        <w:t>国家法律法规规定</w:t>
      </w:r>
      <w:r>
        <w:rPr>
          <w:rFonts w:hint="eastAsia" w:ascii="宋体" w:hAnsi="宋体"/>
          <w:color w:val="000000"/>
          <w:szCs w:val="21"/>
        </w:rPr>
        <w:t>及</w:t>
      </w:r>
      <w:r>
        <w:rPr>
          <w:rFonts w:hint="eastAsia" w:ascii="宋体" w:hAnsi="宋体" w:cs="宋体"/>
          <w:b/>
          <w:bCs/>
          <w:szCs w:val="21"/>
        </w:rPr>
        <w:t>【政府采购合同专用条款】</w:t>
      </w:r>
      <w:r>
        <w:rPr>
          <w:rFonts w:hint="eastAsia" w:ascii="宋体" w:hAnsi="宋体" w:cs="宋体"/>
          <w:szCs w:val="21"/>
        </w:rPr>
        <w:t>约定应</w:t>
      </w:r>
      <w:r>
        <w:rPr>
          <w:rFonts w:hint="eastAsia" w:ascii="宋体" w:hAnsi="宋体" w:cs="宋体"/>
          <w:color w:val="000000"/>
          <w:szCs w:val="21"/>
        </w:rPr>
        <w:t>由乙方承担的其他义务和责任。</w:t>
      </w:r>
    </w:p>
    <w:p w14:paraId="6FA6A899">
      <w:pPr>
        <w:numPr>
          <w:ilvl w:val="0"/>
          <w:numId w:val="7"/>
        </w:num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合同履行</w:t>
      </w:r>
    </w:p>
    <w:p w14:paraId="379E860F">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6.1 甲乙双方应当按照</w:t>
      </w:r>
      <w:r>
        <w:rPr>
          <w:rFonts w:hint="eastAsia" w:ascii="宋体" w:hAnsi="宋体" w:cs="宋体"/>
          <w:b/>
          <w:bCs/>
          <w:szCs w:val="21"/>
        </w:rPr>
        <w:t>【政府采购合同专用条款】</w:t>
      </w:r>
      <w:r>
        <w:rPr>
          <w:rFonts w:hint="eastAsia" w:ascii="宋体" w:hAnsi="宋体"/>
          <w:color w:val="000000"/>
          <w:szCs w:val="21"/>
        </w:rPr>
        <w:t>约定顺序履行合同义务；如果没有先后顺序的，应当同时履行。</w:t>
      </w:r>
    </w:p>
    <w:p w14:paraId="3DE3DE3A">
      <w:pPr>
        <w:autoSpaceDE w:val="0"/>
        <w:autoSpaceDN w:val="0"/>
        <w:adjustRightInd w:val="0"/>
        <w:snapToGrid w:val="0"/>
        <w:spacing w:line="400" w:lineRule="exact"/>
        <w:ind w:firstLine="420" w:firstLineChars="200"/>
        <w:jc w:val="left"/>
      </w:pPr>
      <w:r>
        <w:rPr>
          <w:rFonts w:hint="eastAsia" w:ascii="宋体" w:hAnsi="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5F72A9DD">
      <w:pPr>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7. 货物包装、运输、保险和交付要求</w:t>
      </w:r>
    </w:p>
    <w:p w14:paraId="397E5D24">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7.1 本合同</w:t>
      </w:r>
      <w:r>
        <w:rPr>
          <w:rFonts w:hint="eastAsia" w:ascii="宋体" w:hAnsi="宋体"/>
          <w:bCs/>
          <w:color w:val="000000"/>
          <w:szCs w:val="21"/>
        </w:rPr>
        <w:t>涉及商品包装、快递包装的，</w:t>
      </w:r>
      <w:r>
        <w:rPr>
          <w:rFonts w:hint="eastAsia" w:ascii="宋体" w:hAnsi="宋体"/>
          <w:color w:val="000000"/>
          <w:szCs w:val="21"/>
        </w:rPr>
        <w:t>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包装应适应远距离运输、防潮、防震、防锈和防野蛮装卸等要求，确保货物安全无损地运抵</w:t>
      </w:r>
      <w:r>
        <w:rPr>
          <w:rFonts w:hint="eastAsia" w:ascii="宋体" w:hAnsi="宋体"/>
          <w:b/>
          <w:color w:val="000000"/>
          <w:szCs w:val="21"/>
        </w:rPr>
        <w:t>【政府采购合同专用条款】</w:t>
      </w:r>
      <w:r>
        <w:rPr>
          <w:rFonts w:hint="eastAsia" w:ascii="宋体" w:hAnsi="宋体"/>
          <w:bCs/>
          <w:color w:val="000000"/>
          <w:szCs w:val="21"/>
        </w:rPr>
        <w:t>约定的</w:t>
      </w:r>
      <w:r>
        <w:rPr>
          <w:rFonts w:hint="eastAsia" w:ascii="宋体" w:hAnsi="宋体"/>
          <w:color w:val="000000"/>
          <w:szCs w:val="21"/>
        </w:rPr>
        <w:t>指定现场。</w:t>
      </w:r>
    </w:p>
    <w:p w14:paraId="17FF040A">
      <w:pPr>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7.2 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乙方负责办理将货物运抵本合同规定的交货地点，并装卸、交付至甲方的一切运输事项，相关费用应包含在合同价款中。</w:t>
      </w:r>
    </w:p>
    <w:p w14:paraId="281F0C58">
      <w:pPr>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7.3 货物保险要求按</w:t>
      </w:r>
      <w:r>
        <w:rPr>
          <w:rFonts w:hint="eastAsia" w:ascii="宋体" w:hAnsi="宋体"/>
          <w:b/>
          <w:color w:val="000000"/>
          <w:szCs w:val="21"/>
        </w:rPr>
        <w:t>【政府采购合同专用条款】</w:t>
      </w:r>
      <w:r>
        <w:rPr>
          <w:rFonts w:hint="eastAsia" w:ascii="宋体" w:hAnsi="宋体"/>
          <w:bCs/>
          <w:color w:val="000000"/>
          <w:szCs w:val="21"/>
        </w:rPr>
        <w:t>规定执行</w:t>
      </w:r>
      <w:r>
        <w:rPr>
          <w:rFonts w:hint="eastAsia" w:ascii="宋体" w:hAnsi="宋体"/>
          <w:color w:val="000000"/>
          <w:szCs w:val="21"/>
        </w:rPr>
        <w:t>。</w:t>
      </w:r>
    </w:p>
    <w:p w14:paraId="5B2036A2">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F9331D3">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7.5 </w:t>
      </w:r>
      <w:r>
        <w:rPr>
          <w:rFonts w:hint="eastAsia" w:ascii="宋体" w:hAnsi="宋体" w:cs="宋体"/>
          <w:color w:val="000000"/>
          <w:szCs w:val="21"/>
        </w:rPr>
        <w:t>乙方在运输到达之前应提前通知甲方，并提示货物运输装卸的注意事项，甲方配合乙方做好货物的接收工作。</w:t>
      </w:r>
    </w:p>
    <w:p w14:paraId="45A960D3">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color w:val="000000"/>
          <w:szCs w:val="21"/>
        </w:rPr>
        <w:t>7.6 如因包装、运输问题导致货物损毁、丢失或者品质下降，甲方有权要求降价、换货、拒收部分或整批货物，由此产生的费用和损失，均由乙方承担。</w:t>
      </w:r>
    </w:p>
    <w:p w14:paraId="05C50827">
      <w:pPr>
        <w:adjustRightInd w:val="0"/>
        <w:snapToGrid w:val="0"/>
        <w:spacing w:line="400" w:lineRule="exact"/>
        <w:jc w:val="left"/>
        <w:rPr>
          <w:rFonts w:hint="eastAsia" w:ascii="宋体" w:hAnsi="宋体"/>
          <w:b/>
          <w:sz w:val="24"/>
        </w:rPr>
      </w:pPr>
      <w:r>
        <w:rPr>
          <w:rFonts w:hint="eastAsia" w:ascii="宋体" w:hAnsi="宋体"/>
          <w:b/>
          <w:color w:val="000000"/>
          <w:sz w:val="24"/>
        </w:rPr>
        <w:t xml:space="preserve">8. </w:t>
      </w:r>
      <w:r>
        <w:rPr>
          <w:rFonts w:hint="eastAsia" w:ascii="宋体" w:hAnsi="宋体"/>
          <w:b/>
          <w:sz w:val="24"/>
        </w:rPr>
        <w:t>质量标准和保证</w:t>
      </w:r>
    </w:p>
    <w:p w14:paraId="68B6F0B8">
      <w:pPr>
        <w:adjustRightInd w:val="0"/>
        <w:snapToGrid w:val="0"/>
        <w:spacing w:line="400" w:lineRule="exact"/>
        <w:ind w:firstLine="420" w:firstLineChars="200"/>
        <w:jc w:val="left"/>
        <w:rPr>
          <w:rFonts w:hint="eastAsia" w:ascii="宋体" w:hAnsi="宋体" w:cs="Courier New"/>
          <w:b/>
          <w:szCs w:val="21"/>
        </w:rPr>
      </w:pPr>
      <w:r>
        <w:rPr>
          <w:rFonts w:hint="eastAsia" w:ascii="宋体" w:hAnsi="宋体" w:cs="Courier New"/>
          <w:szCs w:val="21"/>
        </w:rPr>
        <w:t>8.1 质量标准</w:t>
      </w:r>
    </w:p>
    <w:p w14:paraId="21EF6A2A">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（1）本合同下提供的货物应符合合同</w:t>
      </w:r>
      <w:r>
        <w:rPr>
          <w:rFonts w:hint="eastAsia" w:ascii="宋体" w:hAnsi="宋体" w:cs="宋体"/>
          <w:color w:val="000000"/>
          <w:szCs w:val="21"/>
        </w:rPr>
        <w:t>约定的</w:t>
      </w:r>
      <w:r>
        <w:rPr>
          <w:rFonts w:hint="eastAsia" w:ascii="宋体" w:hAnsi="宋体" w:cs="宋体"/>
          <w:szCs w:val="21"/>
        </w:rPr>
        <w:t>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FDD0237">
      <w:pPr>
        <w:adjustRightInd w:val="0"/>
        <w:snapToGrid w:val="0"/>
        <w:spacing w:line="400" w:lineRule="exact"/>
        <w:ind w:firstLine="420" w:firstLineChars="200"/>
        <w:jc w:val="left"/>
        <w:rPr>
          <w:rFonts w:hint="eastAsia" w:ascii="宋体" w:hAnsi="宋体" w:cs="Courier New"/>
          <w:szCs w:val="21"/>
        </w:rPr>
      </w:pPr>
      <w:r>
        <w:rPr>
          <w:rFonts w:hint="eastAsia" w:ascii="宋体" w:hAnsi="宋体" w:cs="Courier New"/>
          <w:szCs w:val="21"/>
        </w:rPr>
        <w:t>（2）采用中华人民共和国法定计量单位。</w:t>
      </w:r>
    </w:p>
    <w:p w14:paraId="06CEC93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（3）乙方所提供的货物应符合国家有关安全、环保、卫生的规定。</w:t>
      </w:r>
    </w:p>
    <w:p w14:paraId="0E51D8D7">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3E263301">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8.2 保证</w:t>
      </w:r>
    </w:p>
    <w:p w14:paraId="794EA578">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14:paraId="4B409630">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（2）在质量保证期内所发现的缺陷，甲方应尽快以书面形式通知乙方。</w:t>
      </w:r>
    </w:p>
    <w:p w14:paraId="3DEBB616">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14:paraId="46A7E936">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rPr>
        <w:t>5</w:t>
      </w:r>
      <w:r>
        <w:rPr>
          <w:rFonts w:hint="eastAsia" w:ascii="宋体" w:hAnsi="宋体"/>
          <w:szCs w:val="21"/>
        </w:rPr>
        <w:t>.1条规定以书面形式</w:t>
      </w:r>
      <w:r>
        <w:rPr>
          <w:rFonts w:hint="eastAsia" w:ascii="宋体" w:hAnsi="宋体"/>
          <w:color w:val="000000"/>
          <w:szCs w:val="21"/>
        </w:rPr>
        <w:t>追究</w:t>
      </w:r>
      <w:r>
        <w:rPr>
          <w:rFonts w:hint="eastAsia" w:ascii="宋体" w:hAnsi="宋体"/>
          <w:szCs w:val="21"/>
        </w:rPr>
        <w:t>乙方</w:t>
      </w:r>
      <w:r>
        <w:rPr>
          <w:rFonts w:hint="eastAsia" w:ascii="宋体" w:hAnsi="宋体"/>
          <w:color w:val="000000"/>
          <w:szCs w:val="21"/>
        </w:rPr>
        <w:t>的违约责任</w:t>
      </w:r>
      <w:r>
        <w:rPr>
          <w:rFonts w:hint="eastAsia" w:ascii="宋体" w:hAnsi="宋体"/>
          <w:szCs w:val="21"/>
        </w:rPr>
        <w:t>。</w:t>
      </w:r>
    </w:p>
    <w:p w14:paraId="03BE2B49">
      <w:pPr>
        <w:adjustRightInd w:val="0"/>
        <w:snapToGrid w:val="0"/>
        <w:spacing w:line="400" w:lineRule="exact"/>
        <w:ind w:firstLine="420" w:firstLineChars="20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58E7D85E">
      <w:pPr>
        <w:adjustRightInd w:val="0"/>
        <w:snapToGrid w:val="0"/>
        <w:spacing w:line="400" w:lineRule="exact"/>
        <w:jc w:val="left"/>
        <w:rPr>
          <w:rFonts w:hint="eastAsia" w:ascii="宋体" w:hAnsi="宋体"/>
          <w:b/>
          <w:bCs/>
          <w:sz w:val="24"/>
        </w:rPr>
      </w:pPr>
      <w:r>
        <w:rPr>
          <w:rFonts w:hint="eastAsia" w:ascii="宋体" w:hAnsi="宋体"/>
          <w:b/>
          <w:bCs/>
          <w:color w:val="000000"/>
          <w:sz w:val="24"/>
        </w:rPr>
        <w:t>9</w:t>
      </w:r>
      <w:r>
        <w:rPr>
          <w:rFonts w:hint="eastAsia" w:ascii="宋体" w:hAnsi="宋体"/>
          <w:b/>
          <w:bCs/>
          <w:sz w:val="24"/>
        </w:rPr>
        <w:t>.</w:t>
      </w:r>
      <w:r>
        <w:rPr>
          <w:rFonts w:hint="eastAsia" w:ascii="宋体" w:hAnsi="宋体"/>
          <w:b/>
          <w:bCs/>
          <w:color w:val="000000"/>
          <w:sz w:val="24"/>
        </w:rPr>
        <w:t xml:space="preserve"> </w:t>
      </w:r>
      <w:r>
        <w:rPr>
          <w:rFonts w:hint="eastAsia" w:ascii="宋体" w:hAnsi="宋体"/>
          <w:b/>
          <w:bCs/>
          <w:sz w:val="24"/>
        </w:rPr>
        <w:t>权利瑕疵担保</w:t>
      </w:r>
    </w:p>
    <w:p w14:paraId="454F29B6">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9.1 乙方保证对其出售的货物享有合法的权利。</w:t>
      </w:r>
    </w:p>
    <w:p w14:paraId="0AC0BBA1">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9.2 </w:t>
      </w:r>
      <w:r>
        <w:rPr>
          <w:rFonts w:hint="eastAsia" w:ascii="宋体" w:hAnsi="宋体" w:cs="宋体"/>
          <w:szCs w:val="15"/>
        </w:rPr>
        <w:t>乙方保证在交付的货物上不存在抵押权等担保物权。</w:t>
      </w:r>
    </w:p>
    <w:p w14:paraId="276BA0C0">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9.3 如甲方使用上述货物构成对第三人侵权的，则由乙方承担全部责任。</w:t>
      </w:r>
    </w:p>
    <w:p w14:paraId="24A20192">
      <w:p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10. 知识产权保护</w:t>
      </w:r>
    </w:p>
    <w:p w14:paraId="19210B56">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color w:val="000000"/>
          <w:szCs w:val="21"/>
        </w:rPr>
        <w:t>10.1 乙方对其所销售的货物应当享有知识产权或经权利人合法授权，保证没有侵犯任</w:t>
      </w:r>
      <w:r>
        <w:rPr>
          <w:rFonts w:hint="eastAsia" w:ascii="宋体" w:hAnsi="宋体"/>
          <w:szCs w:val="21"/>
        </w:rPr>
        <w:t>何第三人的知识产权等权利。</w:t>
      </w:r>
      <w:bookmarkStart w:id="87"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87"/>
      <w:r>
        <w:rPr>
          <w:rFonts w:hint="eastAsia" w:ascii="宋体" w:hAnsi="宋体"/>
          <w:szCs w:val="21"/>
        </w:rPr>
        <w:t>。</w:t>
      </w:r>
    </w:p>
    <w:p w14:paraId="3D71E9E7">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11. 保密义务</w:t>
      </w:r>
    </w:p>
    <w:p w14:paraId="0E34A8E0">
      <w:pPr>
        <w:autoSpaceDE w:val="0"/>
        <w:autoSpaceDN w:val="0"/>
        <w:adjustRightInd w:val="0"/>
        <w:snapToGrid w:val="0"/>
        <w:spacing w:line="400" w:lineRule="exact"/>
        <w:ind w:firstLine="420" w:firstLineChars="200"/>
        <w:jc w:val="left"/>
        <w:rPr>
          <w:rFonts w:hint="eastAsia"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214C1AFE">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12. 合同价款支付</w:t>
      </w:r>
    </w:p>
    <w:p w14:paraId="5CE3C9B0">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12.1 合同价款支付按照国库集中支付制度及财政管理相关规定执行。</w:t>
      </w:r>
    </w:p>
    <w:p w14:paraId="4D636011">
      <w:pPr>
        <w:keepNext/>
        <w:keepLines/>
        <w:spacing w:line="400" w:lineRule="exact"/>
        <w:ind w:firstLine="420" w:firstLineChars="200"/>
        <w:outlineLvl w:val="1"/>
        <w:rPr>
          <w:rFonts w:ascii="Arial" w:hAnsi="Arial"/>
          <w:b/>
          <w:bCs/>
          <w:sz w:val="24"/>
          <w:szCs w:val="32"/>
        </w:rPr>
      </w:pPr>
      <w:r>
        <w:rPr>
          <w:rFonts w:hint="eastAsia" w:ascii="宋体" w:hAnsi="宋体"/>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szCs w:val="21"/>
        </w:rPr>
        <w:t>政府采购合同专用条款</w:t>
      </w:r>
      <w:r>
        <w:rPr>
          <w:rFonts w:hint="eastAsia" w:ascii="宋体" w:hAnsi="宋体"/>
          <w:szCs w:val="21"/>
        </w:rPr>
        <w:t>】中约定。</w:t>
      </w:r>
    </w:p>
    <w:p w14:paraId="1FA5C02E">
      <w:pPr>
        <w:spacing w:line="400" w:lineRule="exact"/>
        <w:rPr>
          <w:rFonts w:hint="eastAsia" w:ascii="宋体" w:hAnsi="宋体"/>
          <w:b/>
          <w:bCs/>
          <w:sz w:val="24"/>
        </w:rPr>
      </w:pPr>
      <w:r>
        <w:rPr>
          <w:rFonts w:hint="eastAsia" w:ascii="宋体" w:hAnsi="宋体"/>
          <w:b/>
          <w:bCs/>
          <w:sz w:val="24"/>
        </w:rPr>
        <w:t>13. 履约保证金</w:t>
      </w:r>
    </w:p>
    <w:p w14:paraId="0318A520">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14:paraId="71B2F638">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4A1703FE">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14:paraId="138D0029">
      <w:pPr>
        <w:autoSpaceDE w:val="0"/>
        <w:autoSpaceDN w:val="0"/>
        <w:adjustRightInd w:val="0"/>
        <w:snapToGrid w:val="0"/>
        <w:spacing w:line="400" w:lineRule="exact"/>
        <w:jc w:val="left"/>
        <w:rPr>
          <w:rFonts w:hint="eastAsia"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4F3815B8">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14.1 除项目不涉及或采购活动中明确约定无须承担外，乙方还应提供下列服务：</w:t>
      </w:r>
    </w:p>
    <w:p w14:paraId="25F5BC4E">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（1）货物的现场移动、安装、调试、启动监督及技术支持；</w:t>
      </w:r>
    </w:p>
    <w:p w14:paraId="2DBD10EB">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（2）提供货物组装和维修所需的专用工具和辅助材料；</w:t>
      </w:r>
    </w:p>
    <w:p w14:paraId="3A19055B">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（3）在</w:t>
      </w:r>
      <w:r>
        <w:rPr>
          <w:rFonts w:hint="eastAsia" w:ascii="宋体" w:hAnsi="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14:paraId="6DE80ED2">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0ED9977A">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（5）依照法律、行政法规的规定或者按照</w:t>
      </w:r>
      <w:r>
        <w:rPr>
          <w:rFonts w:hint="eastAsia" w:ascii="宋体" w:hAnsi="宋体" w:cs="宋体"/>
          <w:b/>
          <w:bCs/>
          <w:szCs w:val="21"/>
        </w:rPr>
        <w:t>【政府采购合同专用条款】</w:t>
      </w:r>
      <w:r>
        <w:rPr>
          <w:rFonts w:hint="eastAsia" w:ascii="宋体" w:hAnsi="宋体" w:cs="宋体"/>
          <w:szCs w:val="21"/>
        </w:rPr>
        <w:t>约定，货物在有效使用年限届满后应予回收的，乙方负有自行或者委托第三人对货物予以回收的义务；</w:t>
      </w:r>
    </w:p>
    <w:p w14:paraId="1B6B1A28">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14:paraId="386150E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14.2 乙方提供的售后服务的费用已包含在合同价款中，甲方不再另行支付。</w:t>
      </w:r>
    </w:p>
    <w:p w14:paraId="7A4BB0F9">
      <w:pPr>
        <w:adjustRightInd w:val="0"/>
        <w:snapToGrid w:val="0"/>
        <w:spacing w:line="400" w:lineRule="exact"/>
        <w:jc w:val="left"/>
        <w:rPr>
          <w:rFonts w:hint="eastAsia" w:ascii="宋体" w:hAnsi="宋体"/>
          <w:b/>
          <w:bCs/>
          <w:sz w:val="24"/>
        </w:rPr>
      </w:pPr>
      <w:r>
        <w:rPr>
          <w:rFonts w:hint="eastAsia" w:ascii="宋体" w:hAnsi="宋体"/>
          <w:b/>
          <w:bCs/>
          <w:sz w:val="24"/>
        </w:rPr>
        <w:t>15. 违约责任</w:t>
      </w:r>
    </w:p>
    <w:p w14:paraId="40E2CA2D">
      <w:pPr>
        <w:adjustRightInd w:val="0"/>
        <w:snapToGrid w:val="0"/>
        <w:spacing w:line="400" w:lineRule="exact"/>
        <w:ind w:firstLine="420" w:firstLineChars="200"/>
        <w:jc w:val="left"/>
        <w:rPr>
          <w:rFonts w:hint="eastAsia" w:ascii="宋体" w:hAnsi="宋体"/>
          <w:bCs/>
          <w:szCs w:val="21"/>
        </w:rPr>
      </w:pPr>
      <w:r>
        <w:rPr>
          <w:rFonts w:hint="eastAsia" w:ascii="宋体" w:hAnsi="宋体"/>
          <w:bCs/>
          <w:szCs w:val="21"/>
        </w:rPr>
        <w:t>15.1质量瑕疵的违约责任</w:t>
      </w:r>
    </w:p>
    <w:p w14:paraId="4792792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340B7B9C">
      <w:pPr>
        <w:autoSpaceDE w:val="0"/>
        <w:autoSpaceDN w:val="0"/>
        <w:adjustRightInd w:val="0"/>
        <w:snapToGrid w:val="0"/>
        <w:spacing w:line="400" w:lineRule="exact"/>
        <w:ind w:firstLine="420" w:firstLineChars="200"/>
        <w:jc w:val="left"/>
        <w:rPr>
          <w:rFonts w:hint="eastAsia" w:ascii="宋体" w:hAnsi="宋体"/>
          <w:bCs/>
          <w:szCs w:val="21"/>
        </w:rPr>
      </w:pPr>
      <w:r>
        <w:rPr>
          <w:rFonts w:hint="eastAsia" w:ascii="宋体" w:hAnsi="宋体"/>
          <w:bCs/>
          <w:szCs w:val="21"/>
        </w:rPr>
        <w:t>15.2 迟延交货的违约责任</w:t>
      </w:r>
    </w:p>
    <w:p w14:paraId="77E5D668">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B64B514">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14:paraId="1130A35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15.3 迟延支付的违约责任</w:t>
      </w:r>
    </w:p>
    <w:p w14:paraId="0EE1DE44">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14:paraId="703E54D5">
      <w:pPr>
        <w:adjustRightInd w:val="0"/>
        <w:snapToGrid w:val="0"/>
        <w:spacing w:line="400" w:lineRule="exact"/>
        <w:ind w:firstLine="420" w:firstLineChars="200"/>
        <w:jc w:val="left"/>
        <w:rPr>
          <w:rFonts w:hint="eastAsia"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14:paraId="43FAFE54">
      <w:pPr>
        <w:numPr>
          <w:ilvl w:val="0"/>
          <w:numId w:val="8"/>
        </w:num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合同变更、中止与终止</w:t>
      </w:r>
    </w:p>
    <w:p w14:paraId="2F1B6467">
      <w:pPr>
        <w:adjustRightInd w:val="0"/>
        <w:snapToGrid w:val="0"/>
        <w:spacing w:line="400" w:lineRule="exact"/>
        <w:jc w:val="left"/>
        <w:rPr>
          <w:rFonts w:hint="eastAsia" w:ascii="宋体" w:hAnsi="宋体"/>
          <w:szCs w:val="21"/>
        </w:rPr>
      </w:pPr>
      <w:r>
        <w:rPr>
          <w:rFonts w:hint="eastAsia" w:ascii="宋体" w:hAnsi="宋体"/>
          <w:szCs w:val="21"/>
        </w:rPr>
        <w:t xml:space="preserve">    16.1合同的变更</w:t>
      </w:r>
    </w:p>
    <w:p w14:paraId="121B2BE8">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14:paraId="3245C07B">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16.2合同的中止</w:t>
      </w:r>
    </w:p>
    <w:p w14:paraId="17E3B66E">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7C721681">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4D8AD0A">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cs="宋体"/>
          <w:szCs w:val="21"/>
        </w:rPr>
        <w:t>（3）乙方分立、合并或者变更住所的，应当及时以书面形式告知甲方。乙方没有及时告知甲方，致使合同履行发生困难的，甲方可以中止合同履行并要求乙方承担由此给甲方造成的损失。</w:t>
      </w:r>
    </w:p>
    <w:p w14:paraId="043D8C2C">
      <w:pPr>
        <w:snapToGrid w:val="0"/>
        <w:spacing w:line="400" w:lineRule="exact"/>
        <w:ind w:firstLine="420" w:firstLineChars="200"/>
        <w:jc w:val="left"/>
      </w:pPr>
      <w:r>
        <w:rPr>
          <w:rFonts w:hint="eastAsia" w:ascii="宋体" w:hAnsi="宋体"/>
          <w:szCs w:val="21"/>
        </w:rPr>
        <w:t>（4）甲方不得以行政区划调整、政府换届、机构或者职能调整以及相关责任人更替为由中止合同。</w:t>
      </w:r>
    </w:p>
    <w:p w14:paraId="6CAF4069">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16.3合同的终止</w:t>
      </w:r>
    </w:p>
    <w:p w14:paraId="183C9B5C">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（1）合同因有效期限届满而终止；</w:t>
      </w:r>
    </w:p>
    <w:p w14:paraId="49BBBF61">
      <w:pPr>
        <w:snapToGrid w:val="0"/>
        <w:spacing w:line="400" w:lineRule="exact"/>
        <w:ind w:firstLine="420" w:firstLineChars="200"/>
        <w:rPr>
          <w:rFonts w:hint="eastAsia"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14:paraId="05E13540">
      <w:pPr>
        <w:autoSpaceDE w:val="0"/>
        <w:autoSpaceDN w:val="0"/>
        <w:adjustRightInd w:val="0"/>
        <w:spacing w:line="400" w:lineRule="exact"/>
        <w:ind w:firstLine="440" w:firstLineChars="200"/>
        <w:rPr>
          <w:rFonts w:hint="eastAsia"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szCs w:val="21"/>
        </w:rPr>
        <w:t>涉及国家利益、社会公共利益的情形</w:t>
      </w:r>
    </w:p>
    <w:p w14:paraId="1C8A1AC5">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cs="宋体"/>
          <w:szCs w:val="21"/>
        </w:rPr>
        <w:t>政府采购合同继续履行将损害国家利益和社会公共利益的，双方当事人应当变更、中止或者终止合同。有过错的一方应当承担赔偿责任，双方都有过错的，各自承担相应的责任。</w:t>
      </w:r>
    </w:p>
    <w:p w14:paraId="35D4DB9C">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17. 合同分包</w:t>
      </w:r>
    </w:p>
    <w:p w14:paraId="502B7EDF">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2A2F5AA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14:paraId="47F4FBD6">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18. 不可抗力</w:t>
      </w:r>
    </w:p>
    <w:p w14:paraId="5FAC10FE">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18.1 不可抗力是指合同双方不能预见、不能避免且不能克服的客观情况。</w:t>
      </w:r>
    </w:p>
    <w:p w14:paraId="204561A8">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0FAC8CC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22408B6">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19. 解决争议的方法</w:t>
      </w:r>
    </w:p>
    <w:p w14:paraId="42714CA4">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14:paraId="08C7B12C">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19.2 选择仲裁的，应在</w:t>
      </w:r>
      <w:r>
        <w:rPr>
          <w:rFonts w:hint="eastAsia" w:ascii="宋体" w:hAnsi="宋体" w:cs="宋体"/>
          <w:b/>
          <w:bCs/>
          <w:szCs w:val="21"/>
        </w:rPr>
        <w:t>【政府采购合同专用条款】</w:t>
      </w:r>
      <w:r>
        <w:rPr>
          <w:rFonts w:hint="eastAsia" w:ascii="宋体" w:hAnsi="宋体" w:cs="宋体"/>
          <w:szCs w:val="21"/>
        </w:rPr>
        <w:t>中明确仲裁机构及仲裁地；通过诉讼方式解决的，可以在</w:t>
      </w:r>
      <w:r>
        <w:rPr>
          <w:rFonts w:hint="eastAsia" w:ascii="宋体" w:hAnsi="宋体" w:cs="宋体"/>
          <w:b/>
          <w:bCs/>
          <w:szCs w:val="21"/>
        </w:rPr>
        <w:t>【政府采购合同专用条款】</w:t>
      </w:r>
      <w:r>
        <w:rPr>
          <w:rFonts w:hint="eastAsia" w:ascii="宋体" w:hAnsi="宋体" w:cs="宋体"/>
          <w:szCs w:val="21"/>
        </w:rPr>
        <w:t>中进一步约定选择与争议有实际联系的地点的人民法院管辖，但管辖法院的约定不得违反级别管辖和专属管辖的规定。</w:t>
      </w:r>
    </w:p>
    <w:p w14:paraId="44BDC240">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19.3 如甲乙双方有争议的事项不影响合同其他部分的履行，在争议解决期间，合同其他部分应当继续履行。</w:t>
      </w:r>
    </w:p>
    <w:p w14:paraId="67584CB6">
      <w:pPr>
        <w:autoSpaceDE w:val="0"/>
        <w:autoSpaceDN w:val="0"/>
        <w:adjustRightInd w:val="0"/>
        <w:snapToGrid w:val="0"/>
        <w:spacing w:line="400" w:lineRule="exact"/>
        <w:jc w:val="left"/>
        <w:rPr>
          <w:rFonts w:hint="eastAsia" w:ascii="宋体" w:hAnsi="宋体"/>
          <w:sz w:val="24"/>
        </w:rPr>
      </w:pPr>
      <w:r>
        <w:rPr>
          <w:rFonts w:hint="eastAsia" w:ascii="宋体" w:hAnsi="宋体"/>
          <w:b/>
          <w:sz w:val="24"/>
        </w:rPr>
        <w:t>20. 政府采购政策</w:t>
      </w:r>
    </w:p>
    <w:p w14:paraId="7C23707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14:paraId="4AAA1D4E">
      <w:pPr>
        <w:autoSpaceDE w:val="0"/>
        <w:autoSpaceDN w:val="0"/>
        <w:adjustRightInd w:val="0"/>
        <w:snapToGrid w:val="0"/>
        <w:spacing w:line="400" w:lineRule="exact"/>
        <w:ind w:firstLine="420" w:firstLineChars="200"/>
        <w:jc w:val="left"/>
        <w:rPr>
          <w:rFonts w:hint="eastAsia"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14:paraId="0FB9EE7A">
      <w:pPr>
        <w:spacing w:line="400" w:lineRule="exact"/>
        <w:ind w:firstLine="420" w:firstLineChars="200"/>
        <w:rPr>
          <w:rFonts w:ascii="Calibri" w:hAnsi="Calibri"/>
          <w:szCs w:val="22"/>
        </w:rPr>
      </w:pPr>
      <w:r>
        <w:rPr>
          <w:rFonts w:ascii="宋体" w:hAnsi="宋体"/>
          <w:szCs w:val="21"/>
        </w:rPr>
        <w:t>2</w:t>
      </w:r>
      <w:r>
        <w:rPr>
          <w:rFonts w:hint="eastAsia" w:ascii="宋体" w:hAnsi="宋体"/>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C5A00E3">
      <w:p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21. 法律适用</w:t>
      </w:r>
    </w:p>
    <w:p w14:paraId="3DFF0A5D">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21.1 本合同的订立、生效、解释、履行及与本合同有关的争议解决，均适用法律、行政法规。</w:t>
      </w:r>
    </w:p>
    <w:p w14:paraId="56CA82C2">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21.2 本合同条款与法律、行政法规的强制性规定不一致的，双方当事人应按照法律、行政法规的强制性规定修改本合同的相关条款。</w:t>
      </w:r>
    </w:p>
    <w:p w14:paraId="748B5790">
      <w:pPr>
        <w:numPr>
          <w:ilvl w:val="255"/>
          <w:numId w:val="0"/>
        </w:num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22. 通知</w:t>
      </w:r>
    </w:p>
    <w:p w14:paraId="6EC7433F">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22.1 本合同任何一方向对方发出的通知、信件、数据电文等，应当发送至本合同第一部分《政府采购合同协议书》所约定的通讯地址、联系人、联系电话或电子邮箱。</w:t>
      </w:r>
    </w:p>
    <w:p w14:paraId="4E4CC1D5">
      <w:pPr>
        <w:autoSpaceDE w:val="0"/>
        <w:autoSpaceDN w:val="0"/>
        <w:adjustRightInd w:val="0"/>
        <w:spacing w:line="400" w:lineRule="exact"/>
        <w:rPr>
          <w:rFonts w:hint="eastAsia" w:ascii="华文楷体" w:hAnsi="华文楷体" w:eastAsia="华文楷体" w:cs="华文楷体"/>
          <w:szCs w:val="21"/>
        </w:rPr>
      </w:pPr>
      <w:r>
        <w:rPr>
          <w:rFonts w:hint="eastAsia" w:ascii="宋体" w:hAnsi="宋体" w:cs="宋体"/>
          <w:szCs w:val="21"/>
        </w:rPr>
        <w:t xml:space="preserve">    22.2 一方当事人变更名称、住所、联系人、联系电话或电子邮箱等信息的，应当在变更后3日内及时书面通知对方，对方实际收到变更通知前的送达仍为有效送达。</w:t>
      </w:r>
    </w:p>
    <w:p w14:paraId="4F697D9E">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44BF2C37">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22.4通知以送达之日或通知书中规定的生效之日起生效，两者中以较迟之日为准。</w:t>
      </w:r>
    </w:p>
    <w:p w14:paraId="486A01F0">
      <w:pPr>
        <w:numPr>
          <w:ilvl w:val="0"/>
          <w:numId w:val="9"/>
        </w:numPr>
        <w:adjustRightInd w:val="0"/>
        <w:snapToGrid w:val="0"/>
        <w:spacing w:line="400" w:lineRule="exact"/>
        <w:jc w:val="left"/>
        <w:rPr>
          <w:rFonts w:hint="eastAsia" w:ascii="宋体" w:hAnsi="宋体"/>
          <w:b/>
          <w:bCs/>
          <w:sz w:val="24"/>
        </w:rPr>
      </w:pPr>
      <w:r>
        <w:rPr>
          <w:rFonts w:hint="eastAsia" w:ascii="宋体" w:hAnsi="宋体"/>
          <w:b/>
          <w:bCs/>
          <w:sz w:val="24"/>
        </w:rPr>
        <w:t>合同未尽事项</w:t>
      </w:r>
    </w:p>
    <w:p w14:paraId="26BD85A5">
      <w:pPr>
        <w:adjustRightInd w:val="0"/>
        <w:snapToGrid w:val="0"/>
        <w:spacing w:line="400" w:lineRule="exact"/>
        <w:ind w:firstLine="420" w:firstLineChars="200"/>
        <w:jc w:val="left"/>
        <w:rPr>
          <w:rFonts w:hint="eastAsia"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14:paraId="0AFB612C">
      <w:pPr>
        <w:adjustRightInd w:val="0"/>
        <w:snapToGrid w:val="0"/>
        <w:spacing w:line="400" w:lineRule="exact"/>
        <w:jc w:val="left"/>
        <w:rPr>
          <w:rFonts w:hint="eastAsia" w:ascii="黑体" w:hAnsi="华文中宋" w:eastAsia="黑体"/>
          <w:sz w:val="28"/>
          <w:szCs w:val="28"/>
        </w:rPr>
      </w:pPr>
      <w:r>
        <w:rPr>
          <w:rFonts w:hint="eastAsia" w:ascii="宋体" w:hAnsi="宋体"/>
          <w:bCs/>
          <w:szCs w:val="21"/>
        </w:rPr>
        <w:t xml:space="preserve">    23.2 合同附件与合同正文具有同等的法律效力。</w:t>
      </w:r>
      <w:bookmarkStart w:id="88" w:name="_Toc20313"/>
    </w:p>
    <w:p w14:paraId="3BA7B55F">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7C2B4ADA">
      <w:pPr>
        <w:keepNext/>
        <w:keepLines/>
        <w:adjustRightInd w:val="0"/>
        <w:snapToGrid w:val="0"/>
        <w:spacing w:line="360" w:lineRule="auto"/>
        <w:jc w:val="center"/>
        <w:outlineLvl w:val="1"/>
        <w:rPr>
          <w:rFonts w:hint="eastAsia" w:ascii="黑体" w:hAnsi="华文中宋" w:eastAsia="黑体"/>
          <w:sz w:val="28"/>
          <w:szCs w:val="28"/>
        </w:rPr>
      </w:pPr>
      <w:r>
        <w:rPr>
          <w:rFonts w:hint="eastAsia" w:ascii="黑体" w:hAnsi="华文中宋" w:eastAsia="黑体"/>
          <w:sz w:val="28"/>
          <w:szCs w:val="28"/>
        </w:rPr>
        <w:t>第三节 政府采购合同专用条款</w:t>
      </w:r>
      <w:bookmarkEnd w:id="88"/>
    </w:p>
    <w:tbl>
      <w:tblPr>
        <w:tblStyle w:val="21"/>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66214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6AAB65">
            <w:pPr>
              <w:adjustRightInd w:val="0"/>
              <w:snapToGrid w:val="0"/>
              <w:jc w:val="center"/>
              <w:rPr>
                <w:rFonts w:hint="eastAsia" w:ascii="宋体" w:hAnsi="宋体"/>
                <w:szCs w:val="21"/>
              </w:rPr>
            </w:pPr>
            <w:r>
              <w:rPr>
                <w:rFonts w:hint="eastAsia" w:ascii="宋体" w:hAnsi="宋体"/>
                <w:szCs w:val="21"/>
              </w:rPr>
              <w:t>第二节</w:t>
            </w:r>
          </w:p>
          <w:p w14:paraId="224B3A2F">
            <w:pPr>
              <w:adjustRightInd w:val="0"/>
              <w:snapToGrid w:val="0"/>
              <w:jc w:val="center"/>
              <w:rPr>
                <w:rFonts w:hint="eastAsia" w:ascii="宋体" w:hAnsi="宋体"/>
                <w:szCs w:val="21"/>
              </w:rPr>
            </w:pPr>
            <w:r>
              <w:rPr>
                <w:rFonts w:hint="eastAsia" w:ascii="宋体" w:hAnsi="宋体"/>
                <w:szCs w:val="21"/>
              </w:rPr>
              <w:t>第1.2（6）项</w:t>
            </w:r>
          </w:p>
        </w:tc>
        <w:tc>
          <w:tcPr>
            <w:tcW w:w="1742" w:type="dxa"/>
            <w:vAlign w:val="center"/>
          </w:tcPr>
          <w:p w14:paraId="5E8606BA">
            <w:pPr>
              <w:adjustRightInd w:val="0"/>
              <w:snapToGrid w:val="0"/>
              <w:jc w:val="left"/>
              <w:rPr>
                <w:rFonts w:hint="eastAsia" w:ascii="宋体" w:hAnsi="宋体"/>
                <w:szCs w:val="21"/>
              </w:rPr>
            </w:pPr>
            <w:r>
              <w:rPr>
                <w:rFonts w:hint="eastAsia" w:ascii="宋体" w:hAnsi="宋体"/>
                <w:szCs w:val="21"/>
              </w:rPr>
              <w:t>联合体具体要求</w:t>
            </w:r>
          </w:p>
        </w:tc>
        <w:tc>
          <w:tcPr>
            <w:tcW w:w="5170" w:type="dxa"/>
            <w:vAlign w:val="center"/>
          </w:tcPr>
          <w:p w14:paraId="56B82DC4">
            <w:pPr>
              <w:adjustRightInd w:val="0"/>
              <w:snapToGrid w:val="0"/>
              <w:jc w:val="left"/>
              <w:rPr>
                <w:rFonts w:hint="eastAsia" w:ascii="宋体" w:hAnsi="宋体"/>
                <w:szCs w:val="21"/>
              </w:rPr>
            </w:pPr>
          </w:p>
        </w:tc>
      </w:tr>
      <w:tr w14:paraId="2868B3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225D7F4">
            <w:pPr>
              <w:adjustRightInd w:val="0"/>
              <w:snapToGrid w:val="0"/>
              <w:jc w:val="center"/>
              <w:rPr>
                <w:rFonts w:hint="eastAsia" w:ascii="宋体" w:hAnsi="宋体"/>
                <w:szCs w:val="21"/>
              </w:rPr>
            </w:pPr>
            <w:r>
              <w:rPr>
                <w:rFonts w:hint="eastAsia" w:ascii="宋体" w:hAnsi="宋体"/>
                <w:szCs w:val="21"/>
              </w:rPr>
              <w:t>第二节</w:t>
            </w:r>
          </w:p>
          <w:p w14:paraId="39A9A538">
            <w:pPr>
              <w:adjustRightInd w:val="0"/>
              <w:snapToGrid w:val="0"/>
              <w:jc w:val="center"/>
              <w:rPr>
                <w:rFonts w:hint="eastAsia" w:ascii="宋体" w:hAnsi="宋体"/>
                <w:szCs w:val="21"/>
              </w:rPr>
            </w:pPr>
            <w:r>
              <w:rPr>
                <w:rFonts w:hint="eastAsia" w:ascii="宋体" w:hAnsi="宋体"/>
                <w:szCs w:val="21"/>
              </w:rPr>
              <w:t>第1.2（7）项</w:t>
            </w:r>
          </w:p>
        </w:tc>
        <w:tc>
          <w:tcPr>
            <w:tcW w:w="1742" w:type="dxa"/>
            <w:vAlign w:val="center"/>
          </w:tcPr>
          <w:p w14:paraId="278A32B2">
            <w:pPr>
              <w:adjustRightInd w:val="0"/>
              <w:snapToGrid w:val="0"/>
              <w:jc w:val="left"/>
              <w:rPr>
                <w:rFonts w:hint="eastAsia" w:ascii="宋体" w:hAnsi="宋体"/>
                <w:szCs w:val="21"/>
              </w:rPr>
            </w:pPr>
            <w:r>
              <w:rPr>
                <w:rFonts w:hint="eastAsia" w:ascii="宋体" w:hAnsi="宋体"/>
                <w:szCs w:val="21"/>
              </w:rPr>
              <w:t>其他术语解释</w:t>
            </w:r>
          </w:p>
        </w:tc>
        <w:tc>
          <w:tcPr>
            <w:tcW w:w="5170" w:type="dxa"/>
            <w:vAlign w:val="center"/>
          </w:tcPr>
          <w:p w14:paraId="68EF47C9">
            <w:pPr>
              <w:adjustRightInd w:val="0"/>
              <w:snapToGrid w:val="0"/>
              <w:jc w:val="left"/>
              <w:rPr>
                <w:rFonts w:hint="eastAsia" w:ascii="宋体" w:hAnsi="宋体"/>
                <w:szCs w:val="21"/>
              </w:rPr>
            </w:pPr>
          </w:p>
        </w:tc>
      </w:tr>
      <w:tr w14:paraId="5B4121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B46943">
            <w:pPr>
              <w:adjustRightInd w:val="0"/>
              <w:snapToGrid w:val="0"/>
              <w:jc w:val="center"/>
              <w:rPr>
                <w:rFonts w:hint="eastAsia" w:ascii="宋体" w:hAnsi="宋体"/>
                <w:szCs w:val="21"/>
              </w:rPr>
            </w:pPr>
            <w:r>
              <w:rPr>
                <w:rFonts w:hint="eastAsia" w:ascii="宋体" w:hAnsi="宋体"/>
                <w:szCs w:val="21"/>
              </w:rPr>
              <w:t>第二节</w:t>
            </w:r>
          </w:p>
          <w:p w14:paraId="2A7A8B77">
            <w:pPr>
              <w:adjustRightInd w:val="0"/>
              <w:snapToGrid w:val="0"/>
              <w:jc w:val="center"/>
              <w:rPr>
                <w:rFonts w:hint="eastAsia" w:ascii="宋体" w:hAnsi="宋体"/>
                <w:szCs w:val="21"/>
              </w:rPr>
            </w:pPr>
            <w:r>
              <w:rPr>
                <w:rFonts w:hint="eastAsia" w:ascii="宋体" w:hAnsi="宋体"/>
                <w:szCs w:val="21"/>
              </w:rPr>
              <w:t>第4.4款</w:t>
            </w:r>
          </w:p>
        </w:tc>
        <w:tc>
          <w:tcPr>
            <w:tcW w:w="1742" w:type="dxa"/>
            <w:vAlign w:val="center"/>
          </w:tcPr>
          <w:p w14:paraId="0E5744FE">
            <w:pPr>
              <w:adjustRightInd w:val="0"/>
              <w:snapToGrid w:val="0"/>
              <w:jc w:val="left"/>
              <w:rPr>
                <w:rFonts w:hint="eastAsia" w:ascii="宋体" w:hAnsi="宋体"/>
                <w:szCs w:val="21"/>
              </w:rPr>
            </w:pPr>
            <w:r>
              <w:rPr>
                <w:rFonts w:hint="eastAsia" w:ascii="宋体" w:hAnsi="宋体"/>
                <w:szCs w:val="21"/>
              </w:rPr>
              <w:t>履约验收中甲方提出异议或作出说明的期限</w:t>
            </w:r>
          </w:p>
        </w:tc>
        <w:tc>
          <w:tcPr>
            <w:tcW w:w="5170" w:type="dxa"/>
            <w:vAlign w:val="center"/>
          </w:tcPr>
          <w:p w14:paraId="761C53B6">
            <w:pPr>
              <w:adjustRightInd w:val="0"/>
              <w:snapToGrid w:val="0"/>
              <w:jc w:val="left"/>
              <w:rPr>
                <w:rFonts w:hint="eastAsia" w:ascii="宋体" w:hAnsi="宋体"/>
                <w:szCs w:val="21"/>
              </w:rPr>
            </w:pPr>
          </w:p>
        </w:tc>
      </w:tr>
      <w:tr w14:paraId="466C8C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A74C59">
            <w:pPr>
              <w:adjustRightInd w:val="0"/>
              <w:snapToGrid w:val="0"/>
              <w:jc w:val="center"/>
              <w:rPr>
                <w:rFonts w:hint="eastAsia" w:ascii="宋体" w:hAnsi="宋体"/>
                <w:szCs w:val="21"/>
              </w:rPr>
            </w:pPr>
            <w:r>
              <w:rPr>
                <w:rFonts w:hint="eastAsia" w:ascii="宋体" w:hAnsi="宋体"/>
                <w:szCs w:val="21"/>
              </w:rPr>
              <w:t>第二节</w:t>
            </w:r>
          </w:p>
          <w:p w14:paraId="443A63D2">
            <w:pPr>
              <w:adjustRightInd w:val="0"/>
              <w:snapToGrid w:val="0"/>
              <w:jc w:val="center"/>
              <w:rPr>
                <w:rFonts w:hint="eastAsia" w:ascii="宋体" w:hAnsi="宋体"/>
                <w:szCs w:val="21"/>
              </w:rPr>
            </w:pPr>
            <w:r>
              <w:rPr>
                <w:rFonts w:hint="eastAsia" w:ascii="宋体" w:hAnsi="宋体"/>
                <w:szCs w:val="21"/>
              </w:rPr>
              <w:t>第4.6款</w:t>
            </w:r>
          </w:p>
        </w:tc>
        <w:tc>
          <w:tcPr>
            <w:tcW w:w="1742" w:type="dxa"/>
            <w:vAlign w:val="center"/>
          </w:tcPr>
          <w:p w14:paraId="01507088">
            <w:pPr>
              <w:adjustRightInd w:val="0"/>
              <w:snapToGrid w:val="0"/>
              <w:jc w:val="left"/>
              <w:rPr>
                <w:rFonts w:hint="eastAsia" w:ascii="宋体" w:hAnsi="宋体"/>
                <w:szCs w:val="21"/>
              </w:rPr>
            </w:pPr>
            <w:r>
              <w:rPr>
                <w:rFonts w:hint="eastAsia" w:ascii="宋体" w:hAnsi="宋体"/>
                <w:szCs w:val="21"/>
              </w:rPr>
              <w:t>约定甲方承担的其他义务和责任</w:t>
            </w:r>
          </w:p>
        </w:tc>
        <w:tc>
          <w:tcPr>
            <w:tcW w:w="5170" w:type="dxa"/>
            <w:vAlign w:val="center"/>
          </w:tcPr>
          <w:p w14:paraId="7085FB29">
            <w:pPr>
              <w:adjustRightInd w:val="0"/>
              <w:snapToGrid w:val="0"/>
              <w:jc w:val="left"/>
              <w:rPr>
                <w:rFonts w:hint="eastAsia" w:ascii="宋体" w:hAnsi="宋体"/>
                <w:szCs w:val="21"/>
              </w:rPr>
            </w:pPr>
          </w:p>
        </w:tc>
      </w:tr>
      <w:tr w14:paraId="3E022B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D54B38">
            <w:pPr>
              <w:adjustRightInd w:val="0"/>
              <w:snapToGrid w:val="0"/>
              <w:jc w:val="center"/>
              <w:rPr>
                <w:rFonts w:hint="eastAsia" w:ascii="宋体" w:hAnsi="宋体"/>
                <w:szCs w:val="21"/>
              </w:rPr>
            </w:pPr>
            <w:r>
              <w:rPr>
                <w:rFonts w:hint="eastAsia" w:ascii="宋体" w:hAnsi="宋体"/>
                <w:szCs w:val="21"/>
              </w:rPr>
              <w:t>第二节</w:t>
            </w:r>
          </w:p>
          <w:p w14:paraId="20B307BA">
            <w:pPr>
              <w:snapToGrid w:val="0"/>
              <w:jc w:val="center"/>
            </w:pPr>
            <w:r>
              <w:rPr>
                <w:rFonts w:hint="eastAsia" w:ascii="宋体" w:hAnsi="宋体"/>
                <w:szCs w:val="21"/>
              </w:rPr>
              <w:t>第5.4款</w:t>
            </w:r>
          </w:p>
        </w:tc>
        <w:tc>
          <w:tcPr>
            <w:tcW w:w="1742" w:type="dxa"/>
            <w:vAlign w:val="center"/>
          </w:tcPr>
          <w:p w14:paraId="0C172E87">
            <w:pPr>
              <w:adjustRightInd w:val="0"/>
              <w:snapToGrid w:val="0"/>
              <w:jc w:val="left"/>
              <w:rPr>
                <w:rFonts w:hint="eastAsia" w:ascii="宋体" w:hAnsi="宋体"/>
                <w:szCs w:val="21"/>
              </w:rPr>
            </w:pPr>
            <w:r>
              <w:rPr>
                <w:rFonts w:hint="eastAsia" w:ascii="宋体" w:hAnsi="宋体"/>
                <w:szCs w:val="21"/>
              </w:rPr>
              <w:t>约定乙方承担的其他义务和责任</w:t>
            </w:r>
          </w:p>
        </w:tc>
        <w:tc>
          <w:tcPr>
            <w:tcW w:w="5170" w:type="dxa"/>
            <w:vAlign w:val="center"/>
          </w:tcPr>
          <w:p w14:paraId="6BE39E1E">
            <w:pPr>
              <w:adjustRightInd w:val="0"/>
              <w:snapToGrid w:val="0"/>
              <w:jc w:val="left"/>
              <w:rPr>
                <w:rFonts w:hint="eastAsia" w:ascii="宋体" w:hAnsi="宋体"/>
                <w:szCs w:val="21"/>
              </w:rPr>
            </w:pPr>
          </w:p>
        </w:tc>
      </w:tr>
      <w:tr w14:paraId="0DE771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F6DC9C">
            <w:pPr>
              <w:adjustRightInd w:val="0"/>
              <w:snapToGrid w:val="0"/>
              <w:jc w:val="center"/>
              <w:rPr>
                <w:rFonts w:hint="eastAsia" w:ascii="宋体" w:hAnsi="宋体"/>
                <w:szCs w:val="21"/>
              </w:rPr>
            </w:pPr>
            <w:r>
              <w:rPr>
                <w:rFonts w:hint="eastAsia" w:ascii="宋体" w:hAnsi="宋体"/>
                <w:szCs w:val="21"/>
              </w:rPr>
              <w:t>第二节</w:t>
            </w:r>
          </w:p>
          <w:p w14:paraId="589FAF1A">
            <w:pPr>
              <w:snapToGrid w:val="0"/>
              <w:jc w:val="center"/>
              <w:rPr>
                <w:rFonts w:hint="eastAsia" w:ascii="宋体" w:hAnsi="宋体"/>
                <w:szCs w:val="21"/>
              </w:rPr>
            </w:pPr>
            <w:r>
              <w:rPr>
                <w:rFonts w:hint="eastAsia" w:ascii="宋体" w:hAnsi="宋体"/>
                <w:szCs w:val="21"/>
              </w:rPr>
              <w:t>第6.1款</w:t>
            </w:r>
          </w:p>
        </w:tc>
        <w:tc>
          <w:tcPr>
            <w:tcW w:w="1742" w:type="dxa"/>
            <w:vAlign w:val="center"/>
          </w:tcPr>
          <w:p w14:paraId="5994293E">
            <w:pPr>
              <w:adjustRightInd w:val="0"/>
              <w:snapToGrid w:val="0"/>
              <w:jc w:val="left"/>
              <w:rPr>
                <w:rFonts w:hint="eastAsia" w:ascii="宋体" w:hAnsi="宋体"/>
                <w:szCs w:val="21"/>
              </w:rPr>
            </w:pPr>
            <w:r>
              <w:rPr>
                <w:rFonts w:hint="eastAsia" w:ascii="宋体" w:hAnsi="宋体"/>
                <w:szCs w:val="21"/>
              </w:rPr>
              <w:t>履行合同义务的顺序</w:t>
            </w:r>
          </w:p>
        </w:tc>
        <w:tc>
          <w:tcPr>
            <w:tcW w:w="5170" w:type="dxa"/>
            <w:vAlign w:val="center"/>
          </w:tcPr>
          <w:p w14:paraId="7BB03DA7">
            <w:pPr>
              <w:adjustRightInd w:val="0"/>
              <w:snapToGrid w:val="0"/>
              <w:jc w:val="left"/>
              <w:rPr>
                <w:rFonts w:hint="eastAsia" w:ascii="宋体" w:hAnsi="宋体"/>
                <w:szCs w:val="21"/>
              </w:rPr>
            </w:pPr>
          </w:p>
        </w:tc>
      </w:tr>
      <w:tr w14:paraId="4086CF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E72AA72">
            <w:pPr>
              <w:adjustRightInd w:val="0"/>
              <w:snapToGrid w:val="0"/>
              <w:jc w:val="center"/>
              <w:rPr>
                <w:rFonts w:hint="eastAsia" w:ascii="宋体" w:hAnsi="宋体"/>
                <w:szCs w:val="21"/>
              </w:rPr>
            </w:pPr>
            <w:r>
              <w:rPr>
                <w:rFonts w:hint="eastAsia" w:ascii="宋体" w:hAnsi="宋体"/>
                <w:szCs w:val="21"/>
              </w:rPr>
              <w:t>第二节</w:t>
            </w:r>
          </w:p>
          <w:p w14:paraId="1E9DD086">
            <w:pPr>
              <w:adjustRightInd w:val="0"/>
              <w:snapToGrid w:val="0"/>
              <w:jc w:val="center"/>
              <w:rPr>
                <w:rFonts w:hint="eastAsia" w:ascii="宋体" w:hAnsi="宋体"/>
                <w:szCs w:val="21"/>
              </w:rPr>
            </w:pPr>
            <w:r>
              <w:rPr>
                <w:rFonts w:hint="eastAsia" w:ascii="宋体" w:hAnsi="宋体"/>
                <w:szCs w:val="21"/>
              </w:rPr>
              <w:t>第7.1款</w:t>
            </w:r>
          </w:p>
        </w:tc>
        <w:tc>
          <w:tcPr>
            <w:tcW w:w="1742" w:type="dxa"/>
            <w:vAlign w:val="center"/>
          </w:tcPr>
          <w:p w14:paraId="14C14927">
            <w:pPr>
              <w:adjustRightInd w:val="0"/>
              <w:snapToGrid w:val="0"/>
              <w:jc w:val="left"/>
              <w:rPr>
                <w:rFonts w:hint="eastAsia" w:ascii="宋体" w:hAnsi="宋体"/>
                <w:szCs w:val="21"/>
              </w:rPr>
            </w:pPr>
            <w:r>
              <w:rPr>
                <w:rFonts w:hint="eastAsia" w:ascii="宋体" w:hAnsi="宋体"/>
                <w:szCs w:val="21"/>
              </w:rPr>
              <w:t>包装特殊要求</w:t>
            </w:r>
          </w:p>
        </w:tc>
        <w:tc>
          <w:tcPr>
            <w:tcW w:w="5170" w:type="dxa"/>
            <w:vAlign w:val="center"/>
          </w:tcPr>
          <w:p w14:paraId="04544794"/>
        </w:tc>
      </w:tr>
      <w:tr w14:paraId="5ABA1B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3F5720A">
            <w:pPr>
              <w:adjustRightInd w:val="0"/>
              <w:snapToGrid w:val="0"/>
              <w:jc w:val="center"/>
              <w:rPr>
                <w:rFonts w:hint="eastAsia" w:ascii="宋体" w:hAnsi="宋体"/>
                <w:szCs w:val="21"/>
              </w:rPr>
            </w:pPr>
          </w:p>
        </w:tc>
        <w:tc>
          <w:tcPr>
            <w:tcW w:w="1742" w:type="dxa"/>
            <w:vAlign w:val="center"/>
          </w:tcPr>
          <w:p w14:paraId="30F9B771">
            <w:pPr>
              <w:adjustRightInd w:val="0"/>
              <w:snapToGrid w:val="0"/>
              <w:jc w:val="left"/>
              <w:rPr>
                <w:rFonts w:hint="eastAsia" w:ascii="宋体" w:hAnsi="宋体"/>
                <w:szCs w:val="21"/>
              </w:rPr>
            </w:pPr>
            <w:r>
              <w:rPr>
                <w:rFonts w:hint="eastAsia" w:ascii="宋体" w:hAnsi="宋体"/>
                <w:szCs w:val="21"/>
              </w:rPr>
              <w:t>指定现场</w:t>
            </w:r>
          </w:p>
        </w:tc>
        <w:tc>
          <w:tcPr>
            <w:tcW w:w="5170" w:type="dxa"/>
            <w:vAlign w:val="center"/>
          </w:tcPr>
          <w:p w14:paraId="4BF47885"/>
        </w:tc>
      </w:tr>
      <w:tr w14:paraId="601545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440E7E7">
            <w:pPr>
              <w:adjustRightInd w:val="0"/>
              <w:snapToGrid w:val="0"/>
              <w:jc w:val="center"/>
              <w:rPr>
                <w:rFonts w:hint="eastAsia" w:ascii="宋体" w:hAnsi="宋体"/>
                <w:szCs w:val="21"/>
              </w:rPr>
            </w:pPr>
            <w:r>
              <w:rPr>
                <w:rFonts w:hint="eastAsia" w:ascii="宋体" w:hAnsi="宋体"/>
                <w:szCs w:val="21"/>
              </w:rPr>
              <w:t>第二节</w:t>
            </w:r>
          </w:p>
          <w:p w14:paraId="63FA29AF">
            <w:pPr>
              <w:adjustRightInd w:val="0"/>
              <w:snapToGrid w:val="0"/>
              <w:jc w:val="center"/>
              <w:rPr>
                <w:rFonts w:hint="eastAsia" w:ascii="宋体" w:hAnsi="宋体"/>
                <w:szCs w:val="21"/>
              </w:rPr>
            </w:pPr>
            <w:r>
              <w:rPr>
                <w:rFonts w:hint="eastAsia" w:ascii="宋体" w:hAnsi="宋体"/>
                <w:szCs w:val="21"/>
              </w:rPr>
              <w:t>第7.2款</w:t>
            </w:r>
          </w:p>
        </w:tc>
        <w:tc>
          <w:tcPr>
            <w:tcW w:w="1742" w:type="dxa"/>
            <w:vAlign w:val="center"/>
          </w:tcPr>
          <w:p w14:paraId="1B56983B">
            <w:pPr>
              <w:adjustRightInd w:val="0"/>
              <w:snapToGrid w:val="0"/>
              <w:jc w:val="left"/>
              <w:rPr>
                <w:rFonts w:hint="eastAsia" w:ascii="宋体" w:hAnsi="宋体"/>
                <w:szCs w:val="21"/>
              </w:rPr>
            </w:pPr>
            <w:r>
              <w:rPr>
                <w:rFonts w:hint="eastAsia" w:ascii="宋体" w:hAnsi="宋体"/>
                <w:szCs w:val="21"/>
              </w:rPr>
              <w:t>运输特殊要求</w:t>
            </w:r>
          </w:p>
        </w:tc>
        <w:tc>
          <w:tcPr>
            <w:tcW w:w="5170" w:type="dxa"/>
            <w:vAlign w:val="center"/>
          </w:tcPr>
          <w:p w14:paraId="03B67D71"/>
        </w:tc>
      </w:tr>
      <w:tr w14:paraId="323661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69EB420">
            <w:pPr>
              <w:adjustRightInd w:val="0"/>
              <w:snapToGrid w:val="0"/>
              <w:jc w:val="center"/>
              <w:rPr>
                <w:rFonts w:hint="eastAsia" w:ascii="宋体" w:hAnsi="宋体"/>
                <w:szCs w:val="21"/>
              </w:rPr>
            </w:pPr>
            <w:r>
              <w:rPr>
                <w:rFonts w:hint="eastAsia" w:ascii="宋体" w:hAnsi="宋体"/>
                <w:szCs w:val="21"/>
              </w:rPr>
              <w:t>第二节</w:t>
            </w:r>
          </w:p>
          <w:p w14:paraId="368C44E9">
            <w:pPr>
              <w:adjustRightInd w:val="0"/>
              <w:snapToGrid w:val="0"/>
              <w:jc w:val="center"/>
              <w:rPr>
                <w:rFonts w:hint="eastAsia" w:ascii="宋体" w:hAnsi="宋体"/>
                <w:szCs w:val="21"/>
              </w:rPr>
            </w:pPr>
            <w:r>
              <w:rPr>
                <w:rFonts w:hint="eastAsia" w:ascii="宋体" w:hAnsi="宋体"/>
                <w:szCs w:val="21"/>
              </w:rPr>
              <w:t>第7.3款</w:t>
            </w:r>
          </w:p>
        </w:tc>
        <w:tc>
          <w:tcPr>
            <w:tcW w:w="1742" w:type="dxa"/>
            <w:vAlign w:val="center"/>
          </w:tcPr>
          <w:p w14:paraId="3418F5E4">
            <w:pPr>
              <w:adjustRightInd w:val="0"/>
              <w:snapToGrid w:val="0"/>
              <w:jc w:val="left"/>
              <w:rPr>
                <w:rFonts w:hint="eastAsia" w:ascii="宋体" w:hAnsi="宋体"/>
                <w:szCs w:val="21"/>
              </w:rPr>
            </w:pPr>
            <w:r>
              <w:rPr>
                <w:rFonts w:hint="eastAsia" w:ascii="宋体" w:hAnsi="宋体"/>
                <w:szCs w:val="21"/>
              </w:rPr>
              <w:t>保险要求</w:t>
            </w:r>
          </w:p>
        </w:tc>
        <w:tc>
          <w:tcPr>
            <w:tcW w:w="5170" w:type="dxa"/>
            <w:vAlign w:val="center"/>
          </w:tcPr>
          <w:p w14:paraId="6A4BB466"/>
        </w:tc>
      </w:tr>
      <w:tr w14:paraId="466030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CC8B633">
            <w:pPr>
              <w:adjustRightInd w:val="0"/>
              <w:snapToGrid w:val="0"/>
              <w:jc w:val="center"/>
              <w:rPr>
                <w:rFonts w:hint="eastAsia" w:ascii="宋体" w:hAnsi="宋体"/>
                <w:szCs w:val="21"/>
              </w:rPr>
            </w:pPr>
            <w:r>
              <w:rPr>
                <w:rFonts w:hint="eastAsia" w:ascii="宋体" w:hAnsi="宋体"/>
                <w:szCs w:val="21"/>
              </w:rPr>
              <w:t>第二节</w:t>
            </w:r>
          </w:p>
          <w:p w14:paraId="411D0681">
            <w:pPr>
              <w:adjustRightInd w:val="0"/>
              <w:snapToGrid w:val="0"/>
              <w:jc w:val="center"/>
              <w:rPr>
                <w:rFonts w:hint="eastAsia" w:ascii="宋体" w:hAnsi="宋体"/>
                <w:szCs w:val="21"/>
              </w:rPr>
            </w:pPr>
            <w:r>
              <w:rPr>
                <w:rFonts w:hint="eastAsia" w:ascii="宋体" w:hAnsi="宋体"/>
                <w:szCs w:val="21"/>
              </w:rPr>
              <w:t>第8.2（1）项</w:t>
            </w:r>
          </w:p>
        </w:tc>
        <w:tc>
          <w:tcPr>
            <w:tcW w:w="1742" w:type="dxa"/>
            <w:vAlign w:val="center"/>
          </w:tcPr>
          <w:p w14:paraId="6016B964">
            <w:pPr>
              <w:adjustRightInd w:val="0"/>
              <w:snapToGrid w:val="0"/>
              <w:jc w:val="left"/>
              <w:rPr>
                <w:rFonts w:hint="eastAsia" w:ascii="宋体" w:hAnsi="宋体"/>
                <w:szCs w:val="21"/>
              </w:rPr>
            </w:pPr>
            <w:r>
              <w:rPr>
                <w:rFonts w:hint="eastAsia" w:ascii="宋体" w:hAnsi="宋体"/>
                <w:szCs w:val="21"/>
              </w:rPr>
              <w:t>质量保证期</w:t>
            </w:r>
          </w:p>
        </w:tc>
        <w:tc>
          <w:tcPr>
            <w:tcW w:w="5170" w:type="dxa"/>
            <w:vAlign w:val="center"/>
          </w:tcPr>
          <w:p w14:paraId="3E9AEB69">
            <w:pPr>
              <w:autoSpaceDE w:val="0"/>
              <w:autoSpaceDN w:val="0"/>
              <w:adjustRightInd w:val="0"/>
              <w:snapToGrid w:val="0"/>
              <w:ind w:firstLine="420" w:firstLineChars="200"/>
              <w:jc w:val="left"/>
              <w:rPr>
                <w:rFonts w:hint="eastAsia" w:ascii="宋体" w:hAnsi="宋体"/>
                <w:szCs w:val="21"/>
              </w:rPr>
            </w:pPr>
          </w:p>
        </w:tc>
      </w:tr>
      <w:tr w14:paraId="2A9CFD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335D1D">
            <w:pPr>
              <w:adjustRightInd w:val="0"/>
              <w:snapToGrid w:val="0"/>
              <w:jc w:val="center"/>
              <w:rPr>
                <w:rFonts w:hint="eastAsia" w:ascii="宋体" w:hAnsi="宋体"/>
                <w:szCs w:val="21"/>
              </w:rPr>
            </w:pPr>
            <w:r>
              <w:rPr>
                <w:rFonts w:hint="eastAsia" w:ascii="宋体" w:hAnsi="宋体"/>
                <w:szCs w:val="21"/>
              </w:rPr>
              <w:t>第二节</w:t>
            </w:r>
          </w:p>
          <w:p w14:paraId="0798CE27">
            <w:pPr>
              <w:adjustRightInd w:val="0"/>
              <w:snapToGrid w:val="0"/>
              <w:jc w:val="center"/>
              <w:rPr>
                <w:rFonts w:hint="eastAsia" w:ascii="宋体" w:hAnsi="宋体"/>
                <w:szCs w:val="21"/>
              </w:rPr>
            </w:pPr>
            <w:r>
              <w:rPr>
                <w:rFonts w:hint="eastAsia" w:ascii="宋体" w:hAnsi="宋体"/>
                <w:szCs w:val="21"/>
              </w:rPr>
              <w:t>第8.2（3）项</w:t>
            </w:r>
          </w:p>
        </w:tc>
        <w:tc>
          <w:tcPr>
            <w:tcW w:w="1742" w:type="dxa"/>
            <w:vAlign w:val="center"/>
          </w:tcPr>
          <w:p w14:paraId="13917F36">
            <w:pPr>
              <w:adjustRightInd w:val="0"/>
              <w:snapToGrid w:val="0"/>
              <w:jc w:val="left"/>
              <w:rPr>
                <w:rFonts w:hint="eastAsia" w:ascii="宋体" w:hAnsi="宋体"/>
                <w:szCs w:val="21"/>
              </w:rPr>
            </w:pPr>
            <w:r>
              <w:rPr>
                <w:rFonts w:hint="eastAsia" w:ascii="宋体" w:hAnsi="宋体"/>
                <w:szCs w:val="21"/>
              </w:rPr>
              <w:t>货物质量缺陷</w:t>
            </w:r>
          </w:p>
          <w:p w14:paraId="61349954">
            <w:pPr>
              <w:adjustRightInd w:val="0"/>
              <w:snapToGrid w:val="0"/>
              <w:jc w:val="left"/>
              <w:rPr>
                <w:rFonts w:hint="eastAsia" w:ascii="宋体" w:hAnsi="宋体"/>
                <w:szCs w:val="21"/>
              </w:rPr>
            </w:pPr>
            <w:r>
              <w:rPr>
                <w:rFonts w:hint="eastAsia" w:ascii="宋体" w:hAnsi="宋体"/>
                <w:szCs w:val="21"/>
              </w:rPr>
              <w:t>响应时间</w:t>
            </w:r>
          </w:p>
        </w:tc>
        <w:tc>
          <w:tcPr>
            <w:tcW w:w="5170" w:type="dxa"/>
            <w:vAlign w:val="center"/>
          </w:tcPr>
          <w:p w14:paraId="1E61C483">
            <w:pPr>
              <w:adjustRightInd w:val="0"/>
              <w:snapToGrid w:val="0"/>
              <w:jc w:val="left"/>
              <w:rPr>
                <w:rFonts w:hint="eastAsia" w:ascii="宋体" w:hAnsi="宋体"/>
                <w:szCs w:val="21"/>
              </w:rPr>
            </w:pPr>
          </w:p>
        </w:tc>
      </w:tr>
      <w:tr w14:paraId="0B2D3F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46ACC2">
            <w:pPr>
              <w:snapToGrid w:val="0"/>
              <w:jc w:val="center"/>
              <w:rPr>
                <w:rFonts w:hint="eastAsia" w:ascii="宋体" w:hAnsi="宋体" w:cs="宋体"/>
                <w:szCs w:val="21"/>
              </w:rPr>
            </w:pPr>
            <w:r>
              <w:rPr>
                <w:rFonts w:hint="eastAsia" w:ascii="宋体" w:hAnsi="宋体" w:cs="宋体"/>
                <w:szCs w:val="21"/>
              </w:rPr>
              <w:t>第二节</w:t>
            </w:r>
          </w:p>
          <w:p w14:paraId="669BDA42">
            <w:pPr>
              <w:autoSpaceDE w:val="0"/>
              <w:autoSpaceDN w:val="0"/>
              <w:adjustRightInd w:val="0"/>
              <w:spacing w:line="400" w:lineRule="exact"/>
              <w:jc w:val="center"/>
              <w:rPr>
                <w:rFonts w:hint="eastAsia" w:ascii="华文楷体" w:hAnsi="华文楷体" w:eastAsia="华文楷体" w:cs="华文楷体"/>
                <w:sz w:val="22"/>
                <w:szCs w:val="21"/>
              </w:rPr>
            </w:pPr>
            <w:r>
              <w:rPr>
                <w:rFonts w:hint="eastAsia" w:ascii="宋体" w:hAnsi="宋体" w:cs="宋体"/>
                <w:sz w:val="22"/>
                <w:szCs w:val="21"/>
              </w:rPr>
              <w:t>第11.1款</w:t>
            </w:r>
          </w:p>
        </w:tc>
        <w:tc>
          <w:tcPr>
            <w:tcW w:w="1742" w:type="dxa"/>
            <w:vAlign w:val="center"/>
          </w:tcPr>
          <w:p w14:paraId="1BD5C4BA">
            <w:pPr>
              <w:adjustRightInd w:val="0"/>
              <w:snapToGrid w:val="0"/>
              <w:rPr>
                <w:rFonts w:hint="eastAsia" w:ascii="宋体" w:hAnsi="宋体"/>
                <w:szCs w:val="21"/>
              </w:rPr>
            </w:pPr>
            <w:r>
              <w:rPr>
                <w:rFonts w:hint="eastAsia" w:ascii="宋体" w:hAnsi="宋体"/>
                <w:szCs w:val="21"/>
              </w:rPr>
              <w:t>其他应当保密的信息</w:t>
            </w:r>
          </w:p>
        </w:tc>
        <w:tc>
          <w:tcPr>
            <w:tcW w:w="5170" w:type="dxa"/>
            <w:vAlign w:val="center"/>
          </w:tcPr>
          <w:p w14:paraId="3D29A30A">
            <w:pPr>
              <w:adjustRightInd w:val="0"/>
              <w:snapToGrid w:val="0"/>
              <w:jc w:val="left"/>
              <w:rPr>
                <w:rFonts w:hint="eastAsia" w:ascii="宋体" w:hAnsi="宋体"/>
                <w:szCs w:val="21"/>
              </w:rPr>
            </w:pPr>
          </w:p>
        </w:tc>
      </w:tr>
      <w:tr w14:paraId="2CC11A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721947C">
            <w:pPr>
              <w:adjustRightInd w:val="0"/>
              <w:snapToGrid w:val="0"/>
              <w:jc w:val="center"/>
              <w:rPr>
                <w:rFonts w:hint="eastAsia" w:ascii="宋体" w:hAnsi="宋体"/>
                <w:szCs w:val="21"/>
              </w:rPr>
            </w:pPr>
            <w:r>
              <w:rPr>
                <w:rFonts w:hint="eastAsia" w:ascii="宋体" w:hAnsi="宋体"/>
                <w:szCs w:val="21"/>
              </w:rPr>
              <w:t>第二节</w:t>
            </w:r>
          </w:p>
          <w:p w14:paraId="1A47142E">
            <w:pPr>
              <w:adjustRightInd w:val="0"/>
              <w:snapToGrid w:val="0"/>
              <w:jc w:val="center"/>
              <w:rPr>
                <w:rFonts w:hint="eastAsia" w:ascii="宋体" w:hAnsi="宋体"/>
                <w:szCs w:val="21"/>
              </w:rPr>
            </w:pPr>
            <w:r>
              <w:rPr>
                <w:rFonts w:hint="eastAsia" w:ascii="宋体" w:hAnsi="宋体"/>
                <w:szCs w:val="21"/>
              </w:rPr>
              <w:t>第12.2款</w:t>
            </w:r>
          </w:p>
        </w:tc>
        <w:tc>
          <w:tcPr>
            <w:tcW w:w="1742" w:type="dxa"/>
            <w:vAlign w:val="center"/>
          </w:tcPr>
          <w:p w14:paraId="40E1B98A">
            <w:pPr>
              <w:adjustRightInd w:val="0"/>
              <w:snapToGrid w:val="0"/>
              <w:jc w:val="left"/>
              <w:rPr>
                <w:rFonts w:hint="eastAsia" w:ascii="宋体" w:hAnsi="宋体"/>
                <w:szCs w:val="21"/>
              </w:rPr>
            </w:pPr>
            <w:r>
              <w:rPr>
                <w:rFonts w:hint="eastAsia" w:ascii="宋体" w:hAnsi="宋体"/>
                <w:szCs w:val="21"/>
              </w:rPr>
              <w:t>合同价款支付时间</w:t>
            </w:r>
          </w:p>
        </w:tc>
        <w:tc>
          <w:tcPr>
            <w:tcW w:w="5170" w:type="dxa"/>
            <w:vAlign w:val="center"/>
          </w:tcPr>
          <w:p w14:paraId="0BAEB81B">
            <w:pPr>
              <w:adjustRightInd w:val="0"/>
              <w:snapToGrid w:val="0"/>
              <w:jc w:val="left"/>
              <w:rPr>
                <w:rFonts w:hint="eastAsia" w:ascii="宋体" w:hAnsi="宋体"/>
                <w:szCs w:val="21"/>
              </w:rPr>
            </w:pPr>
          </w:p>
        </w:tc>
      </w:tr>
      <w:tr w14:paraId="0C8D6A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31B020A">
            <w:pPr>
              <w:adjustRightInd w:val="0"/>
              <w:snapToGrid w:val="0"/>
              <w:jc w:val="center"/>
              <w:rPr>
                <w:rFonts w:hint="eastAsia" w:ascii="宋体" w:hAnsi="宋体"/>
                <w:szCs w:val="21"/>
              </w:rPr>
            </w:pPr>
            <w:r>
              <w:rPr>
                <w:rFonts w:hint="eastAsia" w:ascii="宋体" w:hAnsi="宋体"/>
                <w:szCs w:val="21"/>
              </w:rPr>
              <w:t>第二节</w:t>
            </w:r>
          </w:p>
          <w:p w14:paraId="7B7B723F">
            <w:pPr>
              <w:adjustRightInd w:val="0"/>
              <w:snapToGrid w:val="0"/>
              <w:jc w:val="center"/>
              <w:rPr>
                <w:rFonts w:hint="eastAsia" w:ascii="宋体" w:hAnsi="宋体"/>
                <w:szCs w:val="21"/>
              </w:rPr>
            </w:pPr>
            <w:r>
              <w:rPr>
                <w:rFonts w:hint="eastAsia" w:ascii="宋体" w:hAnsi="宋体"/>
                <w:szCs w:val="21"/>
              </w:rPr>
              <w:t>第13.2款</w:t>
            </w:r>
          </w:p>
        </w:tc>
        <w:tc>
          <w:tcPr>
            <w:tcW w:w="1742" w:type="dxa"/>
            <w:vAlign w:val="center"/>
          </w:tcPr>
          <w:p w14:paraId="5B24D9F2">
            <w:pPr>
              <w:adjustRightInd w:val="0"/>
              <w:snapToGrid w:val="0"/>
              <w:jc w:val="left"/>
              <w:rPr>
                <w:rFonts w:hint="eastAsia" w:ascii="宋体" w:hAnsi="宋体"/>
                <w:szCs w:val="21"/>
              </w:rPr>
            </w:pPr>
            <w:r>
              <w:rPr>
                <w:rFonts w:hint="eastAsia" w:ascii="宋体" w:hAnsi="宋体"/>
                <w:szCs w:val="21"/>
              </w:rPr>
              <w:t>履约保证金不予退还的情形</w:t>
            </w:r>
          </w:p>
        </w:tc>
        <w:tc>
          <w:tcPr>
            <w:tcW w:w="5170" w:type="dxa"/>
            <w:vAlign w:val="center"/>
          </w:tcPr>
          <w:p w14:paraId="0D559D37">
            <w:pPr>
              <w:adjustRightInd w:val="0"/>
              <w:snapToGrid w:val="0"/>
              <w:jc w:val="left"/>
              <w:rPr>
                <w:rFonts w:hint="eastAsia" w:ascii="宋体" w:hAnsi="宋体"/>
                <w:szCs w:val="21"/>
              </w:rPr>
            </w:pPr>
          </w:p>
        </w:tc>
      </w:tr>
      <w:tr w14:paraId="1E7B6A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153C70D">
            <w:pPr>
              <w:adjustRightInd w:val="0"/>
              <w:snapToGrid w:val="0"/>
              <w:jc w:val="center"/>
              <w:rPr>
                <w:rFonts w:hint="eastAsia" w:ascii="宋体" w:hAnsi="宋体"/>
                <w:szCs w:val="21"/>
              </w:rPr>
            </w:pPr>
            <w:r>
              <w:rPr>
                <w:rFonts w:hint="eastAsia" w:ascii="宋体" w:hAnsi="宋体"/>
                <w:szCs w:val="21"/>
              </w:rPr>
              <w:t>第二节</w:t>
            </w:r>
          </w:p>
          <w:p w14:paraId="5C26C26F">
            <w:pPr>
              <w:adjustRightInd w:val="0"/>
              <w:snapToGrid w:val="0"/>
              <w:jc w:val="center"/>
              <w:rPr>
                <w:rFonts w:hint="eastAsia" w:ascii="宋体" w:hAnsi="宋体"/>
                <w:szCs w:val="21"/>
              </w:rPr>
            </w:pPr>
            <w:r>
              <w:rPr>
                <w:rFonts w:hint="eastAsia" w:ascii="宋体" w:hAnsi="宋体"/>
                <w:szCs w:val="21"/>
              </w:rPr>
              <w:t>第13.3款</w:t>
            </w:r>
          </w:p>
        </w:tc>
        <w:tc>
          <w:tcPr>
            <w:tcW w:w="1742" w:type="dxa"/>
            <w:vAlign w:val="center"/>
          </w:tcPr>
          <w:p w14:paraId="13245152">
            <w:pPr>
              <w:adjustRightInd w:val="0"/>
              <w:snapToGrid w:val="0"/>
              <w:jc w:val="left"/>
              <w:rPr>
                <w:rFonts w:hint="eastAsia" w:ascii="宋体" w:hAnsi="宋体"/>
                <w:szCs w:val="21"/>
              </w:rPr>
            </w:pPr>
            <w:r>
              <w:rPr>
                <w:rFonts w:hint="eastAsia" w:ascii="宋体" w:hAnsi="宋体"/>
                <w:szCs w:val="21"/>
              </w:rPr>
              <w:t>履约保证金退还时间及逾期退还的违约金</w:t>
            </w:r>
          </w:p>
        </w:tc>
        <w:tc>
          <w:tcPr>
            <w:tcW w:w="5170" w:type="dxa"/>
            <w:vAlign w:val="center"/>
          </w:tcPr>
          <w:p w14:paraId="1ABB933F">
            <w:pPr>
              <w:adjustRightInd w:val="0"/>
              <w:snapToGrid w:val="0"/>
              <w:jc w:val="left"/>
              <w:rPr>
                <w:rFonts w:hint="eastAsia" w:ascii="宋体" w:hAnsi="宋体"/>
                <w:szCs w:val="21"/>
              </w:rPr>
            </w:pPr>
          </w:p>
        </w:tc>
      </w:tr>
      <w:tr w14:paraId="1301D0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84343E7">
            <w:pPr>
              <w:adjustRightInd w:val="0"/>
              <w:snapToGrid w:val="0"/>
              <w:jc w:val="center"/>
              <w:rPr>
                <w:rFonts w:hint="eastAsia" w:ascii="宋体" w:hAnsi="宋体"/>
                <w:szCs w:val="21"/>
              </w:rPr>
            </w:pPr>
            <w:r>
              <w:rPr>
                <w:rFonts w:hint="eastAsia" w:ascii="宋体" w:hAnsi="宋体"/>
                <w:szCs w:val="21"/>
              </w:rPr>
              <w:t>第二节</w:t>
            </w:r>
          </w:p>
          <w:p w14:paraId="37D7372F">
            <w:pPr>
              <w:adjustRightInd w:val="0"/>
              <w:snapToGrid w:val="0"/>
              <w:jc w:val="center"/>
              <w:rPr>
                <w:rFonts w:hint="eastAsia" w:ascii="宋体" w:hAnsi="宋体"/>
                <w:szCs w:val="21"/>
              </w:rPr>
            </w:pPr>
            <w:r>
              <w:rPr>
                <w:rFonts w:hint="eastAsia" w:ascii="宋体" w:hAnsi="宋体"/>
                <w:szCs w:val="21"/>
              </w:rPr>
              <w:t>第14.1（3）项</w:t>
            </w:r>
          </w:p>
        </w:tc>
        <w:tc>
          <w:tcPr>
            <w:tcW w:w="1742" w:type="dxa"/>
            <w:vAlign w:val="center"/>
          </w:tcPr>
          <w:p w14:paraId="3214EC9C">
            <w:pPr>
              <w:adjustRightInd w:val="0"/>
              <w:snapToGrid w:val="0"/>
              <w:jc w:val="left"/>
              <w:rPr>
                <w:rFonts w:hint="eastAsia" w:ascii="宋体" w:hAnsi="宋体"/>
                <w:szCs w:val="21"/>
              </w:rPr>
            </w:pPr>
            <w:r>
              <w:rPr>
                <w:rFonts w:hint="eastAsia" w:ascii="宋体" w:hAnsi="宋体"/>
                <w:szCs w:val="21"/>
              </w:rPr>
              <w:t>运行监督、维修期限</w:t>
            </w:r>
          </w:p>
        </w:tc>
        <w:tc>
          <w:tcPr>
            <w:tcW w:w="5170" w:type="dxa"/>
            <w:vAlign w:val="center"/>
          </w:tcPr>
          <w:p w14:paraId="35193EBD">
            <w:pPr>
              <w:adjustRightInd w:val="0"/>
              <w:snapToGrid w:val="0"/>
              <w:jc w:val="left"/>
              <w:rPr>
                <w:rFonts w:hint="eastAsia" w:ascii="宋体" w:hAnsi="宋体"/>
                <w:szCs w:val="21"/>
              </w:rPr>
            </w:pPr>
          </w:p>
        </w:tc>
      </w:tr>
      <w:tr w14:paraId="5ECE4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CB16777">
            <w:pPr>
              <w:adjustRightInd w:val="0"/>
              <w:snapToGrid w:val="0"/>
              <w:jc w:val="center"/>
              <w:rPr>
                <w:rFonts w:hint="eastAsia" w:ascii="宋体" w:hAnsi="宋体"/>
                <w:szCs w:val="21"/>
              </w:rPr>
            </w:pPr>
            <w:r>
              <w:rPr>
                <w:rFonts w:hint="eastAsia" w:ascii="宋体" w:hAnsi="宋体"/>
                <w:szCs w:val="21"/>
              </w:rPr>
              <w:t>第二节</w:t>
            </w:r>
          </w:p>
          <w:p w14:paraId="1AB764F2">
            <w:pPr>
              <w:adjustRightInd w:val="0"/>
              <w:snapToGrid w:val="0"/>
              <w:jc w:val="center"/>
              <w:rPr>
                <w:rFonts w:hint="eastAsia" w:ascii="宋体" w:hAnsi="宋体"/>
                <w:szCs w:val="21"/>
              </w:rPr>
            </w:pPr>
            <w:r>
              <w:rPr>
                <w:rFonts w:hint="eastAsia" w:ascii="宋体" w:hAnsi="宋体"/>
                <w:szCs w:val="21"/>
              </w:rPr>
              <w:t>第14.1（5）项</w:t>
            </w:r>
          </w:p>
        </w:tc>
        <w:tc>
          <w:tcPr>
            <w:tcW w:w="1742" w:type="dxa"/>
            <w:vAlign w:val="center"/>
          </w:tcPr>
          <w:p w14:paraId="1E5C9C0D">
            <w:pPr>
              <w:adjustRightInd w:val="0"/>
              <w:snapToGrid w:val="0"/>
              <w:jc w:val="left"/>
              <w:rPr>
                <w:rFonts w:hint="eastAsia" w:ascii="宋体" w:hAnsi="宋体"/>
                <w:szCs w:val="21"/>
              </w:rPr>
            </w:pPr>
            <w:r>
              <w:rPr>
                <w:rFonts w:hint="eastAsia" w:ascii="宋体" w:hAnsi="宋体"/>
                <w:szCs w:val="21"/>
              </w:rPr>
              <w:t>货物回收的约定</w:t>
            </w:r>
          </w:p>
        </w:tc>
        <w:tc>
          <w:tcPr>
            <w:tcW w:w="5170" w:type="dxa"/>
            <w:vAlign w:val="center"/>
          </w:tcPr>
          <w:p w14:paraId="4850D4A5">
            <w:pPr>
              <w:adjustRightInd w:val="0"/>
              <w:snapToGrid w:val="0"/>
              <w:jc w:val="left"/>
              <w:rPr>
                <w:rFonts w:hint="eastAsia" w:ascii="宋体" w:hAnsi="宋体"/>
                <w:szCs w:val="21"/>
              </w:rPr>
            </w:pPr>
          </w:p>
        </w:tc>
      </w:tr>
      <w:tr w14:paraId="66574D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CB877B">
            <w:pPr>
              <w:adjustRightInd w:val="0"/>
              <w:snapToGrid w:val="0"/>
              <w:jc w:val="center"/>
              <w:rPr>
                <w:rFonts w:hint="eastAsia" w:ascii="宋体" w:hAnsi="宋体"/>
                <w:szCs w:val="21"/>
              </w:rPr>
            </w:pPr>
            <w:r>
              <w:rPr>
                <w:rFonts w:hint="eastAsia" w:ascii="宋体" w:hAnsi="宋体"/>
                <w:szCs w:val="21"/>
              </w:rPr>
              <w:t>第二节</w:t>
            </w:r>
          </w:p>
          <w:p w14:paraId="3DF85DD8">
            <w:pPr>
              <w:adjustRightInd w:val="0"/>
              <w:snapToGrid w:val="0"/>
              <w:jc w:val="center"/>
              <w:rPr>
                <w:rFonts w:hint="eastAsia" w:ascii="宋体" w:hAnsi="宋体"/>
                <w:szCs w:val="21"/>
              </w:rPr>
            </w:pPr>
            <w:r>
              <w:rPr>
                <w:rFonts w:hint="eastAsia" w:ascii="宋体" w:hAnsi="宋体"/>
                <w:szCs w:val="21"/>
              </w:rPr>
              <w:t>第14.1（6）项</w:t>
            </w:r>
          </w:p>
        </w:tc>
        <w:tc>
          <w:tcPr>
            <w:tcW w:w="1742" w:type="dxa"/>
            <w:vAlign w:val="center"/>
          </w:tcPr>
          <w:p w14:paraId="445546BE">
            <w:pPr>
              <w:adjustRightInd w:val="0"/>
              <w:snapToGrid w:val="0"/>
              <w:jc w:val="left"/>
              <w:rPr>
                <w:rFonts w:hint="eastAsia" w:ascii="宋体" w:hAnsi="宋体"/>
                <w:szCs w:val="21"/>
              </w:rPr>
            </w:pPr>
            <w:r>
              <w:rPr>
                <w:rFonts w:hint="eastAsia" w:ascii="宋体" w:hAnsi="宋体"/>
                <w:szCs w:val="21"/>
              </w:rPr>
              <w:t>乙方提供的其他服务</w:t>
            </w:r>
          </w:p>
        </w:tc>
        <w:tc>
          <w:tcPr>
            <w:tcW w:w="5170" w:type="dxa"/>
            <w:vAlign w:val="center"/>
          </w:tcPr>
          <w:p w14:paraId="10A2B3DC">
            <w:pPr>
              <w:adjustRightInd w:val="0"/>
              <w:snapToGrid w:val="0"/>
              <w:jc w:val="left"/>
              <w:rPr>
                <w:rFonts w:hint="eastAsia" w:ascii="宋体" w:hAnsi="宋体"/>
                <w:szCs w:val="21"/>
              </w:rPr>
            </w:pPr>
          </w:p>
        </w:tc>
      </w:tr>
      <w:tr w14:paraId="4432BA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00F9B8">
            <w:pPr>
              <w:adjustRightInd w:val="0"/>
              <w:snapToGrid w:val="0"/>
              <w:jc w:val="center"/>
              <w:rPr>
                <w:rFonts w:hint="eastAsia" w:ascii="宋体" w:hAnsi="宋体"/>
                <w:szCs w:val="21"/>
              </w:rPr>
            </w:pPr>
            <w:r>
              <w:rPr>
                <w:rFonts w:hint="eastAsia" w:ascii="宋体" w:hAnsi="宋体"/>
                <w:szCs w:val="21"/>
              </w:rPr>
              <w:t>第二节</w:t>
            </w:r>
          </w:p>
          <w:p w14:paraId="7E432598">
            <w:pPr>
              <w:adjustRightInd w:val="0"/>
              <w:snapToGrid w:val="0"/>
              <w:jc w:val="center"/>
              <w:rPr>
                <w:rFonts w:hint="eastAsia" w:ascii="宋体" w:hAnsi="宋体"/>
                <w:szCs w:val="21"/>
              </w:rPr>
            </w:pPr>
            <w:r>
              <w:rPr>
                <w:rFonts w:hint="eastAsia" w:ascii="宋体" w:hAnsi="宋体"/>
                <w:szCs w:val="21"/>
              </w:rPr>
              <w:t>第15.1款</w:t>
            </w:r>
          </w:p>
        </w:tc>
        <w:tc>
          <w:tcPr>
            <w:tcW w:w="1742" w:type="dxa"/>
            <w:vAlign w:val="center"/>
          </w:tcPr>
          <w:p w14:paraId="17B38AAB">
            <w:pPr>
              <w:adjustRightInd w:val="0"/>
              <w:snapToGrid w:val="0"/>
              <w:jc w:val="left"/>
              <w:rPr>
                <w:rFonts w:hint="eastAsia" w:ascii="宋体" w:hAnsi="宋体"/>
                <w:szCs w:val="21"/>
              </w:rPr>
            </w:pPr>
            <w:r>
              <w:rPr>
                <w:rFonts w:hint="eastAsia" w:ascii="宋体" w:hAnsi="宋体"/>
                <w:szCs w:val="21"/>
              </w:rPr>
              <w:t>修理、重作、更换相关具体规定</w:t>
            </w:r>
          </w:p>
        </w:tc>
        <w:tc>
          <w:tcPr>
            <w:tcW w:w="5170" w:type="dxa"/>
            <w:vAlign w:val="center"/>
          </w:tcPr>
          <w:p w14:paraId="5B02D3BB">
            <w:pPr>
              <w:adjustRightInd w:val="0"/>
              <w:snapToGrid w:val="0"/>
              <w:jc w:val="left"/>
              <w:rPr>
                <w:rFonts w:hint="eastAsia" w:ascii="宋体" w:hAnsi="宋体"/>
                <w:szCs w:val="21"/>
              </w:rPr>
            </w:pPr>
          </w:p>
        </w:tc>
      </w:tr>
      <w:tr w14:paraId="6EC463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90BA57">
            <w:pPr>
              <w:adjustRightInd w:val="0"/>
              <w:snapToGrid w:val="0"/>
              <w:jc w:val="center"/>
              <w:rPr>
                <w:rFonts w:hint="eastAsia" w:ascii="宋体" w:hAnsi="宋体"/>
                <w:szCs w:val="21"/>
              </w:rPr>
            </w:pPr>
            <w:r>
              <w:rPr>
                <w:rFonts w:hint="eastAsia" w:ascii="宋体" w:hAnsi="宋体"/>
                <w:szCs w:val="21"/>
              </w:rPr>
              <w:t>第二节</w:t>
            </w:r>
          </w:p>
          <w:p w14:paraId="45F00AF1">
            <w:pPr>
              <w:adjustRightInd w:val="0"/>
              <w:snapToGrid w:val="0"/>
              <w:jc w:val="center"/>
              <w:rPr>
                <w:rFonts w:hint="eastAsia" w:ascii="宋体" w:hAnsi="宋体"/>
                <w:szCs w:val="21"/>
              </w:rPr>
            </w:pPr>
            <w:r>
              <w:rPr>
                <w:rFonts w:hint="eastAsia" w:ascii="宋体" w:hAnsi="宋体"/>
                <w:szCs w:val="21"/>
              </w:rPr>
              <w:t>第15.2（2）项</w:t>
            </w:r>
          </w:p>
        </w:tc>
        <w:tc>
          <w:tcPr>
            <w:tcW w:w="1742" w:type="dxa"/>
            <w:vAlign w:val="center"/>
          </w:tcPr>
          <w:p w14:paraId="7A985E80">
            <w:pPr>
              <w:adjustRightInd w:val="0"/>
              <w:snapToGrid w:val="0"/>
              <w:jc w:val="left"/>
              <w:rPr>
                <w:rFonts w:hint="eastAsia" w:ascii="宋体" w:hAnsi="宋体"/>
                <w:szCs w:val="21"/>
              </w:rPr>
            </w:pPr>
            <w:r>
              <w:rPr>
                <w:rFonts w:hint="eastAsia" w:ascii="宋体" w:hAnsi="宋体"/>
                <w:szCs w:val="21"/>
              </w:rPr>
              <w:t>迟延交货赔偿费</w:t>
            </w:r>
          </w:p>
        </w:tc>
        <w:tc>
          <w:tcPr>
            <w:tcW w:w="5170" w:type="dxa"/>
            <w:vAlign w:val="center"/>
          </w:tcPr>
          <w:p w14:paraId="4A691504">
            <w:pPr>
              <w:adjustRightInd w:val="0"/>
              <w:snapToGrid w:val="0"/>
              <w:jc w:val="left"/>
              <w:rPr>
                <w:rFonts w:hint="eastAsia" w:ascii="宋体" w:hAnsi="宋体"/>
                <w:szCs w:val="21"/>
                <w:u w:val="single"/>
              </w:rPr>
            </w:pPr>
          </w:p>
        </w:tc>
      </w:tr>
      <w:tr w14:paraId="745F6C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E7489E">
            <w:pPr>
              <w:adjustRightInd w:val="0"/>
              <w:snapToGrid w:val="0"/>
              <w:jc w:val="center"/>
              <w:rPr>
                <w:rFonts w:hint="eastAsia" w:ascii="宋体" w:hAnsi="宋体"/>
                <w:szCs w:val="21"/>
              </w:rPr>
            </w:pPr>
            <w:r>
              <w:rPr>
                <w:rFonts w:hint="eastAsia" w:ascii="宋体" w:hAnsi="宋体"/>
                <w:szCs w:val="21"/>
              </w:rPr>
              <w:t>第二节</w:t>
            </w:r>
          </w:p>
          <w:p w14:paraId="1F7548C0">
            <w:pPr>
              <w:adjustRightInd w:val="0"/>
              <w:snapToGrid w:val="0"/>
              <w:jc w:val="center"/>
              <w:rPr>
                <w:rFonts w:hint="eastAsia" w:ascii="宋体" w:hAnsi="宋体"/>
                <w:szCs w:val="21"/>
              </w:rPr>
            </w:pPr>
            <w:r>
              <w:rPr>
                <w:rFonts w:hint="eastAsia" w:ascii="宋体" w:hAnsi="宋体"/>
                <w:szCs w:val="21"/>
              </w:rPr>
              <w:t>第15.3款</w:t>
            </w:r>
          </w:p>
        </w:tc>
        <w:tc>
          <w:tcPr>
            <w:tcW w:w="1742" w:type="dxa"/>
            <w:vAlign w:val="center"/>
          </w:tcPr>
          <w:p w14:paraId="6E16B5AC">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53EF4D5A">
            <w:pPr>
              <w:adjustRightInd w:val="0"/>
              <w:snapToGrid w:val="0"/>
              <w:jc w:val="left"/>
              <w:rPr>
                <w:rFonts w:hint="eastAsia" w:ascii="宋体" w:hAnsi="宋体"/>
                <w:szCs w:val="21"/>
                <w:u w:val="single"/>
              </w:rPr>
            </w:pPr>
          </w:p>
        </w:tc>
      </w:tr>
      <w:tr w14:paraId="350BCB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2FFD4A9">
            <w:pPr>
              <w:adjustRightInd w:val="0"/>
              <w:snapToGrid w:val="0"/>
              <w:jc w:val="center"/>
              <w:rPr>
                <w:rFonts w:hint="eastAsia" w:ascii="宋体" w:hAnsi="宋体"/>
                <w:szCs w:val="21"/>
              </w:rPr>
            </w:pPr>
            <w:r>
              <w:rPr>
                <w:rFonts w:hint="eastAsia" w:ascii="宋体" w:hAnsi="宋体"/>
                <w:szCs w:val="21"/>
              </w:rPr>
              <w:t>第二节</w:t>
            </w:r>
          </w:p>
          <w:p w14:paraId="7961BCFB">
            <w:pPr>
              <w:adjustRightInd w:val="0"/>
              <w:snapToGrid w:val="0"/>
              <w:jc w:val="center"/>
              <w:rPr>
                <w:rFonts w:hint="eastAsia" w:ascii="宋体" w:hAnsi="宋体"/>
                <w:szCs w:val="21"/>
              </w:rPr>
            </w:pPr>
            <w:r>
              <w:rPr>
                <w:rFonts w:hint="eastAsia" w:ascii="宋体" w:hAnsi="宋体"/>
                <w:szCs w:val="21"/>
              </w:rPr>
              <w:t>第15.4款</w:t>
            </w:r>
          </w:p>
        </w:tc>
        <w:tc>
          <w:tcPr>
            <w:tcW w:w="1742" w:type="dxa"/>
            <w:tcBorders>
              <w:left w:val="single" w:color="auto" w:sz="2" w:space="0"/>
              <w:bottom w:val="single" w:color="auto" w:sz="2" w:space="0"/>
              <w:right w:val="single" w:color="auto" w:sz="2" w:space="0"/>
            </w:tcBorders>
            <w:vAlign w:val="center"/>
          </w:tcPr>
          <w:p w14:paraId="44558F8C">
            <w:pPr>
              <w:adjustRightInd w:val="0"/>
              <w:snapToGrid w:val="0"/>
              <w:jc w:val="left"/>
              <w:rPr>
                <w:rFonts w:hint="eastAsia"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0991A50E">
            <w:pPr>
              <w:adjustRightInd w:val="0"/>
              <w:snapToGrid w:val="0"/>
              <w:jc w:val="left"/>
              <w:rPr>
                <w:rFonts w:hint="eastAsia" w:ascii="宋体" w:hAnsi="宋体"/>
                <w:szCs w:val="21"/>
                <w:u w:val="single"/>
              </w:rPr>
            </w:pPr>
          </w:p>
        </w:tc>
      </w:tr>
      <w:tr w14:paraId="713705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1E24CAB">
            <w:pPr>
              <w:adjustRightInd w:val="0"/>
              <w:snapToGrid w:val="0"/>
              <w:jc w:val="center"/>
              <w:rPr>
                <w:rFonts w:hint="eastAsia" w:ascii="宋体" w:hAnsi="宋体"/>
                <w:szCs w:val="21"/>
              </w:rPr>
            </w:pPr>
            <w:r>
              <w:rPr>
                <w:rFonts w:hint="eastAsia" w:ascii="宋体" w:hAnsi="宋体"/>
                <w:szCs w:val="21"/>
              </w:rPr>
              <w:t>第二节</w:t>
            </w:r>
          </w:p>
          <w:p w14:paraId="21139ABE">
            <w:pPr>
              <w:adjustRightInd w:val="0"/>
              <w:snapToGrid w:val="0"/>
              <w:jc w:val="center"/>
              <w:rPr>
                <w:rFonts w:hint="eastAsia" w:ascii="宋体" w:hAnsi="宋体"/>
                <w:szCs w:val="21"/>
              </w:rPr>
            </w:pPr>
            <w:r>
              <w:rPr>
                <w:rFonts w:hint="eastAsia" w:ascii="宋体" w:hAnsi="宋体"/>
                <w:szCs w:val="21"/>
              </w:rPr>
              <w:t>第19.2款</w:t>
            </w:r>
          </w:p>
        </w:tc>
        <w:tc>
          <w:tcPr>
            <w:tcW w:w="1742" w:type="dxa"/>
            <w:tcBorders>
              <w:top w:val="single" w:color="auto" w:sz="2" w:space="0"/>
              <w:left w:val="single" w:color="auto" w:sz="2" w:space="0"/>
              <w:right w:val="single" w:color="auto" w:sz="2" w:space="0"/>
            </w:tcBorders>
            <w:vAlign w:val="center"/>
          </w:tcPr>
          <w:p w14:paraId="726A556F">
            <w:pPr>
              <w:adjustRightInd w:val="0"/>
              <w:snapToGrid w:val="0"/>
              <w:jc w:val="left"/>
              <w:rPr>
                <w:rFonts w:hint="eastAsia" w:ascii="宋体" w:hAnsi="宋体"/>
                <w:szCs w:val="21"/>
              </w:rPr>
            </w:pPr>
            <w:r>
              <w:rPr>
                <w:rFonts w:hint="eastAsia" w:ascii="宋体" w:hAnsi="宋体"/>
                <w:szCs w:val="21"/>
              </w:rPr>
              <w:t>解决争议的方法</w:t>
            </w:r>
          </w:p>
        </w:tc>
        <w:tc>
          <w:tcPr>
            <w:tcW w:w="5170" w:type="dxa"/>
            <w:tcBorders>
              <w:top w:val="single" w:color="auto" w:sz="2" w:space="0"/>
              <w:left w:val="single" w:color="auto" w:sz="2" w:space="0"/>
            </w:tcBorders>
            <w:vAlign w:val="center"/>
          </w:tcPr>
          <w:p w14:paraId="73ADA77D">
            <w:pPr>
              <w:autoSpaceDE w:val="0"/>
              <w:autoSpaceDN w:val="0"/>
              <w:adjustRightInd w:val="0"/>
              <w:snapToGrid w:val="0"/>
              <w:spacing w:line="400" w:lineRule="exact"/>
              <w:jc w:val="left"/>
              <w:rPr>
                <w:rFonts w:hint="eastAsia"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 xml:space="preserve">   </w:t>
            </w:r>
            <w:r>
              <w:rPr>
                <w:rFonts w:hint="eastAsia" w:ascii="宋体" w:hAnsi="宋体" w:cs="宋体"/>
                <w:iCs/>
                <w:szCs w:val="21"/>
              </w:rPr>
              <w:t>种方式解决：</w:t>
            </w:r>
          </w:p>
          <w:p w14:paraId="7CB0FD88">
            <w:pPr>
              <w:autoSpaceDE w:val="0"/>
              <w:autoSpaceDN w:val="0"/>
              <w:adjustRightInd w:val="0"/>
              <w:snapToGrid w:val="0"/>
              <w:spacing w:line="400" w:lineRule="exact"/>
              <w:jc w:val="left"/>
              <w:rPr>
                <w:rFonts w:hint="eastAsia"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14:paraId="371D91FC">
            <w:pPr>
              <w:adjustRightInd w:val="0"/>
              <w:snapToGrid w:val="0"/>
              <w:jc w:val="left"/>
              <w:rPr>
                <w:rFonts w:hint="eastAsia" w:ascii="宋体" w:hAnsi="宋体"/>
                <w:szCs w:val="21"/>
                <w:u w:val="single"/>
              </w:rPr>
            </w:pPr>
            <w:r>
              <w:rPr>
                <w:rFonts w:hint="eastAsia" w:ascii="宋体" w:hAnsi="宋体" w:cs="宋体"/>
                <w:iCs/>
                <w:szCs w:val="21"/>
              </w:rPr>
              <w:t>（2）向</w:t>
            </w:r>
            <w:r>
              <w:rPr>
                <w:rFonts w:hint="eastAsia" w:ascii="宋体" w:hAnsi="宋体" w:cs="宋体"/>
                <w:iCs/>
                <w:szCs w:val="21"/>
                <w:u w:val="single"/>
              </w:rPr>
              <w:t xml:space="preserve">                    </w:t>
            </w:r>
            <w:r>
              <w:rPr>
                <w:rFonts w:hint="eastAsia" w:ascii="宋体" w:hAnsi="宋体" w:cs="宋体"/>
                <w:iCs/>
                <w:szCs w:val="21"/>
              </w:rPr>
              <w:t>人民法院起诉。</w:t>
            </w:r>
          </w:p>
        </w:tc>
      </w:tr>
      <w:tr w14:paraId="4D380D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293EB83">
            <w:pPr>
              <w:adjustRightInd w:val="0"/>
              <w:snapToGrid w:val="0"/>
              <w:jc w:val="center"/>
              <w:rPr>
                <w:rFonts w:hint="eastAsia" w:ascii="宋体" w:hAnsi="宋体"/>
                <w:szCs w:val="21"/>
              </w:rPr>
            </w:pPr>
            <w:r>
              <w:rPr>
                <w:rFonts w:hint="eastAsia" w:ascii="宋体" w:hAnsi="宋体"/>
                <w:szCs w:val="21"/>
              </w:rPr>
              <w:t>第二节</w:t>
            </w:r>
          </w:p>
          <w:p w14:paraId="1EBA9C06">
            <w:pPr>
              <w:adjustRightInd w:val="0"/>
              <w:snapToGrid w:val="0"/>
              <w:jc w:val="center"/>
              <w:rPr>
                <w:rFonts w:hint="eastAsia" w:ascii="宋体" w:hAnsi="宋体"/>
                <w:szCs w:val="21"/>
              </w:rPr>
            </w:pPr>
            <w:r>
              <w:rPr>
                <w:rFonts w:hint="eastAsia" w:ascii="宋体" w:hAnsi="宋体"/>
                <w:szCs w:val="21"/>
              </w:rPr>
              <w:t>第23.1款</w:t>
            </w:r>
          </w:p>
        </w:tc>
        <w:tc>
          <w:tcPr>
            <w:tcW w:w="1742" w:type="dxa"/>
            <w:vAlign w:val="center"/>
          </w:tcPr>
          <w:p w14:paraId="3EA211F3">
            <w:pPr>
              <w:adjustRightInd w:val="0"/>
              <w:snapToGrid w:val="0"/>
              <w:jc w:val="left"/>
              <w:rPr>
                <w:rFonts w:hint="eastAsia" w:ascii="宋体" w:hAnsi="宋体"/>
                <w:szCs w:val="21"/>
              </w:rPr>
            </w:pPr>
            <w:r>
              <w:rPr>
                <w:rFonts w:hint="eastAsia" w:ascii="宋体" w:hAnsi="宋体"/>
                <w:bCs/>
                <w:szCs w:val="21"/>
              </w:rPr>
              <w:t>其他专用条款</w:t>
            </w:r>
          </w:p>
        </w:tc>
        <w:tc>
          <w:tcPr>
            <w:tcW w:w="5170" w:type="dxa"/>
            <w:vAlign w:val="center"/>
          </w:tcPr>
          <w:p w14:paraId="43F592C8">
            <w:pPr>
              <w:adjustRightInd w:val="0"/>
              <w:snapToGrid w:val="0"/>
              <w:jc w:val="left"/>
              <w:rPr>
                <w:rFonts w:hint="eastAsia" w:ascii="宋体" w:hAnsi="宋体"/>
                <w:szCs w:val="21"/>
              </w:rPr>
            </w:pPr>
          </w:p>
        </w:tc>
      </w:tr>
    </w:tbl>
    <w:p w14:paraId="1CCDAF99"/>
    <w:p w14:paraId="3EFA4E92"/>
    <w:p w14:paraId="6518D09C">
      <w:pPr>
        <w:widowControl/>
        <w:jc w:val="left"/>
        <w:rPr>
          <w:rFonts w:hint="eastAsia" w:ascii="宋体" w:hAnsi="宋体"/>
          <w:szCs w:val="21"/>
        </w:rPr>
      </w:pPr>
      <w:r>
        <w:rPr>
          <w:rFonts w:ascii="宋体" w:hAnsi="宋体"/>
          <w:szCs w:val="21"/>
        </w:rPr>
        <w:br w:type="page"/>
      </w:r>
    </w:p>
    <w:p w14:paraId="31AFD30C">
      <w:pPr>
        <w:pStyle w:val="8"/>
        <w:spacing w:before="120" w:beforeLines="50" w:after="120" w:afterLines="50"/>
        <w:ind w:left="562"/>
        <w:rPr>
          <w:rFonts w:hint="eastAsia"/>
          <w:sz w:val="28"/>
          <w:szCs w:val="28"/>
        </w:rPr>
      </w:pPr>
      <w:r>
        <w:rPr>
          <w:rFonts w:hint="eastAsia"/>
          <w:sz w:val="28"/>
          <w:szCs w:val="28"/>
        </w:rPr>
        <w:t>第二册  通用条款（公开招标）</w:t>
      </w:r>
    </w:p>
    <w:p w14:paraId="6066997F">
      <w:pPr>
        <w:pStyle w:val="8"/>
        <w:numPr>
          <w:ilvl w:val="0"/>
          <w:numId w:val="10"/>
        </w:numPr>
        <w:spacing w:before="120" w:beforeLines="50" w:after="120" w:afterLines="50"/>
        <w:ind w:left="562" w:hanging="562"/>
        <w:rPr>
          <w:rFonts w:hint="eastAsia"/>
          <w:sz w:val="28"/>
          <w:szCs w:val="28"/>
        </w:rPr>
      </w:pPr>
      <w:bookmarkStart w:id="89" w:name="_Hlk72399513"/>
      <w:r>
        <w:rPr>
          <w:rFonts w:hint="eastAsia"/>
          <w:sz w:val="28"/>
          <w:szCs w:val="28"/>
        </w:rPr>
        <w:t>总则</w:t>
      </w:r>
    </w:p>
    <w:bookmarkEnd w:id="89"/>
    <w:p w14:paraId="42A2F2AA">
      <w:pPr>
        <w:rPr>
          <w:rFonts w:hint="eastAsia" w:ascii="黑体" w:hAnsi="宋体" w:eastAsia="黑体"/>
          <w:sz w:val="24"/>
        </w:rPr>
      </w:pPr>
      <w:r>
        <w:rPr>
          <w:rFonts w:hint="eastAsia" w:ascii="黑体" w:hAnsi="宋体" w:eastAsia="黑体"/>
          <w:sz w:val="24"/>
        </w:rPr>
        <w:t>1. 通用条款说明</w:t>
      </w:r>
    </w:p>
    <w:p w14:paraId="749DE0BF">
      <w:pPr>
        <w:ind w:firstLine="411" w:firstLineChars="196"/>
        <w:rPr>
          <w:rFonts w:hint="eastAsia"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90" w:name="_Hlk72399729"/>
      <w:r>
        <w:rPr>
          <w:rFonts w:hint="eastAsia" w:ascii="宋体" w:hAnsi="宋体"/>
          <w:szCs w:val="21"/>
        </w:rPr>
        <w:t>如有需要，政府集中采购机构可以对通用条款的内容进行补充。</w:t>
      </w:r>
      <w:bookmarkEnd w:id="90"/>
    </w:p>
    <w:p w14:paraId="6202D174">
      <w:pPr>
        <w:ind w:firstLine="411" w:firstLineChars="196"/>
        <w:rPr>
          <w:rFonts w:hint="eastAsia" w:ascii="宋体" w:hAnsi="宋体"/>
          <w:szCs w:val="21"/>
        </w:rPr>
      </w:pPr>
      <w:r>
        <w:rPr>
          <w:rFonts w:hint="eastAsia" w:ascii="宋体" w:hAnsi="宋体"/>
          <w:szCs w:val="21"/>
        </w:rPr>
        <w:t>1.2招标文件分为第一册“专用条款”和第二册“通用条款”。</w:t>
      </w:r>
    </w:p>
    <w:p w14:paraId="1384B3CD">
      <w:pPr>
        <w:ind w:firstLine="411" w:firstLineChars="196"/>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1.3“专用条款”是对本次采购项目的具体要求，包含招标公告、对通用条款的补充内容及其他关键信息、用户需求书、投标文件组成要求及格式、合同条款及格式等内容。</w:t>
      </w:r>
    </w:p>
    <w:p w14:paraId="07746D02">
      <w:pPr>
        <w:ind w:firstLine="411" w:firstLineChars="196"/>
        <w:rPr>
          <w:rFonts w:hint="eastAsia" w:ascii="宋体" w:hAnsi="宋体"/>
          <w:szCs w:val="21"/>
        </w:rPr>
      </w:pPr>
      <w:r>
        <w:rPr>
          <w:rFonts w:hint="eastAsia" w:ascii="宋体" w:hAnsi="宋体"/>
          <w:szCs w:val="21"/>
        </w:rPr>
        <w:t>1.4“通用条款”是适用于政府采购公开招标项目的基础性条款，具有普遍性和通用性。</w:t>
      </w:r>
    </w:p>
    <w:p w14:paraId="5CB4BCAE">
      <w:pPr>
        <w:ind w:firstLine="411" w:firstLineChars="196"/>
        <w:rPr>
          <w:rFonts w:hint="eastAsia" w:ascii="宋体" w:hAnsi="宋体"/>
          <w:szCs w:val="21"/>
        </w:rPr>
      </w:pPr>
      <w:r>
        <w:rPr>
          <w:rFonts w:hint="eastAsia" w:ascii="宋体" w:hAnsi="宋体"/>
          <w:szCs w:val="21"/>
        </w:rPr>
        <w:t>1.5 “专用条款”和“通用条款”表述不一致或有冲突时，以“专用条款”为准。</w:t>
      </w:r>
    </w:p>
    <w:p w14:paraId="52F39465">
      <w:pPr>
        <w:rPr>
          <w:rFonts w:hint="eastAsia"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14:paraId="737B4EEF">
      <w:pPr>
        <w:ind w:firstLine="411" w:firstLineChars="196"/>
        <w:rPr>
          <w:rFonts w:hint="eastAsia" w:ascii="宋体" w:hAnsi="宋体"/>
          <w:szCs w:val="21"/>
        </w:rPr>
      </w:pPr>
      <w:r>
        <w:rPr>
          <w:rFonts w:hint="eastAsia" w:ascii="宋体" w:hAnsi="宋体"/>
          <w:szCs w:val="21"/>
        </w:rPr>
        <w:t>本项目按照《深圳经济特区政府采购条例》、《深圳经济特区政府采购条例实施细则》及政府采购其他法律法规，通过公开招标方式确定中标供应商。</w:t>
      </w:r>
    </w:p>
    <w:p w14:paraId="7E23336A">
      <w:pPr>
        <w:rPr>
          <w:rFonts w:hint="eastAsia" w:ascii="黑体" w:hAnsi="宋体" w:eastAsia="黑体"/>
          <w:sz w:val="24"/>
        </w:rPr>
      </w:pPr>
      <w:r>
        <w:rPr>
          <w:rFonts w:hint="eastAsia" w:ascii="黑体" w:hAnsi="宋体" w:eastAsia="黑体"/>
          <w:sz w:val="24"/>
        </w:rPr>
        <w:t>3．定义</w:t>
      </w:r>
    </w:p>
    <w:p w14:paraId="516D9934">
      <w:pPr>
        <w:ind w:firstLine="420" w:firstLineChars="200"/>
        <w:rPr>
          <w:rFonts w:hint="eastAsia" w:ascii="宋体" w:hAnsi="宋体"/>
          <w:szCs w:val="21"/>
        </w:rPr>
      </w:pPr>
      <w:r>
        <w:rPr>
          <w:rFonts w:ascii="宋体" w:hAnsi="宋体"/>
          <w:szCs w:val="21"/>
        </w:rPr>
        <w:t>招标文件中下列术语应解释为：</w:t>
      </w:r>
    </w:p>
    <w:p w14:paraId="31144234">
      <w:pPr>
        <w:ind w:firstLine="411" w:firstLineChars="196"/>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r>
        <w:rPr>
          <w:rFonts w:ascii="宋体" w:hAnsi="宋体"/>
          <w:szCs w:val="21"/>
        </w:rPr>
        <w:t xml:space="preserve"> </w:t>
      </w:r>
    </w:p>
    <w:p w14:paraId="7C545F53">
      <w:pPr>
        <w:ind w:firstLine="411" w:firstLineChars="196"/>
        <w:rPr>
          <w:rFonts w:hint="eastAsia"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810D7DA">
      <w:pPr>
        <w:ind w:firstLine="411" w:firstLineChars="196"/>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75217337">
      <w:pPr>
        <w:ind w:firstLine="411" w:firstLineChars="196"/>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5B08DDA9">
      <w:pPr>
        <w:ind w:firstLine="411" w:firstLineChars="196"/>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23868299">
      <w:pPr>
        <w:ind w:firstLine="411" w:firstLineChars="196"/>
        <w:rPr>
          <w:rFonts w:hint="eastAsia" w:ascii="宋体" w:hAnsi="宋体"/>
          <w:szCs w:val="21"/>
        </w:rPr>
      </w:pPr>
      <w:r>
        <w:rPr>
          <w:rFonts w:hint="eastAsia" w:ascii="宋体" w:hAnsi="宋体"/>
          <w:szCs w:val="21"/>
        </w:rPr>
        <w:t>3.6“合同”指由本次招标所产生的合同或合约文件；</w:t>
      </w:r>
    </w:p>
    <w:p w14:paraId="7C7F4653">
      <w:pPr>
        <w:ind w:firstLine="411" w:firstLineChars="196"/>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t>
      </w:r>
    </w:p>
    <w:p w14:paraId="576320B5">
      <w:pPr>
        <w:ind w:firstLine="411" w:firstLineChars="196"/>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网站上传电子投标文件；</w:t>
      </w:r>
    </w:p>
    <w:p w14:paraId="36A9FF63">
      <w:pPr>
        <w:ind w:firstLine="411" w:firstLineChars="196"/>
        <w:rPr>
          <w:rFonts w:hint="eastAsia" w:ascii="宋体" w:hAnsi="宋体"/>
          <w:szCs w:val="21"/>
        </w:rPr>
      </w:pPr>
      <w:r>
        <w:rPr>
          <w:rFonts w:hint="eastAsia" w:ascii="宋体" w:hAnsi="宋体"/>
          <w:szCs w:val="21"/>
        </w:rPr>
        <w:t>3.9招标文件中的标题或题名仅起引导作用，而不应视为对招标文件内容的理解和解释。</w:t>
      </w:r>
    </w:p>
    <w:p w14:paraId="1895D325">
      <w:pPr>
        <w:rPr>
          <w:rFonts w:hint="eastAsia" w:ascii="黑体" w:hAnsi="宋体" w:eastAsia="黑体"/>
          <w:sz w:val="24"/>
        </w:rPr>
      </w:pPr>
      <w:r>
        <w:rPr>
          <w:rFonts w:hint="eastAsia" w:ascii="黑体" w:hAnsi="宋体" w:eastAsia="黑体"/>
          <w:sz w:val="24"/>
        </w:rPr>
        <w:t xml:space="preserve">4. </w:t>
      </w:r>
      <w:bookmarkStart w:id="91" w:name="_Hlk72398643"/>
      <w:r>
        <w:rPr>
          <w:rFonts w:hint="eastAsia" w:ascii="黑体" w:hAnsi="宋体" w:eastAsia="黑体"/>
          <w:sz w:val="24"/>
        </w:rPr>
        <w:t>政府采购供应商责任</w:t>
      </w:r>
    </w:p>
    <w:p w14:paraId="5D72CA7B">
      <w:pPr>
        <w:ind w:firstLine="411" w:firstLineChars="196"/>
        <w:rPr>
          <w:rFonts w:hint="eastAsia" w:ascii="宋体" w:hAnsi="宋体"/>
          <w:szCs w:val="21"/>
        </w:rPr>
      </w:pPr>
      <w:r>
        <w:rPr>
          <w:rFonts w:hint="eastAsia" w:ascii="宋体" w:hAnsi="宋体"/>
          <w:szCs w:val="21"/>
        </w:rPr>
        <w:t>4.1欢迎诚信、有实力和有社会责任心的供应商参与政府采购事业。</w:t>
      </w:r>
    </w:p>
    <w:p w14:paraId="0A3F3548">
      <w:pPr>
        <w:ind w:firstLine="411" w:firstLineChars="196"/>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56B9295B">
      <w:pPr>
        <w:rPr>
          <w:rFonts w:hint="eastAsia" w:ascii="黑体" w:hAnsi="宋体" w:eastAsia="黑体"/>
          <w:sz w:val="24"/>
        </w:rPr>
      </w:pPr>
      <w:r>
        <w:rPr>
          <w:rFonts w:hint="eastAsia" w:ascii="黑体" w:hAnsi="宋体" w:eastAsia="黑体"/>
          <w:sz w:val="24"/>
        </w:rPr>
        <w:t>5．投标人参加政府采购的条件</w:t>
      </w:r>
    </w:p>
    <w:p w14:paraId="780AB730">
      <w:pPr>
        <w:ind w:firstLine="411" w:firstLineChars="196"/>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进行注册并办理电子密钥。《供应商注册及信息变更指引》详见www.szggzy.com网站“交易服务指南-政府采购”。</w:t>
      </w:r>
    </w:p>
    <w:p w14:paraId="792953F2">
      <w:pPr>
        <w:ind w:firstLine="411" w:firstLineChars="196"/>
        <w:rPr>
          <w:rFonts w:hint="eastAsia" w:ascii="宋体" w:hAnsi="宋体"/>
          <w:szCs w:val="21"/>
        </w:rPr>
      </w:pPr>
      <w:r>
        <w:rPr>
          <w:rFonts w:hint="eastAsia" w:ascii="宋体" w:hAnsi="宋体"/>
          <w:szCs w:val="21"/>
        </w:rPr>
        <w:t>5.2投标人资格要求</w:t>
      </w:r>
    </w:p>
    <w:p w14:paraId="33CA994A">
      <w:pPr>
        <w:ind w:firstLine="411" w:firstLineChars="196"/>
        <w:rPr>
          <w:rFonts w:hint="eastAsia" w:ascii="宋体" w:hAnsi="宋体"/>
          <w:szCs w:val="21"/>
        </w:rPr>
      </w:pPr>
      <w:r>
        <w:rPr>
          <w:rFonts w:hint="eastAsia" w:ascii="宋体" w:hAnsi="宋体"/>
          <w:szCs w:val="21"/>
        </w:rPr>
        <w:t>参加本项目的投标人应具备的资格条件详见本项目招标公告中“投标人资格要求”（即申请人的资格要求）的内容。</w:t>
      </w:r>
    </w:p>
    <w:p w14:paraId="0BD797D0">
      <w:pPr>
        <w:ind w:firstLine="411" w:firstLineChars="196"/>
        <w:rPr>
          <w:rFonts w:hint="eastAsia" w:ascii="宋体" w:hAnsi="宋体"/>
          <w:szCs w:val="21"/>
        </w:rPr>
      </w:pPr>
      <w:r>
        <w:rPr>
          <w:rFonts w:hint="eastAsia" w:ascii="宋体" w:hAnsi="宋体"/>
          <w:szCs w:val="21"/>
        </w:rPr>
        <w:t>5.3联合体投标</w:t>
      </w:r>
    </w:p>
    <w:p w14:paraId="100CC061">
      <w:pPr>
        <w:ind w:firstLine="411" w:firstLineChars="196"/>
        <w:rPr>
          <w:rFonts w:hint="eastAsia" w:ascii="宋体" w:hAnsi="宋体"/>
          <w:szCs w:val="21"/>
        </w:rPr>
      </w:pPr>
      <w:r>
        <w:rPr>
          <w:rFonts w:hint="eastAsia" w:ascii="宋体" w:hAnsi="宋体"/>
          <w:szCs w:val="21"/>
        </w:rPr>
        <w:t>5.3.1　以下有关联合体投标的条款仅适用于允许投标人组成联合体投标的项目。</w:t>
      </w:r>
    </w:p>
    <w:p w14:paraId="3BC73143">
      <w:pPr>
        <w:ind w:firstLine="411" w:firstLineChars="196"/>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544CBCD3">
      <w:pPr>
        <w:ind w:firstLine="411" w:firstLineChars="196"/>
        <w:rPr>
          <w:rFonts w:hint="eastAsia" w:ascii="宋体" w:hAnsi="宋体"/>
        </w:rPr>
      </w:pPr>
      <w:r>
        <w:rPr>
          <w:rFonts w:hint="eastAsia" w:ascii="宋体" w:hAnsi="宋体"/>
        </w:rPr>
        <w:t>（1）投标联合体各方参加政府采购活动应当具备下列条件：</w:t>
      </w:r>
      <w:r>
        <w:rPr>
          <w:rFonts w:ascii="宋体" w:hAnsi="宋体"/>
        </w:rPr>
        <w:t xml:space="preserve"> </w:t>
      </w:r>
    </w:p>
    <w:p w14:paraId="2ABB4DD7">
      <w:pPr>
        <w:ind w:left="420" w:leftChars="200" w:firstLine="411" w:firstLineChars="196"/>
        <w:rPr>
          <w:rFonts w:hint="eastAsia" w:ascii="宋体" w:hAnsi="宋体"/>
        </w:rPr>
      </w:pPr>
      <w:r>
        <w:rPr>
          <w:rFonts w:hint="eastAsia" w:ascii="宋体" w:hAnsi="宋体"/>
        </w:rPr>
        <w:t>1、具有独立承担民事责任的能力；</w:t>
      </w:r>
      <w:r>
        <w:rPr>
          <w:rFonts w:ascii="宋体" w:hAnsi="宋体"/>
        </w:rPr>
        <w:t xml:space="preserve"> </w:t>
      </w:r>
    </w:p>
    <w:p w14:paraId="578E9EB3">
      <w:pPr>
        <w:ind w:left="420" w:firstLine="411" w:firstLineChars="196"/>
        <w:rPr>
          <w:rFonts w:hint="eastAsia" w:ascii="宋体" w:hAnsi="宋体"/>
        </w:rPr>
      </w:pPr>
      <w:r>
        <w:rPr>
          <w:rFonts w:hint="eastAsia" w:ascii="宋体" w:hAnsi="宋体"/>
        </w:rPr>
        <w:t>2、有良好的商业信誉和健全的财务会计制度；</w:t>
      </w:r>
      <w:r>
        <w:rPr>
          <w:rFonts w:ascii="宋体" w:hAnsi="宋体"/>
        </w:rPr>
        <w:t xml:space="preserve"> </w:t>
      </w:r>
    </w:p>
    <w:p w14:paraId="38DB7046">
      <w:pPr>
        <w:ind w:left="420" w:leftChars="200" w:firstLine="411" w:firstLineChars="196"/>
        <w:rPr>
          <w:rFonts w:hint="eastAsia" w:ascii="宋体" w:hAnsi="宋体"/>
        </w:rPr>
      </w:pPr>
      <w:r>
        <w:rPr>
          <w:rFonts w:hint="eastAsia" w:ascii="宋体" w:hAnsi="宋体"/>
        </w:rPr>
        <w:t>3、具有履行合同所必需的设备和专业技术能力；</w:t>
      </w:r>
      <w:r>
        <w:rPr>
          <w:rFonts w:ascii="宋体" w:hAnsi="宋体"/>
        </w:rPr>
        <w:t xml:space="preserve"> </w:t>
      </w:r>
    </w:p>
    <w:p w14:paraId="7F20E7C5">
      <w:pPr>
        <w:ind w:left="420" w:leftChars="200" w:firstLine="411" w:firstLineChars="196"/>
        <w:rPr>
          <w:rFonts w:hint="eastAsia" w:ascii="宋体" w:hAnsi="宋体"/>
        </w:rPr>
      </w:pPr>
      <w:r>
        <w:rPr>
          <w:rFonts w:hint="eastAsia" w:ascii="宋体" w:hAnsi="宋体"/>
        </w:rPr>
        <w:t>4、有依法缴纳税收和社会保障资金的良好记录；</w:t>
      </w:r>
      <w:r>
        <w:rPr>
          <w:rFonts w:ascii="宋体" w:hAnsi="宋体"/>
        </w:rPr>
        <w:t xml:space="preserve"> </w:t>
      </w:r>
    </w:p>
    <w:p w14:paraId="09EF19E0">
      <w:pPr>
        <w:ind w:left="420" w:leftChars="200" w:firstLine="411" w:firstLineChars="196"/>
        <w:rPr>
          <w:rFonts w:hint="eastAsia" w:ascii="宋体" w:hAnsi="宋体"/>
        </w:rPr>
      </w:pPr>
      <w:r>
        <w:rPr>
          <w:rFonts w:hint="eastAsia" w:ascii="宋体" w:hAnsi="宋体"/>
        </w:rPr>
        <w:t>5、参加政府采购活动前三年内，在经营活动中没有重大违法记录；</w:t>
      </w:r>
      <w:r>
        <w:rPr>
          <w:rFonts w:ascii="宋体" w:hAnsi="宋体"/>
        </w:rPr>
        <w:t xml:space="preserve"> </w:t>
      </w:r>
    </w:p>
    <w:p w14:paraId="3C362BD1">
      <w:pPr>
        <w:ind w:left="420" w:leftChars="200" w:firstLine="411" w:firstLineChars="196"/>
        <w:rPr>
          <w:rFonts w:hint="eastAsia" w:ascii="宋体" w:hAnsi="宋体"/>
        </w:rPr>
      </w:pPr>
      <w:r>
        <w:rPr>
          <w:rFonts w:hint="eastAsia" w:ascii="宋体" w:hAnsi="宋体"/>
        </w:rPr>
        <w:t>6、法律、行政法规规定的其他条件。</w:t>
      </w:r>
      <w:r>
        <w:rPr>
          <w:rFonts w:ascii="宋体" w:hAnsi="宋体"/>
        </w:rPr>
        <w:t xml:space="preserve"> </w:t>
      </w:r>
    </w:p>
    <w:p w14:paraId="775BAB66">
      <w:pPr>
        <w:ind w:firstLine="411" w:firstLineChars="196"/>
        <w:rPr>
          <w:rFonts w:hint="eastAsia" w:ascii="宋体" w:hAnsi="宋体"/>
        </w:rPr>
      </w:pPr>
      <w:r>
        <w:rPr>
          <w:rFonts w:hint="eastAsia" w:ascii="宋体" w:hAnsi="宋体"/>
        </w:rPr>
        <w:t>（2）在投标截止前，投标联合体各方均应注册成政府集中采购机构供应商；</w:t>
      </w:r>
    </w:p>
    <w:p w14:paraId="7942CC53">
      <w:pPr>
        <w:ind w:firstLine="411" w:firstLineChars="196"/>
        <w:rPr>
          <w:rFonts w:hint="eastAsia" w:ascii="宋体" w:hAnsi="宋体"/>
        </w:rPr>
      </w:pPr>
      <w:r>
        <w:rPr>
          <w:rFonts w:hint="eastAsia" w:ascii="宋体" w:hAnsi="宋体"/>
        </w:rPr>
        <w:t>（3）联合体中有同类资质的供应商按照联合体分工承担相同工作的，应当按照资质等级较低的供应商确定资质等级；</w:t>
      </w:r>
    </w:p>
    <w:p w14:paraId="248342DB">
      <w:pPr>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14:paraId="3616E25A">
      <w:pPr>
        <w:ind w:firstLine="411" w:firstLineChars="196"/>
        <w:rPr>
          <w:rFonts w:hint="eastAsia" w:ascii="宋体" w:hAnsi="宋体"/>
        </w:rPr>
      </w:pPr>
      <w:r>
        <w:rPr>
          <w:rFonts w:hint="eastAsia" w:ascii="宋体" w:hAnsi="宋体"/>
        </w:rPr>
        <w:t>（5）投标人的投标文件及中标后签署的合同协议对联合体各方均具法律约束力；</w:t>
      </w:r>
    </w:p>
    <w:p w14:paraId="43AF7260">
      <w:pPr>
        <w:ind w:firstLine="411" w:firstLineChars="196"/>
        <w:rPr>
          <w:rFonts w:hint="eastAsia" w:ascii="宋体" w:hAnsi="宋体"/>
        </w:rPr>
      </w:pPr>
      <w:r>
        <w:rPr>
          <w:rFonts w:hint="eastAsia" w:ascii="宋体" w:hAnsi="宋体"/>
        </w:rPr>
        <w:t>（6）联合体各方应当签订联合体投标协议，明确约定各方拟承担的工作和责任，并将该协议随投标文件一并递交给政府集中采购机构；</w:t>
      </w:r>
    </w:p>
    <w:p w14:paraId="3110434F">
      <w:pPr>
        <w:ind w:firstLine="411" w:firstLineChars="196"/>
        <w:rPr>
          <w:rFonts w:hint="eastAsia" w:ascii="宋体" w:hAnsi="宋体"/>
        </w:rPr>
      </w:pPr>
      <w:r>
        <w:rPr>
          <w:rFonts w:hint="eastAsia" w:ascii="宋体" w:hAnsi="宋体"/>
        </w:rPr>
        <w:t>（7）联合体中标后，联合体各方应当共同与采购人签订合同，就中标项目向采购人承担连带责任；</w:t>
      </w:r>
    </w:p>
    <w:p w14:paraId="6424B8EF">
      <w:pPr>
        <w:ind w:firstLine="411" w:firstLineChars="196"/>
        <w:rPr>
          <w:rFonts w:hint="eastAsia"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430BBB35">
      <w:pPr>
        <w:ind w:firstLine="411" w:firstLineChars="196"/>
        <w:rPr>
          <w:rFonts w:hint="eastAsia" w:ascii="宋体" w:hAnsi="宋体"/>
          <w:szCs w:val="21"/>
        </w:rPr>
      </w:pPr>
      <w:r>
        <w:rPr>
          <w:rFonts w:hint="eastAsia" w:ascii="宋体" w:hAnsi="宋体"/>
        </w:rPr>
        <w:t>（9）本通用条款中“投标人”一词亦指联合体各方，专用条款另有规定或说明的除外。</w:t>
      </w:r>
    </w:p>
    <w:p w14:paraId="5E552437">
      <w:pPr>
        <w:rPr>
          <w:rFonts w:hint="eastAsia" w:ascii="黑体" w:hAnsi="宋体" w:eastAsia="黑体"/>
          <w:sz w:val="24"/>
        </w:rPr>
      </w:pPr>
      <w:r>
        <w:rPr>
          <w:rFonts w:hint="eastAsia" w:ascii="黑体" w:hAnsi="宋体" w:eastAsia="黑体"/>
          <w:sz w:val="24"/>
        </w:rPr>
        <w:t>6．政策导向</w:t>
      </w:r>
    </w:p>
    <w:p w14:paraId="02FFFEC4">
      <w:pPr>
        <w:ind w:firstLine="411" w:firstLineChars="196"/>
        <w:rPr>
          <w:rFonts w:hint="eastAsia" w:ascii="宋体" w:hAnsi="宋体"/>
        </w:rPr>
      </w:pPr>
      <w:r>
        <w:rPr>
          <w:rFonts w:hint="eastAsia" w:ascii="宋体" w:hAnsi="宋体"/>
        </w:rPr>
        <w:t>6.1</w:t>
      </w:r>
      <w:r>
        <w:rPr>
          <w:rFonts w:ascii="宋体" w:hAnsi="宋体"/>
        </w:rPr>
        <w:t xml:space="preserve">  </w:t>
      </w:r>
      <w:r>
        <w:rPr>
          <w:rFonts w:hint="eastAsia" w:ascii="宋体" w:hAnsi="宋体"/>
        </w:rPr>
        <w:t>政府采购支持本国产品、支持中小企业、监狱企业和残疾人福利性单位发展，支持乡村产业振兴，支持创新、节能减排、绿色环保等。</w:t>
      </w:r>
    </w:p>
    <w:p w14:paraId="16CD83C0">
      <w:pPr>
        <w:ind w:firstLine="405"/>
        <w:rPr>
          <w:rFonts w:hint="eastAsia" w:ascii="宋体" w:hAnsi="宋体"/>
        </w:rPr>
      </w:pPr>
      <w:r>
        <w:rPr>
          <w:rFonts w:hint="eastAsia" w:ascii="宋体" w:hAnsi="宋体"/>
        </w:rPr>
        <w:t>6.2</w:t>
      </w:r>
      <w:r>
        <w:rPr>
          <w:rFonts w:ascii="宋体" w:hAnsi="宋体"/>
        </w:rPr>
        <w:t xml:space="preserve">  </w:t>
      </w:r>
      <w:r>
        <w:rPr>
          <w:rFonts w:hint="eastAsia" w:ascii="宋体" w:hAnsi="宋体"/>
        </w:rPr>
        <w:t>本项目落实深圳市政府采购供应商诚信管理政策要求。</w:t>
      </w:r>
    </w:p>
    <w:p w14:paraId="44B85339">
      <w:pPr>
        <w:ind w:firstLine="405"/>
      </w:pPr>
      <w:r>
        <w:rPr>
          <w:rFonts w:hint="eastAsia" w:ascii="宋体" w:hAnsi="宋体"/>
        </w:rPr>
        <w:t>6.3  本项目支持投标人性别平等的相关政策。</w:t>
      </w:r>
    </w:p>
    <w:p w14:paraId="3BB25AE3">
      <w:pPr>
        <w:rPr>
          <w:rFonts w:hint="eastAsia" w:ascii="黑体" w:hAnsi="宋体" w:eastAsia="黑体"/>
          <w:sz w:val="24"/>
        </w:rPr>
      </w:pPr>
      <w:r>
        <w:rPr>
          <w:rFonts w:hint="eastAsia" w:ascii="黑体" w:hAnsi="宋体" w:eastAsia="黑体"/>
          <w:sz w:val="24"/>
        </w:rPr>
        <w:t>7. 本项目若涉及采购货物，则合格的货物及相应服务应满足以下要求：</w:t>
      </w:r>
    </w:p>
    <w:p w14:paraId="24A0B3A7">
      <w:pPr>
        <w:ind w:firstLine="411" w:firstLineChars="196"/>
        <w:rPr>
          <w:rFonts w:hint="eastAsia"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14:paraId="2BAD20ED">
      <w:pPr>
        <w:ind w:firstLine="411" w:firstLineChars="196"/>
        <w:rPr>
          <w:rFonts w:hint="eastAsia" w:ascii="宋体" w:hAnsi="宋体"/>
        </w:rPr>
      </w:pPr>
      <w:r>
        <w:rPr>
          <w:rFonts w:hint="eastAsia" w:ascii="宋体" w:hAnsi="宋体"/>
        </w:rPr>
        <w:t>7.2  国产的货物及其有关服务必须符合中华人民共和国的设计、制造生产标准及行业标准。招标公告有其他要求的，亦应符合其要求。</w:t>
      </w:r>
    </w:p>
    <w:p w14:paraId="75E8E577">
      <w:pPr>
        <w:ind w:firstLine="411" w:firstLineChars="196"/>
        <w:rPr>
          <w:rFonts w:hint="eastAsia"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099F3F70">
      <w:pPr>
        <w:ind w:firstLine="411" w:firstLineChars="196"/>
        <w:rPr>
          <w:rFonts w:hint="eastAsia"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92"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2"/>
    </w:p>
    <w:p w14:paraId="1610E2A6">
      <w:pPr>
        <w:ind w:firstLine="411" w:firstLineChars="196"/>
        <w:rPr>
          <w:rFonts w:hint="eastAsia"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5D1D5C9B">
      <w:pPr>
        <w:ind w:firstLine="411" w:firstLineChars="196"/>
        <w:rPr>
          <w:rFonts w:hint="eastAsia" w:ascii="宋体" w:hAnsi="宋体"/>
        </w:rPr>
      </w:pPr>
      <w:r>
        <w:rPr>
          <w:rFonts w:hint="eastAsia" w:ascii="宋体" w:hAnsi="宋体"/>
        </w:rPr>
        <w:t>7.6  工期要求：投标人在投标时对其所投项目应提交交货进度、交货计划等，在合同规定的时间内完成项目实施工作。</w:t>
      </w:r>
    </w:p>
    <w:p w14:paraId="65880204">
      <w:pPr>
        <w:ind w:firstLine="411" w:firstLineChars="196"/>
        <w:rPr>
          <w:rFonts w:hint="eastAsia" w:ascii="宋体" w:hAnsi="宋体"/>
        </w:rPr>
      </w:pPr>
      <w:r>
        <w:rPr>
          <w:rFonts w:hint="eastAsia" w:ascii="宋体" w:hAnsi="宋体"/>
        </w:rPr>
        <w:t>7.7  投标人必须承担的设备运输、安装调试、验收检测和提供设备操作说明书、图纸等其他相关及类似的义务。</w:t>
      </w:r>
    </w:p>
    <w:p w14:paraId="57EE9462">
      <w:pPr>
        <w:rPr>
          <w:rFonts w:hint="eastAsia" w:ascii="黑体" w:hAnsi="宋体" w:eastAsia="黑体"/>
          <w:sz w:val="24"/>
        </w:rPr>
      </w:pPr>
      <w:r>
        <w:rPr>
          <w:rFonts w:hint="eastAsia" w:ascii="黑体" w:hAnsi="宋体" w:eastAsia="黑体"/>
          <w:sz w:val="24"/>
        </w:rPr>
        <w:t>8．投标费用</w:t>
      </w:r>
    </w:p>
    <w:p w14:paraId="38487708">
      <w:pPr>
        <w:ind w:firstLine="411" w:firstLineChars="196"/>
        <w:rPr>
          <w:rFonts w:hint="eastAsia" w:ascii="宋体" w:hAnsi="宋体"/>
          <w:szCs w:val="21"/>
        </w:rPr>
      </w:pPr>
      <w:r>
        <w:rPr>
          <w:rFonts w:hint="eastAsia" w:ascii="宋体" w:hAnsi="宋体"/>
          <w:szCs w:val="21"/>
        </w:rPr>
        <w:t>不论投标结果如何，投标人应承担其编制投标文件与递交投标文件所涉及的一切费用。</w:t>
      </w:r>
    </w:p>
    <w:p w14:paraId="5A1A1560">
      <w:pPr>
        <w:rPr>
          <w:rFonts w:hint="eastAsia" w:ascii="黑体" w:hAnsi="宋体" w:eastAsia="黑体"/>
          <w:sz w:val="24"/>
        </w:rPr>
      </w:pPr>
      <w:r>
        <w:rPr>
          <w:rFonts w:hint="eastAsia" w:ascii="黑体" w:hAnsi="宋体" w:eastAsia="黑体"/>
          <w:sz w:val="24"/>
        </w:rPr>
        <w:t>9．踏勘现场</w:t>
      </w:r>
    </w:p>
    <w:p w14:paraId="02C5A20E">
      <w:pPr>
        <w:ind w:firstLine="411" w:firstLineChars="196"/>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A5290F9">
      <w:pPr>
        <w:ind w:firstLine="411" w:firstLineChars="196"/>
        <w:rPr>
          <w:rFonts w:hint="eastAsia"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14:paraId="385162F3">
      <w:pPr>
        <w:ind w:firstLine="411" w:firstLineChars="196"/>
        <w:rPr>
          <w:rFonts w:hint="eastAsia" w:ascii="宋体" w:hAnsi="宋体"/>
        </w:rPr>
      </w:pPr>
      <w:r>
        <w:rPr>
          <w:rFonts w:hint="eastAsia" w:ascii="宋体" w:hAnsi="宋体"/>
        </w:rPr>
        <w:t>9.3采购人应当通过政府集中采购机构向投标人提供有关现场的书面资料和数据。</w:t>
      </w:r>
    </w:p>
    <w:p w14:paraId="35C377E6">
      <w:pPr>
        <w:ind w:firstLine="411" w:firstLineChars="196"/>
        <w:rPr>
          <w:rFonts w:hint="eastAsia"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14:paraId="7FF0A9B2">
      <w:pPr>
        <w:ind w:firstLine="411" w:firstLineChars="196"/>
        <w:rPr>
          <w:rFonts w:hint="eastAsia"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5FF2D434">
      <w:pPr>
        <w:rPr>
          <w:rFonts w:hint="eastAsia"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14:paraId="04141852">
      <w:pPr>
        <w:ind w:firstLine="411" w:firstLineChars="196"/>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24993313">
      <w:pPr>
        <w:ind w:firstLine="411" w:firstLineChars="196"/>
        <w:rPr>
          <w:rFonts w:hint="eastAsia"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14:paraId="70456F1D">
      <w:pPr>
        <w:ind w:firstLine="411" w:firstLineChars="196"/>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1"/>
    <w:p w14:paraId="04E03D83">
      <w:pPr>
        <w:ind w:firstLine="411" w:firstLineChars="196"/>
        <w:rPr>
          <w:rFonts w:hint="eastAsia" w:ascii="宋体" w:hAnsi="宋体"/>
        </w:rPr>
      </w:pPr>
    </w:p>
    <w:p w14:paraId="0D8449B9">
      <w:pPr>
        <w:pStyle w:val="8"/>
        <w:numPr>
          <w:ilvl w:val="0"/>
          <w:numId w:val="10"/>
        </w:numPr>
        <w:spacing w:before="120" w:beforeLines="50" w:after="120" w:afterLines="50"/>
        <w:ind w:left="562" w:hanging="562"/>
        <w:rPr>
          <w:rFonts w:hint="eastAsia"/>
          <w:sz w:val="28"/>
          <w:szCs w:val="28"/>
        </w:rPr>
      </w:pPr>
      <w:r>
        <w:rPr>
          <w:rFonts w:hint="eastAsia"/>
          <w:sz w:val="28"/>
          <w:szCs w:val="28"/>
        </w:rPr>
        <w:t>招标文件</w:t>
      </w:r>
    </w:p>
    <w:p w14:paraId="67F8722D">
      <w:pPr>
        <w:rPr>
          <w:rFonts w:hint="eastAsia"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93" w:name="_Hlk72399819"/>
      <w:r>
        <w:rPr>
          <w:rFonts w:hint="eastAsia" w:ascii="黑体" w:hAnsi="宋体" w:eastAsia="黑体"/>
          <w:sz w:val="24"/>
        </w:rPr>
        <w:t>招标文件的编制与组成</w:t>
      </w:r>
    </w:p>
    <w:p w14:paraId="2F1B86AE">
      <w:pPr>
        <w:snapToGrid w:val="0"/>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4762BD63">
      <w:pPr>
        <w:ind w:firstLine="411" w:firstLineChars="196"/>
        <w:rPr>
          <w:rFonts w:hint="eastAsia" w:ascii="宋体" w:hAnsi="宋体"/>
          <w:szCs w:val="21"/>
        </w:rPr>
      </w:pPr>
      <w:r>
        <w:rPr>
          <w:rFonts w:hint="eastAsia" w:ascii="宋体" w:hAnsi="宋体"/>
          <w:szCs w:val="21"/>
        </w:rPr>
        <w:t>招标文件包括下列内容：</w:t>
      </w:r>
    </w:p>
    <w:p w14:paraId="613B6043">
      <w:pPr>
        <w:ind w:left="420" w:leftChars="200" w:firstLine="413" w:firstLineChars="196"/>
        <w:rPr>
          <w:rFonts w:hint="eastAsia" w:ascii="宋体" w:hAnsi="宋体"/>
          <w:b/>
          <w:szCs w:val="21"/>
        </w:rPr>
      </w:pPr>
      <w:r>
        <w:rPr>
          <w:rFonts w:hint="eastAsia" w:ascii="宋体" w:hAnsi="宋体"/>
          <w:b/>
          <w:szCs w:val="21"/>
        </w:rPr>
        <w:t>第一册  专用条款</w:t>
      </w:r>
    </w:p>
    <w:p w14:paraId="0D5427F6">
      <w:pPr>
        <w:ind w:left="1079" w:leftChars="514"/>
        <w:rPr>
          <w:rFonts w:hint="eastAsia" w:ascii="宋体" w:hAnsi="宋体"/>
          <w:b/>
          <w:szCs w:val="21"/>
        </w:rPr>
      </w:pPr>
      <w:r>
        <w:rPr>
          <w:rFonts w:hint="eastAsia" w:ascii="宋体" w:hAnsi="宋体"/>
          <w:b/>
          <w:szCs w:val="21"/>
        </w:rPr>
        <w:t>关键信息</w:t>
      </w:r>
    </w:p>
    <w:p w14:paraId="5E77D40F">
      <w:pPr>
        <w:ind w:left="630" w:leftChars="300" w:firstLine="411" w:firstLineChars="196"/>
        <w:rPr>
          <w:rFonts w:hint="eastAsia" w:ascii="宋体" w:hAnsi="宋体"/>
          <w:szCs w:val="21"/>
        </w:rPr>
      </w:pPr>
      <w:r>
        <w:rPr>
          <w:rFonts w:hint="eastAsia" w:ascii="宋体" w:hAnsi="宋体"/>
          <w:szCs w:val="21"/>
        </w:rPr>
        <w:t>第一章  招标公告</w:t>
      </w:r>
    </w:p>
    <w:p w14:paraId="3F31D941">
      <w:pPr>
        <w:ind w:left="630" w:leftChars="300" w:firstLine="411" w:firstLineChars="196"/>
        <w:rPr>
          <w:rFonts w:hint="eastAsia" w:ascii="宋体" w:hAnsi="宋体"/>
          <w:szCs w:val="21"/>
        </w:rPr>
      </w:pPr>
      <w:r>
        <w:rPr>
          <w:rFonts w:hint="eastAsia" w:ascii="宋体" w:hAnsi="宋体"/>
          <w:szCs w:val="21"/>
        </w:rPr>
        <w:t>第二章  对通用条款的补充内容及其他关键信息</w:t>
      </w:r>
    </w:p>
    <w:p w14:paraId="4556B97D">
      <w:pPr>
        <w:ind w:left="630" w:leftChars="300" w:firstLine="411" w:firstLineChars="196"/>
        <w:rPr>
          <w:rFonts w:hint="eastAsia" w:ascii="宋体" w:hAnsi="宋体"/>
          <w:szCs w:val="21"/>
        </w:rPr>
      </w:pPr>
      <w:r>
        <w:rPr>
          <w:rFonts w:hint="eastAsia" w:ascii="宋体" w:hAnsi="宋体"/>
          <w:szCs w:val="21"/>
        </w:rPr>
        <w:t>第三章  用户需求书</w:t>
      </w:r>
    </w:p>
    <w:p w14:paraId="0E9DE437">
      <w:pPr>
        <w:ind w:left="630" w:leftChars="300" w:firstLine="411" w:firstLineChars="196"/>
        <w:rPr>
          <w:rFonts w:hint="eastAsia" w:ascii="宋体" w:hAnsi="宋体"/>
          <w:szCs w:val="21"/>
        </w:rPr>
      </w:pPr>
      <w:r>
        <w:rPr>
          <w:rFonts w:hint="eastAsia" w:ascii="宋体" w:hAnsi="宋体"/>
          <w:szCs w:val="21"/>
        </w:rPr>
        <w:t>第四章  投标文件组成要求及格式</w:t>
      </w:r>
    </w:p>
    <w:p w14:paraId="367034FF">
      <w:pPr>
        <w:ind w:left="630" w:leftChars="300" w:firstLine="411" w:firstLineChars="196"/>
        <w:rPr>
          <w:rFonts w:hint="eastAsia" w:ascii="宋体" w:hAnsi="宋体"/>
          <w:szCs w:val="21"/>
        </w:rPr>
      </w:pPr>
      <w:r>
        <w:rPr>
          <w:rFonts w:hint="eastAsia" w:ascii="宋体" w:hAnsi="宋体"/>
          <w:szCs w:val="21"/>
        </w:rPr>
        <w:t>第五章  合同条款及格式</w:t>
      </w:r>
    </w:p>
    <w:p w14:paraId="16104B0B">
      <w:pPr>
        <w:ind w:left="420" w:leftChars="200" w:firstLine="413" w:firstLineChars="196"/>
        <w:rPr>
          <w:rFonts w:hint="eastAsia" w:ascii="宋体" w:hAnsi="宋体"/>
          <w:b/>
          <w:szCs w:val="21"/>
        </w:rPr>
      </w:pPr>
      <w:r>
        <w:rPr>
          <w:rFonts w:hint="eastAsia" w:ascii="宋体" w:hAnsi="宋体"/>
          <w:b/>
          <w:szCs w:val="21"/>
        </w:rPr>
        <w:t>第二册  通用条款</w:t>
      </w:r>
    </w:p>
    <w:p w14:paraId="2C5A19FB">
      <w:pPr>
        <w:ind w:left="630" w:leftChars="300" w:firstLine="411" w:firstLineChars="196"/>
        <w:rPr>
          <w:rFonts w:hint="eastAsia" w:ascii="宋体" w:hAnsi="宋体"/>
          <w:szCs w:val="21"/>
        </w:rPr>
      </w:pPr>
      <w:r>
        <w:rPr>
          <w:rFonts w:hint="eastAsia" w:ascii="宋体" w:hAnsi="宋体"/>
          <w:szCs w:val="21"/>
        </w:rPr>
        <w:t>第一章  总则</w:t>
      </w:r>
    </w:p>
    <w:p w14:paraId="3DAE6EFD">
      <w:pPr>
        <w:ind w:left="630" w:leftChars="300" w:firstLine="411" w:firstLineChars="196"/>
        <w:rPr>
          <w:rFonts w:hint="eastAsia" w:ascii="宋体" w:hAnsi="宋体"/>
          <w:szCs w:val="21"/>
        </w:rPr>
      </w:pPr>
      <w:r>
        <w:rPr>
          <w:rFonts w:hint="eastAsia" w:ascii="宋体" w:hAnsi="宋体"/>
          <w:szCs w:val="21"/>
        </w:rPr>
        <w:t>第二章  招标文件</w:t>
      </w:r>
    </w:p>
    <w:p w14:paraId="23DB0BEB">
      <w:pPr>
        <w:ind w:left="630" w:leftChars="300" w:firstLine="411" w:firstLineChars="196"/>
        <w:rPr>
          <w:rFonts w:hint="eastAsia" w:ascii="宋体" w:hAnsi="宋体"/>
          <w:szCs w:val="21"/>
        </w:rPr>
      </w:pPr>
      <w:r>
        <w:rPr>
          <w:rFonts w:hint="eastAsia" w:ascii="宋体" w:hAnsi="宋体"/>
          <w:szCs w:val="21"/>
        </w:rPr>
        <w:t>第三章  投标文件的编制</w:t>
      </w:r>
    </w:p>
    <w:p w14:paraId="3928C639">
      <w:pPr>
        <w:ind w:left="630" w:leftChars="300" w:firstLine="411" w:firstLineChars="196"/>
        <w:rPr>
          <w:rFonts w:hint="eastAsia" w:ascii="宋体" w:hAnsi="宋体"/>
          <w:szCs w:val="21"/>
        </w:rPr>
      </w:pPr>
      <w:r>
        <w:rPr>
          <w:rFonts w:hint="eastAsia" w:ascii="宋体" w:hAnsi="宋体"/>
          <w:szCs w:val="21"/>
        </w:rPr>
        <w:t>第四章  投标文件的递交</w:t>
      </w:r>
    </w:p>
    <w:p w14:paraId="3ED4BB50">
      <w:pPr>
        <w:ind w:left="630" w:leftChars="300" w:firstLine="411" w:firstLineChars="196"/>
        <w:rPr>
          <w:rFonts w:hint="eastAsia" w:ascii="宋体" w:hAnsi="宋体"/>
          <w:szCs w:val="21"/>
        </w:rPr>
      </w:pPr>
      <w:r>
        <w:rPr>
          <w:rFonts w:hint="eastAsia" w:ascii="宋体" w:hAnsi="宋体"/>
          <w:szCs w:val="21"/>
        </w:rPr>
        <w:t>第五章  开标</w:t>
      </w:r>
    </w:p>
    <w:p w14:paraId="3713D4F3">
      <w:pPr>
        <w:ind w:left="630" w:leftChars="300" w:firstLine="411" w:firstLineChars="196"/>
        <w:rPr>
          <w:rFonts w:hint="eastAsia" w:ascii="宋体" w:hAnsi="宋体"/>
          <w:szCs w:val="21"/>
        </w:rPr>
      </w:pPr>
      <w:r>
        <w:rPr>
          <w:rFonts w:hint="eastAsia" w:ascii="宋体" w:hAnsi="宋体"/>
          <w:szCs w:val="21"/>
        </w:rPr>
        <w:t>第六章  评审要求</w:t>
      </w:r>
    </w:p>
    <w:p w14:paraId="5CB3CFFF">
      <w:pPr>
        <w:ind w:left="630" w:leftChars="300" w:firstLine="411" w:firstLineChars="196"/>
        <w:rPr>
          <w:rFonts w:hint="eastAsia" w:ascii="宋体" w:hAnsi="宋体"/>
          <w:szCs w:val="21"/>
        </w:rPr>
      </w:pPr>
      <w:r>
        <w:rPr>
          <w:rFonts w:hint="eastAsia" w:ascii="宋体" w:hAnsi="宋体"/>
          <w:szCs w:val="21"/>
        </w:rPr>
        <w:t>第七章  评审程序及评审方法</w:t>
      </w:r>
    </w:p>
    <w:p w14:paraId="1013A2FD">
      <w:pPr>
        <w:ind w:left="630" w:leftChars="300" w:firstLine="411" w:firstLineChars="196"/>
        <w:rPr>
          <w:rFonts w:hint="eastAsia" w:ascii="宋体" w:hAnsi="宋体"/>
          <w:szCs w:val="21"/>
        </w:rPr>
      </w:pPr>
      <w:r>
        <w:rPr>
          <w:rFonts w:hint="eastAsia" w:ascii="宋体" w:hAnsi="宋体"/>
          <w:szCs w:val="21"/>
        </w:rPr>
        <w:t>第八章  定标及公示</w:t>
      </w:r>
    </w:p>
    <w:p w14:paraId="175C5040">
      <w:pPr>
        <w:ind w:left="630" w:leftChars="300" w:firstLine="411" w:firstLineChars="196"/>
        <w:rPr>
          <w:rFonts w:hint="eastAsia" w:ascii="宋体" w:hAnsi="宋体"/>
          <w:szCs w:val="21"/>
        </w:rPr>
      </w:pPr>
      <w:r>
        <w:rPr>
          <w:rFonts w:hint="eastAsia" w:ascii="宋体" w:hAnsi="宋体"/>
          <w:szCs w:val="21"/>
        </w:rPr>
        <w:t>第九章  公开招标失败的后续处理</w:t>
      </w:r>
    </w:p>
    <w:p w14:paraId="504DA041">
      <w:pPr>
        <w:ind w:left="630" w:leftChars="300" w:firstLine="411" w:firstLineChars="196"/>
        <w:rPr>
          <w:rFonts w:hint="eastAsia" w:ascii="宋体" w:hAnsi="宋体"/>
          <w:szCs w:val="21"/>
        </w:rPr>
      </w:pPr>
      <w:r>
        <w:rPr>
          <w:rFonts w:hint="eastAsia" w:ascii="宋体" w:hAnsi="宋体"/>
          <w:szCs w:val="21"/>
        </w:rPr>
        <w:t>第十章  合同的授予与备案</w:t>
      </w:r>
    </w:p>
    <w:p w14:paraId="7559BED3">
      <w:pPr>
        <w:ind w:left="630" w:leftChars="300" w:firstLine="411" w:firstLineChars="196"/>
        <w:rPr>
          <w:rFonts w:hint="eastAsia" w:ascii="宋体" w:hAnsi="宋体"/>
          <w:szCs w:val="21"/>
        </w:rPr>
      </w:pPr>
      <w:r>
        <w:rPr>
          <w:rFonts w:hint="eastAsia" w:ascii="宋体" w:hAnsi="宋体"/>
          <w:szCs w:val="21"/>
        </w:rPr>
        <w:t>第十一章  质疑处理</w:t>
      </w:r>
    </w:p>
    <w:p w14:paraId="1EF80D0D">
      <w:pPr>
        <w:ind w:firstLine="411" w:firstLineChars="196"/>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登录深圳政府采购智慧平台（http://zfcg.szggzy.com:8081/）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1F3B369">
      <w:pPr>
        <w:ind w:firstLine="411" w:firstLineChars="196"/>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552B4812">
      <w:pPr>
        <w:ind w:firstLine="411" w:firstLineChars="196"/>
        <w:rPr>
          <w:rFonts w:hint="eastAsia" w:ascii="宋体" w:hAnsi="宋体"/>
        </w:rPr>
      </w:pPr>
      <w:r>
        <w:rPr>
          <w:rFonts w:hint="eastAsia" w:ascii="宋体" w:hAnsi="宋体"/>
        </w:rPr>
        <w:t>11.4招标文件所称“原件备查”，是指在项目产生质疑、投诉等阶段，主管部门、采购人、代理机构、评审委员会等可以要求供应商提供原件进行核查。</w:t>
      </w:r>
    </w:p>
    <w:p w14:paraId="210FC746">
      <w:pPr>
        <w:rPr>
          <w:rFonts w:hint="eastAsia" w:ascii="黑体" w:hAnsi="宋体" w:eastAsia="黑体"/>
          <w:sz w:val="24"/>
        </w:rPr>
      </w:pPr>
    </w:p>
    <w:p w14:paraId="1B5C8EF8">
      <w:pPr>
        <w:rPr>
          <w:rFonts w:hint="eastAsia"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14:paraId="28A0235E">
      <w:pPr>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08037A83">
      <w:pPr>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14:paraId="30FB640C">
      <w:pPr>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1AD0C407">
      <w:pPr>
        <w:rPr>
          <w:rFonts w:hint="eastAsia"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6021A16C">
      <w:pPr>
        <w:ind w:firstLine="411" w:firstLineChars="196"/>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5B8A4CE9">
      <w:pPr>
        <w:ind w:firstLine="411" w:firstLineChars="196"/>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5DB865FD">
      <w:pPr>
        <w:ind w:firstLine="411" w:firstLineChars="196"/>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w:t>
      </w:r>
      <w:r>
        <w:rPr>
          <w:rFonts w:hint="eastAsia" w:ascii="宋体" w:hAnsi="宋体"/>
          <w:color w:val="FF0000"/>
          <w:szCs w:val="21"/>
        </w:rPr>
        <w:t>，投标人应当登录深圳政府采购智慧平台（http://zfcg.szggzy.com:8081/）下载最新的招标文件。</w:t>
      </w:r>
      <w:r>
        <w:rPr>
          <w:rFonts w:hint="eastAsia" w:ascii="宋体" w:hAnsi="宋体"/>
          <w:szCs w:val="21"/>
        </w:rPr>
        <w:t>当招标文件、修改补充通知、招标文件澄清答复内容相互矛盾时，以最后发出的内容为准。</w:t>
      </w:r>
    </w:p>
    <w:p w14:paraId="43A029B5">
      <w:pPr>
        <w:ind w:firstLine="411" w:firstLineChars="196"/>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3"/>
    </w:p>
    <w:p w14:paraId="60BBF507">
      <w:pPr>
        <w:rPr>
          <w:rFonts w:hint="eastAsia" w:ascii="宋体" w:hAnsi="宋体"/>
          <w:szCs w:val="21"/>
        </w:rPr>
      </w:pPr>
    </w:p>
    <w:p w14:paraId="6DAD0A80">
      <w:pPr>
        <w:pStyle w:val="8"/>
        <w:numPr>
          <w:ilvl w:val="0"/>
          <w:numId w:val="10"/>
        </w:numPr>
        <w:spacing w:before="120" w:beforeLines="50" w:after="120" w:afterLines="50"/>
        <w:ind w:left="562" w:hanging="562"/>
        <w:rPr>
          <w:rFonts w:hint="eastAsia"/>
          <w:sz w:val="28"/>
          <w:szCs w:val="28"/>
        </w:rPr>
      </w:pPr>
      <w:r>
        <w:rPr>
          <w:rFonts w:hint="eastAsia"/>
          <w:sz w:val="28"/>
          <w:szCs w:val="28"/>
        </w:rPr>
        <w:t>投标文件的编制</w:t>
      </w:r>
    </w:p>
    <w:p w14:paraId="25BCFC5F">
      <w:pPr>
        <w:rPr>
          <w:rFonts w:hint="eastAsia" w:ascii="黑体" w:hAnsi="宋体" w:eastAsia="黑体"/>
          <w:sz w:val="24"/>
        </w:rPr>
      </w:pPr>
      <w:r>
        <w:rPr>
          <w:rFonts w:hint="eastAsia" w:ascii="黑体" w:hAnsi="宋体" w:eastAsia="黑体"/>
          <w:sz w:val="24"/>
        </w:rPr>
        <w:t>14．</w:t>
      </w:r>
      <w:bookmarkStart w:id="94" w:name="_Hlk72400236"/>
      <w:r>
        <w:rPr>
          <w:rFonts w:hint="eastAsia" w:ascii="黑体" w:hAnsi="宋体" w:eastAsia="黑体"/>
          <w:sz w:val="24"/>
        </w:rPr>
        <w:t>投标文件的语言及度量单位</w:t>
      </w:r>
    </w:p>
    <w:p w14:paraId="109BB715">
      <w:pPr>
        <w:ind w:firstLine="411" w:firstLineChars="196"/>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53DC6194">
      <w:pPr>
        <w:ind w:firstLine="411" w:firstLineChars="196"/>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94"/>
    <w:p w14:paraId="3722BD2D">
      <w:pPr>
        <w:rPr>
          <w:rFonts w:hint="eastAsia" w:ascii="黑体" w:hAnsi="宋体" w:eastAsia="黑体"/>
          <w:sz w:val="24"/>
        </w:rPr>
      </w:pPr>
      <w:r>
        <w:rPr>
          <w:rFonts w:hint="eastAsia" w:ascii="黑体" w:hAnsi="宋体" w:eastAsia="黑体"/>
          <w:sz w:val="24"/>
        </w:rPr>
        <w:t>15．</w:t>
      </w:r>
      <w:bookmarkStart w:id="95" w:name="_Hlk72401567"/>
      <w:r>
        <w:rPr>
          <w:rFonts w:hint="eastAsia" w:ascii="黑体" w:hAnsi="宋体" w:eastAsia="黑体"/>
          <w:sz w:val="24"/>
        </w:rPr>
        <w:t>投标文件的组成</w:t>
      </w:r>
    </w:p>
    <w:p w14:paraId="17DE0A86">
      <w:pPr>
        <w:ind w:firstLine="411" w:firstLineChars="196"/>
        <w:rPr>
          <w:rFonts w:hint="eastAsia" w:ascii="宋体" w:hAnsi="宋体"/>
          <w:szCs w:val="21"/>
        </w:rPr>
      </w:pPr>
      <w:r>
        <w:rPr>
          <w:rFonts w:hint="eastAsia" w:ascii="宋体" w:hAnsi="宋体"/>
          <w:szCs w:val="21"/>
        </w:rPr>
        <w:t>具体内容在招标文件专用条款中进行规定。</w:t>
      </w:r>
    </w:p>
    <w:p w14:paraId="13B52194">
      <w:pPr>
        <w:rPr>
          <w:rFonts w:hint="eastAsia" w:ascii="黑体" w:hAnsi="宋体" w:eastAsia="黑体"/>
          <w:sz w:val="24"/>
        </w:rPr>
      </w:pPr>
      <w:r>
        <w:rPr>
          <w:rFonts w:ascii="黑体" w:hAnsi="宋体" w:eastAsia="黑体"/>
          <w:sz w:val="24"/>
        </w:rPr>
        <w:t>16．投标文件格式</w:t>
      </w:r>
    </w:p>
    <w:p w14:paraId="42AD7D43">
      <w:pPr>
        <w:ind w:firstLine="411" w:firstLineChars="196"/>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16E330E7">
      <w:pPr>
        <w:rPr>
          <w:rFonts w:hint="eastAsia" w:ascii="黑体" w:hAnsi="宋体" w:eastAsia="黑体"/>
          <w:sz w:val="24"/>
        </w:rPr>
      </w:pPr>
      <w:r>
        <w:rPr>
          <w:rFonts w:hint="eastAsia" w:ascii="黑体" w:hAnsi="宋体" w:eastAsia="黑体"/>
          <w:sz w:val="24"/>
        </w:rPr>
        <w:t>17．投标货币</w:t>
      </w:r>
    </w:p>
    <w:p w14:paraId="2C8FC539">
      <w:pPr>
        <w:ind w:firstLine="411" w:firstLineChars="196"/>
        <w:rPr>
          <w:rFonts w:hint="eastAsia" w:ascii="宋体" w:hAnsi="宋体"/>
          <w:szCs w:val="21"/>
        </w:rPr>
      </w:pPr>
      <w:r>
        <w:rPr>
          <w:rFonts w:hint="eastAsia" w:ascii="宋体" w:hAnsi="宋体"/>
          <w:szCs w:val="21"/>
        </w:rPr>
        <w:t>本项目的投标报价应以人民币计。</w:t>
      </w:r>
    </w:p>
    <w:bookmarkEnd w:id="95"/>
    <w:p w14:paraId="65466439">
      <w:pPr>
        <w:rPr>
          <w:rFonts w:hint="eastAsia" w:ascii="黑体" w:hAnsi="宋体" w:eastAsia="黑体"/>
          <w:sz w:val="24"/>
        </w:rPr>
      </w:pPr>
      <w:r>
        <w:rPr>
          <w:rFonts w:hint="eastAsia" w:ascii="黑体" w:hAnsi="宋体" w:eastAsia="黑体"/>
          <w:sz w:val="24"/>
        </w:rPr>
        <w:t>18．</w:t>
      </w:r>
      <w:bookmarkStart w:id="96" w:name="_Hlk72401735"/>
      <w:r>
        <w:rPr>
          <w:rFonts w:hint="eastAsia" w:ascii="黑体" w:hAnsi="宋体" w:eastAsia="黑体"/>
          <w:sz w:val="24"/>
        </w:rPr>
        <w:t>证明投标文件投标技术方案的合格性和符合招标文件规定的文件要求</w:t>
      </w:r>
    </w:p>
    <w:p w14:paraId="4371136C">
      <w:pPr>
        <w:ind w:firstLine="411" w:firstLineChars="196"/>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568FAD7F">
      <w:pPr>
        <w:ind w:firstLine="411" w:firstLineChars="196"/>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762425CF">
      <w:pPr>
        <w:ind w:firstLine="411" w:firstLineChars="196"/>
        <w:rPr>
          <w:rFonts w:hint="eastAsia" w:ascii="宋体" w:hAnsi="宋体"/>
          <w:szCs w:val="21"/>
        </w:rPr>
      </w:pPr>
      <w:r>
        <w:rPr>
          <w:rFonts w:hint="eastAsia" w:ascii="宋体" w:hAnsi="宋体"/>
          <w:szCs w:val="21"/>
        </w:rPr>
        <w:t>18.2.1主要技术指标和性能的详细说明。</w:t>
      </w:r>
    </w:p>
    <w:p w14:paraId="1E7CB91C">
      <w:pPr>
        <w:ind w:firstLine="411" w:firstLineChars="196"/>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72660AB9">
      <w:pPr>
        <w:ind w:firstLine="411" w:firstLineChars="196"/>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37A7D9AB">
      <w:pPr>
        <w:ind w:firstLine="411" w:firstLineChars="196"/>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23B028C4">
      <w:pPr>
        <w:ind w:firstLine="411" w:firstLineChars="196"/>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0633A642">
      <w:pPr>
        <w:ind w:firstLine="411" w:firstLineChars="196"/>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5C96E82">
      <w:pPr>
        <w:ind w:firstLine="411" w:firstLineChars="196"/>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710A1919">
      <w:pPr>
        <w:ind w:firstLine="411" w:firstLineChars="196"/>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96"/>
    <w:p w14:paraId="6889A9B9">
      <w:pPr>
        <w:rPr>
          <w:rFonts w:hint="eastAsia" w:ascii="黑体" w:hAnsi="宋体" w:eastAsia="黑体"/>
          <w:sz w:val="24"/>
        </w:rPr>
      </w:pPr>
      <w:r>
        <w:rPr>
          <w:rFonts w:hint="eastAsia" w:ascii="黑体" w:hAnsi="宋体" w:eastAsia="黑体"/>
          <w:sz w:val="24"/>
        </w:rPr>
        <w:t>19．</w:t>
      </w:r>
      <w:bookmarkStart w:id="97" w:name="_Hlk72402034"/>
      <w:r>
        <w:rPr>
          <w:rFonts w:hint="eastAsia" w:ascii="黑体" w:hAnsi="宋体" w:eastAsia="黑体"/>
          <w:sz w:val="24"/>
        </w:rPr>
        <w:t>投标文件其他证明文件的要求</w:t>
      </w:r>
    </w:p>
    <w:p w14:paraId="250FEE39">
      <w:pPr>
        <w:rPr>
          <w:rFonts w:hint="eastAsia" w:ascii="宋体" w:hAnsi="宋体"/>
          <w:color w:val="FF0000"/>
          <w:szCs w:val="21"/>
        </w:rPr>
      </w:pPr>
      <w:r>
        <w:rPr>
          <w:rFonts w:hint="eastAsia" w:ascii="黑体" w:hAnsi="宋体" w:eastAsia="黑体"/>
          <w:sz w:val="24"/>
        </w:rPr>
        <w:t xml:space="preserve"> </w:t>
      </w:r>
      <w:bookmarkStart w:id="98" w:name="_Hlk71407299"/>
      <w:r>
        <w:rPr>
          <w:rFonts w:hint="eastAsia" w:ascii="黑体" w:hAnsi="宋体" w:eastAsia="黑体"/>
          <w:sz w:val="24"/>
        </w:rPr>
        <w:t xml:space="preserve">  </w:t>
      </w: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采购人、代理机构及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8"/>
    <w:p w14:paraId="46BA8CE5">
      <w:pPr>
        <w:ind w:firstLine="411" w:firstLineChars="196"/>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043BE738">
      <w:pPr>
        <w:rPr>
          <w:rFonts w:hint="eastAsia" w:ascii="黑体" w:hAnsi="宋体" w:eastAsia="黑体"/>
          <w:sz w:val="24"/>
        </w:rPr>
      </w:pPr>
      <w:r>
        <w:rPr>
          <w:rFonts w:hint="eastAsia" w:ascii="黑体" w:hAnsi="宋体" w:eastAsia="黑体"/>
          <w:sz w:val="24"/>
        </w:rPr>
        <w:t>20．投标有效期</w:t>
      </w:r>
    </w:p>
    <w:bookmarkEnd w:id="97"/>
    <w:p w14:paraId="0902CA0A">
      <w:pPr>
        <w:ind w:firstLine="411" w:firstLineChars="196"/>
        <w:rPr>
          <w:rFonts w:hint="eastAsia" w:ascii="宋体" w:hAnsi="宋体"/>
          <w:szCs w:val="21"/>
        </w:rPr>
      </w:pPr>
      <w:bookmarkStart w:id="99"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537241C5">
      <w:pPr>
        <w:ind w:firstLine="411" w:firstLineChars="196"/>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561AE598">
      <w:pPr>
        <w:ind w:firstLine="411" w:firstLineChars="196"/>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9"/>
    <w:p w14:paraId="74EE650E">
      <w:pPr>
        <w:rPr>
          <w:rFonts w:hint="eastAsia" w:ascii="黑体" w:hAnsi="宋体" w:eastAsia="黑体"/>
          <w:sz w:val="24"/>
        </w:rPr>
      </w:pPr>
      <w:r>
        <w:rPr>
          <w:rFonts w:hint="eastAsia" w:ascii="黑体" w:hAnsi="宋体" w:eastAsia="黑体"/>
          <w:sz w:val="24"/>
        </w:rPr>
        <w:t>21．</w:t>
      </w:r>
      <w:bookmarkStart w:id="100" w:name="_Hlk72402325"/>
      <w:r>
        <w:rPr>
          <w:rFonts w:hint="eastAsia" w:ascii="黑体" w:hAnsi="宋体" w:eastAsia="黑体"/>
          <w:sz w:val="24"/>
        </w:rPr>
        <w:t xml:space="preserve">关于投标保证金 </w:t>
      </w:r>
    </w:p>
    <w:p w14:paraId="7F6BFCD3">
      <w:pPr>
        <w:rPr>
          <w:rFonts w:hint="eastAsia" w:ascii="宋体" w:hAnsi="宋体"/>
          <w:szCs w:val="21"/>
        </w:rPr>
      </w:pPr>
      <w:r>
        <w:rPr>
          <w:rFonts w:hint="eastAsia" w:ascii="宋体" w:hAnsi="宋体"/>
          <w:szCs w:val="21"/>
        </w:rPr>
        <w:t xml:space="preserve">    21.1</w:t>
      </w:r>
      <w:r>
        <w:rPr>
          <w:rFonts w:hint="eastAsia"/>
        </w:rPr>
        <w:t>根据《深圳市财政局关于调整政府采购投标（响应）保证金管理政策的通知》（深财购〔2021〕51号）文的规定，本项目不收取投标保证金。</w:t>
      </w:r>
    </w:p>
    <w:p w14:paraId="58B82222">
      <w:pPr>
        <w:rPr>
          <w:rFonts w:hint="eastAsia" w:ascii="黑体" w:hAnsi="宋体" w:eastAsia="黑体"/>
          <w:sz w:val="24"/>
        </w:rPr>
      </w:pPr>
      <w:r>
        <w:rPr>
          <w:rFonts w:hint="eastAsia" w:ascii="黑体" w:hAnsi="宋体" w:eastAsia="黑体"/>
          <w:sz w:val="24"/>
        </w:rPr>
        <w:t>22．投标人的替代方案</w:t>
      </w:r>
    </w:p>
    <w:p w14:paraId="3AF39C5F">
      <w:pPr>
        <w:ind w:firstLine="411" w:firstLineChars="196"/>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09B9B964">
      <w:pPr>
        <w:ind w:firstLine="411" w:firstLineChars="196"/>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100"/>
    <w:p w14:paraId="20F5BC26">
      <w:pPr>
        <w:rPr>
          <w:rFonts w:hint="eastAsia" w:ascii="黑体" w:hAnsi="宋体" w:eastAsia="黑体"/>
          <w:sz w:val="24"/>
        </w:rPr>
      </w:pPr>
      <w:r>
        <w:rPr>
          <w:rFonts w:hint="eastAsia" w:ascii="黑体" w:hAnsi="宋体" w:eastAsia="黑体"/>
          <w:sz w:val="24"/>
        </w:rPr>
        <w:t>23．</w:t>
      </w:r>
      <w:bookmarkStart w:id="101"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2A295EC8">
      <w:pPr>
        <w:ind w:firstLine="411" w:firstLineChars="196"/>
        <w:rPr>
          <w:rFonts w:hint="eastAsia" w:ascii="宋体" w:hAnsi="宋体"/>
        </w:rPr>
      </w:pPr>
      <w:r>
        <w:rPr>
          <w:rFonts w:hint="eastAsia" w:ascii="宋体" w:hAnsi="宋体"/>
        </w:rPr>
        <w:t>23.1投标人应准备所投项目的电子投标文件一份。此电子投标文件须由投标人根据政府集中采购机构提供的后缀名为.</w:t>
      </w:r>
      <w:r>
        <w:t xml:space="preserve"> </w:t>
      </w:r>
      <w:r>
        <w:rPr>
          <w:rFonts w:ascii="宋体" w:hAnsi="宋体"/>
        </w:rPr>
        <w:t>szczf</w:t>
      </w:r>
      <w:r>
        <w:rPr>
          <w:rFonts w:hint="eastAsia" w:ascii="宋体" w:hAnsi="宋体"/>
        </w:rPr>
        <w:t>的电子招标文件，下载并使用相应的深圳智慧采购平台投标文件制作专用软件打开招标文件（.szczf格式）【下载地址：</w:t>
      </w:r>
      <w:r>
        <w:rPr>
          <w:rFonts w:ascii="宋体" w:hAnsi="宋体"/>
        </w:rPr>
        <w:t>http://zfcg.szggzy.com:8081/cgxy/013002/list.html</w:t>
      </w:r>
      <w:r>
        <w:rPr>
          <w:rFonts w:hint="eastAsia" w:ascii="宋体" w:hAnsi="宋体"/>
        </w:rPr>
        <w:t>】。</w:t>
      </w:r>
    </w:p>
    <w:p w14:paraId="53BC076A">
      <w:pPr>
        <w:ind w:firstLine="411" w:firstLineChars="196"/>
        <w:rPr>
          <w:rFonts w:hint="eastAsia" w:ascii="宋体" w:hAnsi="宋体"/>
        </w:rPr>
      </w:pPr>
      <w:r>
        <w:rPr>
          <w:rFonts w:hint="eastAsia" w:ascii="宋体" w:hAnsi="宋体"/>
        </w:rPr>
        <w:t>23.2投标人在使用《投标书编制软件》编制投标书时须注意：</w:t>
      </w:r>
    </w:p>
    <w:p w14:paraId="7019FE39">
      <w:pPr>
        <w:ind w:firstLine="411" w:firstLineChars="196"/>
        <w:rPr>
          <w:rFonts w:hint="eastAsia"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14:paraId="0CCE42AB">
      <w:pPr>
        <w:ind w:firstLine="411" w:firstLineChars="196"/>
        <w:rPr>
          <w:rFonts w:hint="eastAsia" w:ascii="宋体" w:hAnsi="宋体"/>
        </w:rPr>
      </w:pPr>
      <w:r>
        <w:rPr>
          <w:rFonts w:hint="eastAsia" w:ascii="宋体" w:hAnsi="宋体"/>
        </w:rPr>
        <w:t>23.2.2不能用非本公司的电子密钥加密本公司的投标文件，或者用其它公司的登录用户上传本公司的投标文件。</w:t>
      </w:r>
    </w:p>
    <w:p w14:paraId="371EA0F7">
      <w:pPr>
        <w:ind w:firstLine="411" w:firstLineChars="196"/>
        <w:rPr>
          <w:rFonts w:hint="eastAsia" w:ascii="宋体" w:hAnsi="宋体"/>
        </w:rPr>
      </w:pPr>
      <w:r>
        <w:rPr>
          <w:rFonts w:hint="eastAsia" w:ascii="宋体" w:hAnsi="宋体"/>
        </w:rPr>
        <w:t>23.2.3要求用《投标书编制软件》编制投标书的包，不能用其它方式编制投标书。编制投标文件时，电脑须连通互联网。</w:t>
      </w:r>
    </w:p>
    <w:p w14:paraId="07ED92EC">
      <w:pPr>
        <w:ind w:firstLine="411" w:firstLineChars="196"/>
        <w:rPr>
          <w:rFonts w:hint="eastAsia"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14:paraId="18CD68D1">
      <w:pPr>
        <w:ind w:firstLine="411" w:firstLineChars="196"/>
        <w:rPr>
          <w:rFonts w:hint="eastAsia" w:ascii="宋体" w:hAnsi="宋体"/>
        </w:rPr>
      </w:pPr>
      <w:r>
        <w:rPr>
          <w:rFonts w:hint="eastAsia" w:ascii="宋体" w:hAnsi="宋体"/>
        </w:rPr>
        <w:t>23.2.5完整填写“投标关键信息”，如下图所示：</w:t>
      </w:r>
    </w:p>
    <w:p w14:paraId="43F5CEFA">
      <w:pPr>
        <w:ind w:firstLine="411" w:firstLineChars="196"/>
        <w:rPr>
          <w:rFonts w:hint="eastAsia" w:ascii="宋体" w:hAnsi="宋体"/>
        </w:rPr>
      </w:pPr>
      <w:r>
        <w:rPr>
          <w:rFonts w:ascii="宋体" w:hAnsi="宋体"/>
        </w:rPr>
        <w:drawing>
          <wp:inline distT="0" distB="0" distL="0" distR="0">
            <wp:extent cx="5278755" cy="2721610"/>
            <wp:effectExtent l="0" t="0" r="17145" b="2540"/>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5B74542D">
      <w:pPr>
        <w:ind w:firstLine="413" w:firstLineChars="196"/>
        <w:rPr>
          <w:rFonts w:hint="eastAsia" w:ascii="宋体" w:hAnsi="宋体"/>
          <w:b/>
        </w:rPr>
      </w:pPr>
      <w:r>
        <w:rPr>
          <w:rFonts w:hint="eastAsia" w:ascii="宋体" w:hAnsi="宋体"/>
          <w:b/>
        </w:rPr>
        <w:t>备注：上述“开标一览表”中的“投标报价”将作为价格分计算依据；其它信息仅是对投标文件相关内容的概括性表述，不作为评审依据。</w:t>
      </w:r>
    </w:p>
    <w:p w14:paraId="1185E3CB">
      <w:pPr>
        <w:ind w:firstLine="411" w:firstLineChars="196"/>
        <w:rPr>
          <w:rFonts w:hint="eastAsia"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14:paraId="4EAA1D2C">
      <w:pPr>
        <w:ind w:firstLine="411" w:firstLineChars="196"/>
        <w:rPr>
          <w:rFonts w:hint="eastAsia" w:ascii="宋体" w:hAnsi="宋体"/>
        </w:rPr>
      </w:pPr>
      <w:r>
        <w:rPr>
          <w:rFonts w:hint="eastAsia" w:ascii="宋体" w:hAnsi="宋体"/>
        </w:rPr>
        <w:t>23.2.7投标文件编写完成后，</w:t>
      </w:r>
      <w:r>
        <w:rPr>
          <w:rFonts w:hint="eastAsia" w:ascii="宋体" w:hAnsi="宋体"/>
          <w:b/>
        </w:rPr>
        <w:t>必须用属于投标人的电子密钥或电子营业执照进行加密，否则视同未盖公章，将导致投标文件无效。</w:t>
      </w:r>
    </w:p>
    <w:p w14:paraId="5ACA7A13">
      <w:pPr>
        <w:ind w:firstLine="411" w:firstLineChars="196"/>
        <w:rPr>
          <w:rFonts w:hint="eastAsia"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14:paraId="1D1843C1">
      <w:pPr>
        <w:ind w:firstLine="411" w:firstLineChars="196"/>
        <w:rPr>
          <w:rFonts w:hint="eastAsia"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14:paraId="11246765">
      <w:pPr>
        <w:ind w:firstLine="411" w:firstLineChars="196"/>
        <w:rPr>
          <w:rFonts w:hint="eastAsia" w:ascii="宋体" w:hAnsi="宋体"/>
        </w:rPr>
      </w:pPr>
      <w:r>
        <w:rPr>
          <w:rFonts w:hint="eastAsia" w:ascii="宋体" w:hAnsi="宋体"/>
        </w:rPr>
        <w:t>23.3电报、电话、传真形式的投标概不接受。</w:t>
      </w:r>
    </w:p>
    <w:p w14:paraId="77561EE9">
      <w:pPr>
        <w:ind w:firstLine="413" w:firstLineChars="196"/>
        <w:rPr>
          <w:rFonts w:hint="eastAsia" w:ascii="宋体" w:hAnsi="宋体"/>
          <w:b/>
        </w:rPr>
      </w:pPr>
      <w:r>
        <w:rPr>
          <w:rFonts w:hint="eastAsia" w:ascii="宋体" w:hAnsi="宋体"/>
          <w:b/>
        </w:rPr>
        <w:t>23.4经投标人电子密钥或电子营业执照加密的投标文件无须盖章或签字，</w:t>
      </w:r>
      <w:r>
        <w:rPr>
          <w:rFonts w:hint="eastAsia" w:ascii="宋体" w:hAnsi="宋体"/>
        </w:rPr>
        <w:t>专用条款另有要求的除外。</w:t>
      </w:r>
    </w:p>
    <w:p w14:paraId="1B2E4769">
      <w:pPr>
        <w:ind w:firstLine="413" w:firstLineChars="196"/>
        <w:rPr>
          <w:rFonts w:hint="eastAsia" w:ascii="宋体" w:hAnsi="宋体"/>
        </w:rPr>
      </w:pPr>
      <w:r>
        <w:rPr>
          <w:rFonts w:hint="eastAsia" w:ascii="宋体" w:hAnsi="宋体"/>
          <w:b/>
        </w:rPr>
        <w:t>23.5</w:t>
      </w:r>
      <w:r>
        <w:rPr>
          <w:rFonts w:hint="eastAsia" w:ascii="宋体" w:hAnsi="宋体"/>
        </w:rPr>
        <w:t xml:space="preserve"> 各类资格（资质）文件提供扫描件，专用条款另有要求的除外。</w:t>
      </w:r>
      <w:bookmarkEnd w:id="101"/>
    </w:p>
    <w:p w14:paraId="472D2466">
      <w:pPr>
        <w:ind w:firstLine="411" w:firstLineChars="196"/>
        <w:rPr>
          <w:rFonts w:hint="eastAsia" w:ascii="宋体" w:hAnsi="宋体"/>
          <w:szCs w:val="21"/>
        </w:rPr>
      </w:pPr>
    </w:p>
    <w:p w14:paraId="6D435CA4">
      <w:pPr>
        <w:pStyle w:val="8"/>
        <w:numPr>
          <w:ilvl w:val="0"/>
          <w:numId w:val="10"/>
        </w:numPr>
        <w:spacing w:before="120" w:beforeLines="50" w:after="120" w:afterLines="50"/>
        <w:ind w:left="562" w:hanging="562"/>
        <w:rPr>
          <w:rFonts w:hint="eastAsia"/>
          <w:sz w:val="28"/>
          <w:szCs w:val="28"/>
        </w:rPr>
      </w:pPr>
      <w:r>
        <w:rPr>
          <w:rFonts w:hint="eastAsia"/>
          <w:sz w:val="28"/>
          <w:szCs w:val="28"/>
        </w:rPr>
        <w:t>投标文件的递交</w:t>
      </w:r>
    </w:p>
    <w:p w14:paraId="78C72B04">
      <w:pPr>
        <w:rPr>
          <w:rFonts w:hint="eastAsia" w:ascii="黑体" w:hAnsi="宋体" w:eastAsia="黑体"/>
          <w:sz w:val="24"/>
        </w:rPr>
      </w:pPr>
      <w:bookmarkStart w:id="102" w:name="_Hlk72405459"/>
      <w:r>
        <w:rPr>
          <w:rFonts w:hint="eastAsia" w:ascii="黑体" w:hAnsi="宋体" w:eastAsia="黑体"/>
          <w:sz w:val="24"/>
        </w:rPr>
        <w:t>24．投标文件的保密</w:t>
      </w:r>
    </w:p>
    <w:p w14:paraId="6B4250A0">
      <w:pPr>
        <w:ind w:firstLine="411" w:firstLineChars="196"/>
        <w:rPr>
          <w:rFonts w:hint="eastAsia" w:ascii="宋体" w:hAnsi="宋体"/>
        </w:rPr>
      </w:pPr>
      <w:r>
        <w:rPr>
          <w:rFonts w:hint="eastAsia" w:ascii="宋体" w:hAnsi="宋体"/>
        </w:rPr>
        <w:t>24.1在投标文件制作完成后，在投标书编制软件点击【生成标书】按钮进入【填写开标一览表界面】界面，在该界面填写完开标一览表信息后点击【确定】，进入投标文件生成环节。投标文件制作软件会在投标文件生成过程中，提示用户输入密码，输入密码后对投标文件自动进行加密，此加密程序确保投标文件在到达投标截止时间后才能解密查看。在加密过程中，请按照软件提示进行操作。加密界面如下图所示：</w:t>
      </w:r>
    </w:p>
    <w:p w14:paraId="24A25FEF">
      <w:pPr>
        <w:widowControl/>
        <w:jc w:val="left"/>
        <w:rPr>
          <w:rFonts w:hint="eastAsia" w:ascii="宋体" w:hAnsi="宋体" w:cs="宋体"/>
          <w:kern w:val="0"/>
          <w:sz w:val="24"/>
        </w:rPr>
      </w:pPr>
      <w:r>
        <w:rPr>
          <w:rFonts w:ascii="宋体" w:hAnsi="宋体"/>
        </w:rPr>
        <w:drawing>
          <wp:inline distT="0" distB="0" distL="0" distR="0">
            <wp:extent cx="5278755" cy="2721610"/>
            <wp:effectExtent l="0" t="0" r="17145" b="254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1726B8FD">
      <w:pPr>
        <w:ind w:firstLine="480" w:firstLineChars="200"/>
        <w:rPr>
          <w:sz w:val="24"/>
        </w:rPr>
      </w:pPr>
    </w:p>
    <w:p w14:paraId="421B0FD6">
      <w:pPr>
        <w:rPr>
          <w:sz w:val="24"/>
        </w:rPr>
      </w:pPr>
      <w:r>
        <w:rPr>
          <w:rFonts w:ascii="宋体" w:hAnsi="宋体"/>
        </w:rPr>
        <w:drawing>
          <wp:inline distT="0" distB="0" distL="0" distR="0">
            <wp:extent cx="5278755" cy="2732405"/>
            <wp:effectExtent l="0" t="0" r="17145" b="10795"/>
            <wp:docPr id="9" name="图片 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8755" cy="2732405"/>
                    </a:xfrm>
                    <a:prstGeom prst="rect">
                      <a:avLst/>
                    </a:prstGeom>
                    <a:noFill/>
                    <a:ln>
                      <a:noFill/>
                    </a:ln>
                  </pic:spPr>
                </pic:pic>
              </a:graphicData>
            </a:graphic>
          </wp:inline>
        </w:drawing>
      </w:r>
    </w:p>
    <w:p w14:paraId="1C9BBE25">
      <w:pPr>
        <w:ind w:firstLine="411" w:firstLineChars="196"/>
        <w:rPr>
          <w:rFonts w:hint="eastAsia" w:ascii="宋体" w:hAnsi="宋体"/>
        </w:rPr>
      </w:pPr>
    </w:p>
    <w:p w14:paraId="4F4F871A">
      <w:pPr>
        <w:rPr>
          <w:rFonts w:hint="eastAsia" w:ascii="宋体" w:hAnsi="宋体"/>
          <w:b/>
        </w:rPr>
      </w:pPr>
      <w:r>
        <w:rPr>
          <w:rFonts w:hint="eastAsia" w:ascii="宋体" w:hAnsi="宋体"/>
          <w:b/>
        </w:rPr>
        <w:t>24.2若采购项目出现延期情况：</w:t>
      </w:r>
    </w:p>
    <w:p w14:paraId="74E5F09E">
      <w:pPr>
        <w:ind w:firstLine="422" w:firstLineChars="200"/>
        <w:rPr>
          <w:rFonts w:hint="eastAsia" w:ascii="黑体" w:hAnsi="宋体" w:eastAsia="黑体"/>
          <w:b/>
          <w:sz w:val="24"/>
        </w:rPr>
      </w:pPr>
      <w:r>
        <w:rPr>
          <w:rFonts w:hint="eastAsia" w:ascii="宋体" w:hAnsi="宋体"/>
          <w:b/>
        </w:rPr>
        <w:t>如果供下载的招标文件（后缀名为.</w:t>
      </w:r>
      <w:r>
        <w:t xml:space="preserve"> </w:t>
      </w:r>
      <w:r>
        <w:rPr>
          <w:rFonts w:ascii="宋体" w:hAnsi="宋体"/>
          <w:b/>
        </w:rPr>
        <w:t>szczf</w:t>
      </w:r>
      <w:r>
        <w:rPr>
          <w:rFonts w:hint="eastAsia" w:ascii="宋体" w:hAnsi="宋体"/>
          <w:b/>
        </w:rPr>
        <w:t>）有更新，投标人必须重新下载招标文件、重新制作投标文件、重新加密投标文件、重新上传投标文件；如果供下载的招标文件（后缀名为.</w:t>
      </w:r>
      <w:r>
        <w:t xml:space="preserve"> </w:t>
      </w:r>
      <w:r>
        <w:rPr>
          <w:rFonts w:ascii="宋体" w:hAnsi="宋体"/>
          <w:b/>
        </w:rPr>
        <w:t>szczf</w:t>
      </w:r>
      <w:r>
        <w:rPr>
          <w:rFonts w:hint="eastAsia" w:ascii="宋体" w:hAnsi="宋体"/>
          <w:b/>
        </w:rPr>
        <w:t>）没有更新，投标人必须重新加密投标文件、重新上传投标文件（是否重新制作投标文件根据项目实际情况定）。否则，投标人自行承担投标文件无法解密导致投标无效的后果。</w:t>
      </w:r>
    </w:p>
    <w:p w14:paraId="785EA4D6">
      <w:pPr>
        <w:rPr>
          <w:rFonts w:hint="eastAsia" w:ascii="黑体" w:hAnsi="宋体" w:eastAsia="黑体"/>
          <w:sz w:val="24"/>
        </w:rPr>
      </w:pPr>
      <w:r>
        <w:rPr>
          <w:rFonts w:hint="eastAsia" w:ascii="黑体" w:hAnsi="宋体" w:eastAsia="黑体"/>
          <w:sz w:val="24"/>
        </w:rPr>
        <w:t>25．上传投标文件及投标截止日期</w:t>
      </w:r>
    </w:p>
    <w:p w14:paraId="1B687DFE">
      <w:pPr>
        <w:wordWrap w:val="0"/>
        <w:ind w:firstLine="411" w:firstLineChars="196"/>
        <w:rPr>
          <w:rFonts w:hint="eastAsia"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智慧平台用户网上办事子系统（http://zfcg.szggzy.com:8081/TPBidder/memberLogin）”，用“【我的项目】→【项目流程】→【递交投标(应答)文件】”功能点上传投标文件。如上传过程中遇到问题，可拨打采购公告中的技术支持电话。如多次上传均告失败，请在投标截止时间之前携带加密后的电子投标文件送达至</w:t>
      </w:r>
      <w:r>
        <w:rPr>
          <w:rFonts w:hint="eastAsia" w:ascii="宋体" w:hAnsi="宋体"/>
          <w:b/>
          <w:bCs/>
          <w:szCs w:val="21"/>
        </w:rPr>
        <w:t>深圳公共资源交易中心（深圳交易集团有限公司政府采购业务分公司）</w:t>
      </w:r>
      <w:r>
        <w:rPr>
          <w:rFonts w:hint="eastAsia" w:ascii="宋体" w:hAnsi="宋体"/>
          <w:b/>
          <w:bCs/>
        </w:rPr>
        <w:t>（地址：深圳市南山区沙河西路3185号南山智谷A座（深圳交易集团总部大楼）3楼）</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0D869C61">
      <w:pPr>
        <w:ind w:firstLine="411" w:firstLineChars="196"/>
        <w:rPr>
          <w:rFonts w:hint="eastAsia"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767C9385">
      <w:pPr>
        <w:ind w:firstLine="411" w:firstLineChars="196"/>
        <w:rPr>
          <w:rFonts w:hint="eastAsia"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14:paraId="66963C8A">
      <w:pPr>
        <w:ind w:firstLine="411" w:firstLineChars="196"/>
        <w:rPr>
          <w:rFonts w:hint="eastAsia" w:ascii="宋体" w:hAnsi="宋体"/>
        </w:rPr>
      </w:pPr>
    </w:p>
    <w:bookmarkEnd w:id="102"/>
    <w:p w14:paraId="18D1F7E2">
      <w:pPr>
        <w:rPr>
          <w:rFonts w:hint="eastAsia" w:ascii="黑体" w:hAnsi="宋体" w:eastAsia="黑体"/>
          <w:sz w:val="24"/>
        </w:rPr>
      </w:pPr>
      <w:r>
        <w:rPr>
          <w:rFonts w:hint="eastAsia" w:ascii="黑体" w:hAnsi="宋体" w:eastAsia="黑体"/>
          <w:sz w:val="24"/>
        </w:rPr>
        <w:t>26. 样品、现场演示、方案讲解</w:t>
      </w:r>
    </w:p>
    <w:p w14:paraId="4CB1CD28">
      <w:pPr>
        <w:ind w:firstLine="411" w:firstLineChars="196"/>
        <w:rPr>
          <w:rFonts w:hint="eastAsia" w:ascii="宋体" w:hAnsi="宋体"/>
          <w:szCs w:val="21"/>
        </w:rPr>
      </w:pPr>
      <w:r>
        <w:rPr>
          <w:rFonts w:hint="eastAsia" w:ascii="宋体" w:hAnsi="宋体"/>
          <w:szCs w:val="21"/>
        </w:rPr>
        <w:t>26.1 样品、现场演示、方案讲解等事项在招标文件专用条款中进行规定。</w:t>
      </w:r>
    </w:p>
    <w:p w14:paraId="409717AA">
      <w:pPr>
        <w:rPr>
          <w:rFonts w:hint="eastAsia" w:ascii="黑体" w:hAnsi="宋体" w:eastAsia="黑体"/>
          <w:sz w:val="24"/>
        </w:rPr>
      </w:pPr>
      <w:bookmarkStart w:id="103"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0145E6DA">
      <w:pPr>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14:paraId="6D8F4656">
      <w:pPr>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14:paraId="4AE63855">
      <w:pPr>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14:paraId="67960F54">
      <w:pPr>
        <w:ind w:firstLine="411" w:firstLineChars="196"/>
        <w:rPr>
          <w:rFonts w:hint="eastAsia" w:ascii="宋体" w:hAnsi="宋体"/>
          <w:szCs w:val="21"/>
        </w:rPr>
      </w:pPr>
      <w:r>
        <w:rPr>
          <w:rFonts w:hint="eastAsia" w:ascii="宋体" w:hAnsi="宋体"/>
          <w:szCs w:val="21"/>
        </w:rPr>
        <w:t>27.4政府集中采购机构不退还投标文件，专用条款另有规定的除外。</w:t>
      </w:r>
    </w:p>
    <w:bookmarkEnd w:id="103"/>
    <w:p w14:paraId="4E6487D8">
      <w:pPr>
        <w:pStyle w:val="8"/>
        <w:numPr>
          <w:ilvl w:val="0"/>
          <w:numId w:val="10"/>
        </w:numPr>
        <w:spacing w:before="120" w:beforeLines="50" w:after="120" w:afterLines="50"/>
        <w:ind w:left="562" w:hanging="562"/>
        <w:rPr>
          <w:rFonts w:hint="eastAsia"/>
          <w:sz w:val="28"/>
          <w:szCs w:val="28"/>
        </w:rPr>
      </w:pPr>
      <w:r>
        <w:rPr>
          <w:rFonts w:hint="eastAsia"/>
          <w:sz w:val="28"/>
          <w:szCs w:val="28"/>
        </w:rPr>
        <w:t>开标</w:t>
      </w:r>
    </w:p>
    <w:p w14:paraId="235B5D10">
      <w:pPr>
        <w:rPr>
          <w:rFonts w:hint="eastAsia" w:ascii="黑体" w:hAnsi="宋体" w:eastAsia="黑体"/>
          <w:sz w:val="24"/>
        </w:rPr>
      </w:pPr>
      <w:r>
        <w:rPr>
          <w:rFonts w:hint="eastAsia" w:ascii="黑体" w:hAnsi="宋体" w:eastAsia="黑体"/>
          <w:sz w:val="24"/>
        </w:rPr>
        <w:t>28．开标</w:t>
      </w:r>
    </w:p>
    <w:p w14:paraId="4932EEFA">
      <w:pPr>
        <w:ind w:firstLine="359" w:firstLineChars="171"/>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p w14:paraId="0C512ABE">
      <w:pPr>
        <w:ind w:firstLine="315" w:firstLineChars="150"/>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4759D2A5">
      <w:pPr>
        <w:ind w:firstLine="315" w:firstLineChars="150"/>
        <w:rPr>
          <w:rFonts w:hint="eastAsia" w:ascii="宋体" w:hAnsi="宋体"/>
          <w:szCs w:val="21"/>
        </w:rPr>
      </w:pPr>
    </w:p>
    <w:p w14:paraId="4A12A016">
      <w:pPr>
        <w:pStyle w:val="8"/>
        <w:numPr>
          <w:ilvl w:val="0"/>
          <w:numId w:val="10"/>
        </w:numPr>
        <w:spacing w:before="120" w:beforeLines="50" w:after="120" w:afterLines="50"/>
        <w:ind w:left="562" w:hanging="562"/>
        <w:rPr>
          <w:rFonts w:hint="eastAsia"/>
          <w:sz w:val="28"/>
          <w:szCs w:val="28"/>
        </w:rPr>
      </w:pPr>
      <w:r>
        <w:rPr>
          <w:rFonts w:hint="eastAsia"/>
          <w:sz w:val="28"/>
          <w:szCs w:val="28"/>
        </w:rPr>
        <w:t>评审要求</w:t>
      </w:r>
    </w:p>
    <w:p w14:paraId="7E15DA13">
      <w:pPr>
        <w:rPr>
          <w:rFonts w:hint="eastAsia" w:ascii="黑体" w:hAnsi="宋体" w:eastAsia="黑体"/>
          <w:sz w:val="24"/>
        </w:rPr>
      </w:pPr>
      <w:r>
        <w:rPr>
          <w:rFonts w:hint="eastAsia" w:ascii="黑体" w:hAnsi="宋体" w:eastAsia="黑体"/>
          <w:sz w:val="24"/>
        </w:rPr>
        <w:t>29．评审委员会组成</w:t>
      </w:r>
    </w:p>
    <w:p w14:paraId="2A66A17E">
      <w:pPr>
        <w:ind w:firstLine="411" w:firstLineChars="196"/>
        <w:rPr>
          <w:rFonts w:hint="eastAsia"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14:paraId="357D5447">
      <w:pPr>
        <w:ind w:firstLine="411" w:firstLineChars="196"/>
        <w:rPr>
          <w:rFonts w:hint="eastAsia" w:ascii="宋体" w:hAnsi="宋体"/>
        </w:rPr>
      </w:pPr>
      <w:bookmarkStart w:id="104"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104"/>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14:paraId="4C4AB0DA">
      <w:pPr>
        <w:ind w:firstLine="411" w:firstLineChars="196"/>
        <w:rPr>
          <w:rFonts w:hint="eastAsia" w:ascii="宋体" w:hAnsi="宋体"/>
        </w:rPr>
      </w:pPr>
      <w:r>
        <w:rPr>
          <w:rFonts w:hint="eastAsia" w:ascii="宋体" w:hAnsi="宋体"/>
        </w:rPr>
        <w:t>29.2评审定标应当遵循公平、公正、科学、择优的原则。</w:t>
      </w:r>
    </w:p>
    <w:p w14:paraId="6A099ABA">
      <w:pPr>
        <w:ind w:firstLine="411" w:firstLineChars="196"/>
        <w:rPr>
          <w:rFonts w:hint="eastAsia" w:ascii="宋体" w:hAnsi="宋体"/>
        </w:rPr>
      </w:pPr>
      <w:r>
        <w:rPr>
          <w:rFonts w:hint="eastAsia" w:ascii="宋体" w:hAnsi="宋体"/>
        </w:rPr>
        <w:t>29.3评审活动依法进行，任何单位和个人不得非法干预评标过程和结果。</w:t>
      </w:r>
    </w:p>
    <w:p w14:paraId="5828BED1">
      <w:pPr>
        <w:ind w:firstLine="411" w:firstLineChars="196"/>
        <w:rPr>
          <w:rFonts w:hint="eastAsia" w:ascii="宋体" w:hAnsi="宋体"/>
        </w:rPr>
      </w:pPr>
      <w:r>
        <w:rPr>
          <w:rFonts w:hint="eastAsia" w:ascii="宋体" w:hAnsi="宋体"/>
        </w:rPr>
        <w:t>29.4评审过程中不允许违背评标程序或采用招标文件未载明的评标方法或评标因素进行评标。</w:t>
      </w:r>
    </w:p>
    <w:p w14:paraId="75908AA8">
      <w:pPr>
        <w:ind w:firstLine="411" w:firstLineChars="196"/>
        <w:rPr>
          <w:rFonts w:hint="eastAsia"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14:paraId="0CA35A2F">
      <w:pPr>
        <w:rPr>
          <w:rFonts w:hint="eastAsia" w:ascii="黑体" w:hAnsi="宋体" w:eastAsia="黑体"/>
          <w:sz w:val="24"/>
        </w:rPr>
      </w:pPr>
      <w:r>
        <w:rPr>
          <w:rFonts w:hint="eastAsia" w:ascii="黑体" w:hAnsi="宋体" w:eastAsia="黑体"/>
          <w:sz w:val="24"/>
        </w:rPr>
        <w:t>30．向评审委员会提供的资料</w:t>
      </w:r>
    </w:p>
    <w:p w14:paraId="13ADCFB2">
      <w:pPr>
        <w:ind w:firstLine="411" w:firstLineChars="196"/>
        <w:rPr>
          <w:rFonts w:hint="eastAsia" w:ascii="宋体" w:hAnsi="宋体"/>
        </w:rPr>
      </w:pPr>
      <w:r>
        <w:rPr>
          <w:rFonts w:hint="eastAsia" w:ascii="宋体" w:hAnsi="宋体"/>
        </w:rPr>
        <w:t>30.1公开发布的招标文件，包括图纸、服务清单、答疑文件等；</w:t>
      </w:r>
    </w:p>
    <w:p w14:paraId="44901492">
      <w:pPr>
        <w:ind w:firstLine="411" w:firstLineChars="196"/>
        <w:rPr>
          <w:rFonts w:hint="eastAsia" w:ascii="宋体" w:hAnsi="宋体"/>
        </w:rPr>
      </w:pPr>
      <w:r>
        <w:rPr>
          <w:rFonts w:hint="eastAsia" w:ascii="宋体" w:hAnsi="宋体"/>
        </w:rPr>
        <w:t>30.2其他评标必须的资料。</w:t>
      </w:r>
    </w:p>
    <w:p w14:paraId="2C21062A">
      <w:pPr>
        <w:ind w:firstLine="411" w:firstLineChars="196"/>
        <w:rPr>
          <w:rFonts w:hint="eastAsia"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20AE194F">
      <w:pPr>
        <w:ind w:firstLine="411" w:firstLineChars="196"/>
        <w:rPr>
          <w:rFonts w:hint="eastAsia" w:ascii="宋体" w:hAnsi="宋体"/>
        </w:rPr>
      </w:pPr>
      <w:r>
        <w:rPr>
          <w:rFonts w:hint="eastAsia" w:ascii="宋体" w:hAnsi="宋体"/>
        </w:rPr>
        <w:t>（1）招标的目的；</w:t>
      </w:r>
    </w:p>
    <w:p w14:paraId="64B75EB9">
      <w:pPr>
        <w:ind w:firstLine="411" w:firstLineChars="196"/>
        <w:rPr>
          <w:rFonts w:hint="eastAsia" w:ascii="宋体" w:hAnsi="宋体"/>
        </w:rPr>
      </w:pPr>
      <w:r>
        <w:rPr>
          <w:rFonts w:hint="eastAsia" w:ascii="宋体" w:hAnsi="宋体"/>
        </w:rPr>
        <w:t>（2）招标项目需求的范围和性质；</w:t>
      </w:r>
    </w:p>
    <w:p w14:paraId="17088147">
      <w:pPr>
        <w:ind w:firstLine="411" w:firstLineChars="196"/>
        <w:rPr>
          <w:rFonts w:hint="eastAsia" w:ascii="宋体" w:hAnsi="宋体"/>
        </w:rPr>
      </w:pPr>
      <w:r>
        <w:rPr>
          <w:rFonts w:hint="eastAsia" w:ascii="宋体" w:hAnsi="宋体"/>
        </w:rPr>
        <w:t>（3）招标文件规定的投标人的资格、财政预算限额、商务条款；</w:t>
      </w:r>
    </w:p>
    <w:p w14:paraId="74A13DB2">
      <w:pPr>
        <w:ind w:firstLine="411" w:firstLineChars="196"/>
        <w:rPr>
          <w:rFonts w:hint="eastAsia" w:ascii="宋体" w:hAnsi="宋体"/>
        </w:rPr>
      </w:pPr>
      <w:r>
        <w:rPr>
          <w:rFonts w:hint="eastAsia" w:ascii="宋体" w:hAnsi="宋体"/>
        </w:rPr>
        <w:t>（4）招标文件规定的评标程序、评标方法和评标因素；</w:t>
      </w:r>
    </w:p>
    <w:p w14:paraId="3DBB83B5">
      <w:pPr>
        <w:ind w:firstLine="411" w:firstLineChars="196"/>
        <w:rPr>
          <w:rFonts w:hint="eastAsia" w:ascii="宋体" w:hAnsi="宋体"/>
        </w:rPr>
      </w:pPr>
      <w:r>
        <w:rPr>
          <w:rFonts w:hint="eastAsia" w:ascii="宋体" w:hAnsi="宋体"/>
        </w:rPr>
        <w:t>（5）招标文件所列示的资格性审查表及符合性审查表。</w:t>
      </w:r>
    </w:p>
    <w:p w14:paraId="3E429BCF">
      <w:pPr>
        <w:rPr>
          <w:rFonts w:hint="eastAsia" w:ascii="黑体" w:hAnsi="宋体" w:eastAsia="黑体"/>
          <w:sz w:val="24"/>
        </w:rPr>
      </w:pPr>
      <w:r>
        <w:rPr>
          <w:rFonts w:hint="eastAsia" w:ascii="黑体" w:hAnsi="宋体" w:eastAsia="黑体"/>
          <w:sz w:val="24"/>
        </w:rPr>
        <w:t>31．独立评审</w:t>
      </w:r>
    </w:p>
    <w:p w14:paraId="328DB203">
      <w:pPr>
        <w:ind w:firstLine="411" w:firstLineChars="196"/>
        <w:rPr>
          <w:rFonts w:hint="eastAsia"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14:paraId="45F229F9">
      <w:pPr>
        <w:ind w:firstLine="411" w:firstLineChars="196"/>
        <w:rPr>
          <w:rFonts w:hint="eastAsia" w:ascii="宋体" w:hAnsi="宋体"/>
          <w:bCs/>
          <w:szCs w:val="21"/>
        </w:rPr>
      </w:pPr>
    </w:p>
    <w:p w14:paraId="4D5EECBB">
      <w:pPr>
        <w:pStyle w:val="8"/>
        <w:numPr>
          <w:ilvl w:val="0"/>
          <w:numId w:val="10"/>
        </w:numPr>
        <w:spacing w:before="120" w:beforeLines="50" w:after="120" w:afterLines="50"/>
        <w:ind w:left="562" w:hanging="562"/>
        <w:rPr>
          <w:rFonts w:hint="eastAsia"/>
          <w:sz w:val="28"/>
          <w:szCs w:val="28"/>
        </w:rPr>
      </w:pPr>
      <w:r>
        <w:rPr>
          <w:rFonts w:hint="eastAsia"/>
          <w:sz w:val="28"/>
          <w:szCs w:val="28"/>
        </w:rPr>
        <w:t>评审程序及评审方法</w:t>
      </w:r>
    </w:p>
    <w:p w14:paraId="79044869">
      <w:pPr>
        <w:rPr>
          <w:rFonts w:hint="eastAsia" w:ascii="黑体" w:hAnsi="宋体" w:eastAsia="黑体"/>
          <w:sz w:val="24"/>
        </w:rPr>
      </w:pPr>
      <w:r>
        <w:rPr>
          <w:rFonts w:hint="eastAsia" w:ascii="黑体" w:hAnsi="宋体" w:eastAsia="黑体"/>
          <w:sz w:val="24"/>
        </w:rPr>
        <w:t>32．投标文件初审</w:t>
      </w:r>
    </w:p>
    <w:p w14:paraId="7E0AD4A9">
      <w:pPr>
        <w:ind w:firstLine="411" w:firstLineChars="196"/>
        <w:rPr>
          <w:rFonts w:hint="eastAsia" w:ascii="宋体" w:hAnsi="宋体"/>
        </w:rPr>
      </w:pPr>
      <w:r>
        <w:rPr>
          <w:rFonts w:hint="eastAsia" w:ascii="宋体" w:hAnsi="宋体"/>
        </w:rPr>
        <w:t>32.1投标文件初审包括资格性审查和符合性审查。</w:t>
      </w:r>
    </w:p>
    <w:p w14:paraId="46ECDEB7">
      <w:pPr>
        <w:ind w:firstLine="411" w:firstLineChars="196"/>
        <w:rPr>
          <w:rFonts w:hint="eastAsia" w:ascii="宋体" w:hAnsi="宋体"/>
        </w:rPr>
      </w:pPr>
      <w:r>
        <w:rPr>
          <w:rFonts w:hint="eastAsia" w:ascii="宋体" w:hAnsi="宋体"/>
        </w:rPr>
        <w:t>资格性审查：依据法律法规和招标文件的规定，对投标文件中的资格证明等进行审查，以确定投标供应商是否具备投标资格。</w:t>
      </w:r>
    </w:p>
    <w:p w14:paraId="37583FB2">
      <w:pPr>
        <w:ind w:firstLine="411" w:firstLineChars="196"/>
        <w:rPr>
          <w:rFonts w:hint="eastAsia"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14:paraId="2867C98F">
      <w:pPr>
        <w:ind w:firstLine="411" w:firstLineChars="196"/>
        <w:rPr>
          <w:rFonts w:hint="eastAsia" w:ascii="宋体" w:hAnsi="宋体"/>
        </w:rPr>
      </w:pPr>
      <w:r>
        <w:rPr>
          <w:rFonts w:hint="eastAsia" w:ascii="宋体" w:hAnsi="宋体"/>
        </w:rPr>
        <w:t>32.2 投标文件初审内容请详见《资格性审查表》和《符合性审查表》部分。投标人若有一条审查不通过则按投标无效处理。</w:t>
      </w:r>
    </w:p>
    <w:p w14:paraId="2FD68585">
      <w:pPr>
        <w:ind w:firstLine="411" w:firstLineChars="196"/>
        <w:rPr>
          <w:rFonts w:hint="eastAsia" w:ascii="宋体" w:hAnsi="宋体"/>
          <w:bCs/>
        </w:rPr>
      </w:pPr>
      <w:r>
        <w:rPr>
          <w:rFonts w:hint="eastAsia" w:ascii="宋体" w:hAnsi="宋体"/>
          <w:bCs/>
        </w:rPr>
        <w:t>32.3 投标文件初审中关于供应商家数的计算:</w:t>
      </w:r>
    </w:p>
    <w:p w14:paraId="6885F9B2">
      <w:pPr>
        <w:ind w:firstLine="411" w:firstLineChars="196"/>
        <w:rPr>
          <w:rFonts w:hint="eastAsia" w:ascii="宋体" w:hAnsi="宋体"/>
          <w:bCs/>
        </w:rPr>
      </w:pPr>
      <w:r>
        <w:rPr>
          <w:rFonts w:hint="eastAsia" w:ascii="宋体" w:hAnsi="宋体"/>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439E2B9E">
      <w:pPr>
        <w:ind w:firstLine="411" w:firstLineChars="196"/>
        <w:rPr>
          <w:rFonts w:hint="eastAsia"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14:paraId="70E1C159">
      <w:pPr>
        <w:ind w:firstLine="411" w:firstLineChars="196"/>
        <w:rPr>
          <w:rFonts w:hint="eastAsia"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14:paraId="5DFD3C4F">
      <w:pPr>
        <w:ind w:firstLine="411" w:firstLineChars="196"/>
        <w:rPr>
          <w:rFonts w:hint="eastAsia" w:ascii="宋体" w:hAnsi="宋体"/>
        </w:rPr>
      </w:pPr>
      <w:r>
        <w:rPr>
          <w:rFonts w:hint="eastAsia" w:ascii="宋体" w:hAnsi="宋体"/>
        </w:rPr>
        <w:t>32.4投标人投标文件出现以下情形之一的作无效处理，具体包括：</w:t>
      </w:r>
    </w:p>
    <w:p w14:paraId="528487B5">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14:paraId="28A8ECAC">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14:paraId="3D60B90C">
      <w:pPr>
        <w:ind w:firstLine="411" w:firstLineChars="196"/>
        <w:rPr>
          <w:rFonts w:hint="eastAsia" w:ascii="宋体" w:hAnsi="宋体"/>
        </w:rPr>
      </w:pPr>
      <w:r>
        <w:rPr>
          <w:rFonts w:hint="eastAsia" w:ascii="宋体" w:hAnsi="宋体"/>
        </w:rPr>
        <w:t>32.4.3不同投标人的投标文件载明的项目管理成员或者联系人员为同一人；</w:t>
      </w:r>
    </w:p>
    <w:p w14:paraId="453FD266">
      <w:pPr>
        <w:ind w:firstLine="411" w:firstLineChars="196"/>
        <w:rPr>
          <w:rFonts w:hint="eastAsia" w:ascii="宋体" w:hAnsi="宋体"/>
        </w:rPr>
      </w:pPr>
      <w:r>
        <w:rPr>
          <w:rFonts w:hint="eastAsia" w:ascii="宋体" w:hAnsi="宋体"/>
        </w:rPr>
        <w:t>32.4.4不同投标人的投标文件异常一致或者投标报价呈规律性差异；</w:t>
      </w:r>
    </w:p>
    <w:p w14:paraId="6859D194">
      <w:pPr>
        <w:ind w:firstLine="411" w:firstLineChars="196"/>
        <w:rPr>
          <w:rFonts w:hint="eastAsia"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14:paraId="26EC89A1">
      <w:pPr>
        <w:ind w:firstLine="411" w:firstLineChars="196"/>
        <w:rPr>
          <w:rFonts w:hint="eastAsia" w:ascii="宋体" w:hAnsi="宋体"/>
        </w:rPr>
      </w:pPr>
      <w:r>
        <w:rPr>
          <w:rFonts w:hint="eastAsia" w:ascii="宋体" w:hAnsi="宋体"/>
        </w:rPr>
        <w:t>32.4.6投标供应商之间相互约定给予未中标的供应商利益补偿；</w:t>
      </w:r>
    </w:p>
    <w:p w14:paraId="285FD0D5">
      <w:pPr>
        <w:ind w:firstLine="411" w:firstLineChars="196"/>
        <w:rPr>
          <w:rFonts w:hint="eastAsia"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14:paraId="2E9DCD0E">
      <w:pPr>
        <w:ind w:firstLine="411" w:firstLineChars="196"/>
        <w:rPr>
          <w:rFonts w:hint="eastAsia" w:ascii="宋体" w:hAnsi="宋体"/>
        </w:rPr>
      </w:pPr>
      <w:r>
        <w:rPr>
          <w:rFonts w:hint="eastAsia" w:ascii="宋体" w:hAnsi="宋体"/>
        </w:rPr>
        <w:t>32.4.8不同投标供应商的投标文件内容存在非正常一致；</w:t>
      </w:r>
    </w:p>
    <w:p w14:paraId="4EE44F3C">
      <w:pPr>
        <w:ind w:firstLine="411" w:firstLineChars="196"/>
        <w:rPr>
          <w:rFonts w:hint="eastAsia" w:ascii="宋体" w:hAnsi="宋体"/>
        </w:rPr>
      </w:pPr>
      <w:r>
        <w:rPr>
          <w:rFonts w:hint="eastAsia" w:ascii="宋体" w:hAnsi="宋体"/>
        </w:rPr>
        <w:t>32.4.9在同一单位工作人员为两家以上（含两家）供应商进行同一项投标活动；</w:t>
      </w:r>
    </w:p>
    <w:p w14:paraId="3EE21989">
      <w:pPr>
        <w:ind w:firstLine="411" w:firstLineChars="196"/>
        <w:rPr>
          <w:rFonts w:hint="eastAsia" w:ascii="宋体" w:hAnsi="宋体"/>
        </w:rPr>
      </w:pPr>
      <w:r>
        <w:rPr>
          <w:rFonts w:hint="eastAsia" w:ascii="宋体" w:hAnsi="宋体"/>
        </w:rPr>
        <w:t>32.4.10主管部门依照法律、法规认定的其他情形。</w:t>
      </w:r>
    </w:p>
    <w:p w14:paraId="63020151">
      <w:pPr>
        <w:ind w:firstLine="420" w:firstLineChars="200"/>
        <w:rPr>
          <w:rFonts w:hint="eastAsia" w:ascii="宋体" w:hAnsi="宋体"/>
          <w:color w:val="FF0000"/>
        </w:rPr>
      </w:pPr>
      <w:r>
        <w:rPr>
          <w:rFonts w:hint="eastAsia" w:ascii="宋体" w:hAnsi="宋体"/>
          <w:color w:val="FF0000"/>
        </w:rPr>
        <w:t>32.5政府采购异常低价审查对的程序及要求：</w:t>
      </w:r>
    </w:p>
    <w:p w14:paraId="20818832">
      <w:pPr>
        <w:ind w:firstLine="420" w:firstLineChars="200"/>
        <w:rPr>
          <w:rFonts w:hint="eastAsia" w:ascii="宋体" w:hAnsi="宋体"/>
          <w:color w:val="FF0000"/>
        </w:rPr>
      </w:pPr>
      <w:r>
        <w:rPr>
          <w:rFonts w:hint="eastAsia" w:ascii="宋体" w:hAnsi="宋体"/>
          <w:color w:val="FF0000"/>
        </w:rPr>
        <w:t>32.5.1政府采购评审中出现下列情形之一的，评审委员会应当启动异常低价投标（响应）审查程序：</w:t>
      </w:r>
    </w:p>
    <w:p w14:paraId="447D45BF">
      <w:pPr>
        <w:ind w:firstLine="420" w:firstLineChars="200"/>
        <w:rPr>
          <w:rFonts w:hint="eastAsia" w:ascii="宋体" w:hAnsi="宋体"/>
          <w:color w:val="FF0000"/>
        </w:rPr>
      </w:pPr>
      <w:r>
        <w:rPr>
          <w:rFonts w:hint="eastAsia" w:ascii="宋体" w:hAnsi="宋体"/>
          <w:color w:val="FF0000"/>
        </w:rPr>
        <w:t>（1）投标（响应）报价低于全部通过符合性审查供应商投标（响应）报价平均值50%的，即投标（响应）报价&lt;全部通过符合性审查供应商投标（响应）报价平均值×50%；</w:t>
      </w:r>
    </w:p>
    <w:p w14:paraId="2BFCE011">
      <w:pPr>
        <w:ind w:firstLine="420" w:firstLineChars="200"/>
        <w:rPr>
          <w:rFonts w:hint="eastAsia" w:ascii="宋体" w:hAnsi="宋体"/>
          <w:color w:val="FF0000"/>
        </w:rPr>
      </w:pPr>
      <w:r>
        <w:rPr>
          <w:rFonts w:hint="eastAsia" w:ascii="宋体" w:hAnsi="宋体"/>
          <w:color w:val="FF0000"/>
        </w:rPr>
        <w:t>（2）投标（响应）报价低于通过符合性审查的次低报价供应商投标（响应）报价50%的，即投标（响应）报价&lt;通过符合性审查的次低报价供应商投标（响应）报价×50%；</w:t>
      </w:r>
    </w:p>
    <w:p w14:paraId="129DB9E4">
      <w:pPr>
        <w:ind w:firstLine="420" w:firstLineChars="200"/>
        <w:rPr>
          <w:rFonts w:hint="eastAsia" w:ascii="宋体" w:hAnsi="宋体"/>
          <w:color w:val="FF0000"/>
        </w:rPr>
      </w:pPr>
      <w:r>
        <w:rPr>
          <w:rFonts w:hint="eastAsia" w:ascii="宋体" w:hAnsi="宋体"/>
          <w:color w:val="FF0000"/>
        </w:rPr>
        <w:t>（3）投标（响应）报价低于采购项目最高限价45%的，即投标（响应）报价&lt;采购项目最高限价×45%；</w:t>
      </w:r>
    </w:p>
    <w:p w14:paraId="3989E2A9">
      <w:pPr>
        <w:ind w:firstLine="420" w:firstLineChars="200"/>
        <w:rPr>
          <w:rFonts w:hint="eastAsia" w:ascii="宋体" w:hAnsi="宋体"/>
          <w:color w:val="FF0000"/>
        </w:rPr>
      </w:pPr>
      <w:r>
        <w:rPr>
          <w:rFonts w:hint="eastAsia" w:ascii="宋体" w:hAnsi="宋体"/>
          <w:color w:val="FF0000"/>
        </w:rPr>
        <w:t>（4）评审委员会基于专业判断，认为供应商报价过低，有可能影响产品质量或者不能诚信履约的其他情形。</w:t>
      </w:r>
    </w:p>
    <w:p w14:paraId="4D9D8C3C">
      <w:pPr>
        <w:ind w:firstLine="420" w:firstLineChars="200"/>
        <w:rPr>
          <w:rFonts w:hint="eastAsia" w:ascii="宋体" w:hAnsi="宋体"/>
          <w:color w:val="FF0000"/>
        </w:rPr>
      </w:pPr>
      <w:r>
        <w:rPr>
          <w:rFonts w:hint="eastAsia" w:ascii="宋体" w:hAnsi="宋体"/>
          <w:color w:val="FF0000"/>
        </w:rPr>
        <w:t>采购人可以结合具体项目实际情况，提高上述第（1）项至第（3）项中启动异常低价投标（响应）审查的数值标准，但是最高不得超过65%，具体以采购文件《符合性审查表》为准。</w:t>
      </w:r>
    </w:p>
    <w:p w14:paraId="7897F008">
      <w:pPr>
        <w:ind w:firstLine="420" w:firstLineChars="200"/>
        <w:rPr>
          <w:rFonts w:hint="eastAsia" w:ascii="宋体" w:hAnsi="宋体"/>
          <w:color w:val="FF0000"/>
        </w:rPr>
      </w:pPr>
      <w:r>
        <w:rPr>
          <w:rFonts w:hint="eastAsia" w:ascii="宋体" w:hAnsi="宋体"/>
          <w:color w:val="FF0000"/>
        </w:rPr>
        <w:t>相关法律法规对供应商报价有规定的，从其规定。</w:t>
      </w:r>
    </w:p>
    <w:p w14:paraId="3BE844E1">
      <w:pPr>
        <w:ind w:firstLine="420" w:firstLineChars="200"/>
        <w:rPr>
          <w:rFonts w:hint="eastAsia" w:ascii="宋体" w:hAnsi="宋体"/>
          <w:color w:val="FF0000"/>
        </w:rPr>
      </w:pPr>
      <w:r>
        <w:rPr>
          <w:rFonts w:hint="eastAsia" w:ascii="宋体" w:hAnsi="宋体"/>
          <w:color w:val="FF0000"/>
        </w:rPr>
        <w:t>32.5.2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8A53412">
      <w:pPr>
        <w:pStyle w:val="39"/>
        <w:ind w:firstLine="420" w:firstLineChars="200"/>
        <w:rPr>
          <w:rFonts w:hint="eastAsia" w:ascii="宋体" w:hAnsi="宋体"/>
          <w:color w:val="FF0000"/>
        </w:rPr>
      </w:pPr>
      <w:r>
        <w:rPr>
          <w:rFonts w:hint="eastAsia" w:ascii="宋体" w:hAnsi="宋体"/>
          <w:color w:val="FF0000"/>
        </w:rPr>
        <w:t>32.5.3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F693B98">
      <w:pPr>
        <w:pStyle w:val="39"/>
        <w:ind w:firstLine="420" w:firstLineChars="200"/>
        <w:rPr>
          <w:rFonts w:hint="eastAsia" w:ascii="宋体" w:hAnsi="宋体"/>
          <w:color w:val="FF0000"/>
        </w:rPr>
      </w:pPr>
      <w:r>
        <w:rPr>
          <w:rFonts w:hint="eastAsia" w:ascii="宋体" w:hAnsi="宋体"/>
          <w:color w:val="FF0000"/>
        </w:rPr>
        <w:t>32.5.4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492F4BBB">
      <w:pPr>
        <w:pStyle w:val="39"/>
        <w:ind w:firstLine="420" w:firstLineChars="200"/>
        <w:rPr>
          <w:rFonts w:hint="eastAsia" w:ascii="宋体" w:hAnsi="宋体"/>
        </w:rPr>
      </w:pPr>
      <w:r>
        <w:rPr>
          <w:rFonts w:hint="eastAsia" w:ascii="宋体" w:hAnsi="宋体"/>
          <w:color w:val="FF0000"/>
        </w:rPr>
        <w:t>32.5.5异常低价投标（响应）审查的启动原因、审查意见和审查结果应当在评审报告中记录，并随供应商提供的相关书面说明及证明材料，以及评审委员会有关互联网浏览、查询历史一并归档。</w:t>
      </w:r>
    </w:p>
    <w:p w14:paraId="2A31898B">
      <w:pPr>
        <w:ind w:firstLine="420" w:firstLineChars="200"/>
        <w:rPr>
          <w:rFonts w:hint="eastAsia" w:ascii="宋体" w:hAnsi="宋体"/>
        </w:rPr>
      </w:pPr>
      <w:r>
        <w:rPr>
          <w:rFonts w:hint="eastAsia" w:ascii="宋体" w:hAnsi="宋体"/>
        </w:rPr>
        <w:t>32.6对不属于《资格性审查表》和《符合性审查表》所列的其他情形，除专用条款另有规定和32.4条款所列情形外，不得作为投标无效的理由。</w:t>
      </w:r>
    </w:p>
    <w:p w14:paraId="6F79507D">
      <w:pPr>
        <w:rPr>
          <w:rFonts w:hint="eastAsia" w:ascii="黑体" w:hAnsi="宋体" w:eastAsia="黑体"/>
          <w:sz w:val="24"/>
        </w:rPr>
      </w:pPr>
      <w:r>
        <w:rPr>
          <w:rFonts w:hint="eastAsia" w:ascii="黑体" w:hAnsi="宋体" w:eastAsia="黑体"/>
          <w:sz w:val="24"/>
        </w:rPr>
        <w:t>33．澄清有关问题</w:t>
      </w:r>
    </w:p>
    <w:p w14:paraId="7C5DC25C">
      <w:pPr>
        <w:ind w:firstLine="411" w:firstLineChars="196"/>
        <w:rPr>
          <w:rFonts w:hint="eastAsia" w:ascii="宋体" w:hAnsi="宋体"/>
        </w:rPr>
      </w:pPr>
      <w:bookmarkStart w:id="105"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105"/>
    </w:p>
    <w:p w14:paraId="1A24ECC4">
      <w:pPr>
        <w:ind w:firstLine="411" w:firstLineChars="196"/>
        <w:rPr>
          <w:rFonts w:hint="eastAsia"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5102AD02">
      <w:pPr>
        <w:ind w:firstLine="411" w:firstLineChars="196"/>
        <w:rPr>
          <w:rFonts w:hint="eastAsia"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75F18EC5">
      <w:pPr>
        <w:ind w:firstLine="411" w:firstLineChars="196"/>
        <w:rPr>
          <w:rFonts w:hint="eastAsia"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66FA8F39">
      <w:pPr>
        <w:ind w:firstLine="411" w:firstLineChars="196"/>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14:paraId="04DC2D2B">
      <w:pPr>
        <w:rPr>
          <w:rFonts w:hint="eastAsia" w:ascii="黑体" w:hAnsi="宋体" w:eastAsia="黑体"/>
          <w:sz w:val="24"/>
        </w:rPr>
      </w:pPr>
      <w:bookmarkStart w:id="106" w:name="_Toc73517673"/>
      <w:bookmarkStart w:id="107" w:name="_Toc73521669"/>
      <w:bookmarkStart w:id="108" w:name="_Toc73518151"/>
      <w:bookmarkStart w:id="109" w:name="_Toc73521581"/>
      <w:bookmarkStart w:id="110" w:name="_Toc100052400"/>
      <w:r>
        <w:rPr>
          <w:rFonts w:hint="eastAsia" w:ascii="黑体" w:hAnsi="宋体" w:eastAsia="黑体"/>
          <w:sz w:val="24"/>
        </w:rPr>
        <w:t>34．错误的修正</w:t>
      </w:r>
      <w:bookmarkEnd w:id="106"/>
      <w:bookmarkEnd w:id="107"/>
      <w:bookmarkEnd w:id="108"/>
      <w:bookmarkEnd w:id="109"/>
      <w:bookmarkEnd w:id="110"/>
    </w:p>
    <w:p w14:paraId="394A4121">
      <w:pPr>
        <w:ind w:firstLine="411" w:firstLineChars="196"/>
        <w:rPr>
          <w:rFonts w:hint="eastAsia" w:ascii="宋体" w:hAnsi="宋体"/>
          <w:szCs w:val="21"/>
        </w:rPr>
      </w:pPr>
      <w:r>
        <w:rPr>
          <w:rFonts w:hint="eastAsia" w:ascii="宋体" w:hAnsi="宋体"/>
          <w:szCs w:val="21"/>
        </w:rPr>
        <w:t>投标文件报价出现前后不一致的，除专用条款另有规定外，按照下列规定修正：</w:t>
      </w:r>
    </w:p>
    <w:p w14:paraId="0EF185AA">
      <w:pPr>
        <w:ind w:firstLine="411" w:firstLineChars="196"/>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14:paraId="549EDBF3">
      <w:pPr>
        <w:ind w:firstLine="411" w:firstLineChars="196"/>
        <w:rPr>
          <w:rFonts w:hint="eastAsia" w:ascii="宋体" w:hAnsi="宋体"/>
          <w:szCs w:val="21"/>
        </w:rPr>
      </w:pPr>
      <w:r>
        <w:rPr>
          <w:rFonts w:hint="eastAsia" w:ascii="宋体" w:hAnsi="宋体"/>
          <w:szCs w:val="21"/>
        </w:rPr>
        <w:t>34.2大写金额和小写金额不一致的，以大写金额为准；</w:t>
      </w:r>
    </w:p>
    <w:p w14:paraId="67664F38">
      <w:pPr>
        <w:ind w:firstLine="411" w:firstLineChars="196"/>
        <w:rPr>
          <w:rFonts w:hint="eastAsia" w:ascii="宋体" w:hAnsi="宋体"/>
          <w:szCs w:val="21"/>
        </w:rPr>
      </w:pPr>
      <w:r>
        <w:rPr>
          <w:rFonts w:hint="eastAsia" w:ascii="宋体" w:hAnsi="宋体"/>
          <w:szCs w:val="21"/>
        </w:rPr>
        <w:t>34.3单价金额小数点或者百分比有明显错位，以开标一览表的总价为准，并修改单价；</w:t>
      </w:r>
    </w:p>
    <w:p w14:paraId="1F49ED83">
      <w:pPr>
        <w:ind w:firstLine="411" w:firstLineChars="196"/>
        <w:rPr>
          <w:rFonts w:hint="eastAsia" w:ascii="宋体" w:hAnsi="宋体"/>
          <w:szCs w:val="21"/>
        </w:rPr>
      </w:pPr>
      <w:r>
        <w:rPr>
          <w:rFonts w:hint="eastAsia" w:ascii="宋体" w:hAnsi="宋体"/>
          <w:szCs w:val="21"/>
        </w:rPr>
        <w:t>34.4总价金额与按单价汇总金额不一致的，以单价金额计算结果为准。</w:t>
      </w:r>
    </w:p>
    <w:p w14:paraId="5827E186">
      <w:pPr>
        <w:ind w:firstLine="411" w:firstLineChars="196"/>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140000DC">
      <w:pPr>
        <w:rPr>
          <w:rFonts w:hint="eastAsia" w:ascii="黑体" w:hAnsi="宋体" w:eastAsia="黑体"/>
          <w:sz w:val="24"/>
        </w:rPr>
      </w:pPr>
      <w:r>
        <w:rPr>
          <w:rFonts w:hint="eastAsia" w:ascii="黑体" w:hAnsi="宋体" w:eastAsia="黑体"/>
          <w:sz w:val="24"/>
        </w:rPr>
        <w:t>35．投标文件的比较与评价</w:t>
      </w:r>
    </w:p>
    <w:p w14:paraId="1D75306C">
      <w:pPr>
        <w:ind w:firstLine="411" w:firstLineChars="196"/>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21969A12">
      <w:pPr>
        <w:ind w:firstLine="411" w:firstLineChars="196"/>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531BB391">
      <w:pPr>
        <w:rPr>
          <w:rFonts w:hint="eastAsia" w:ascii="黑体" w:hAnsi="宋体" w:eastAsia="黑体"/>
          <w:sz w:val="24"/>
        </w:rPr>
      </w:pPr>
      <w:r>
        <w:rPr>
          <w:rFonts w:hint="eastAsia" w:ascii="黑体" w:hAnsi="宋体" w:eastAsia="黑体"/>
          <w:sz w:val="24"/>
        </w:rPr>
        <w:t>36. 实地考察或资料查验</w:t>
      </w:r>
    </w:p>
    <w:p w14:paraId="299C4686">
      <w:pPr>
        <w:ind w:firstLine="420" w:firstLineChars="200"/>
        <w:rPr>
          <w:rFonts w:hint="eastAsia" w:ascii="宋体" w:hAnsi="宋体"/>
          <w:szCs w:val="21"/>
        </w:rPr>
      </w:pPr>
      <w:r>
        <w:rPr>
          <w:rFonts w:hint="eastAsia" w:ascii="宋体" w:hAnsi="宋体"/>
          <w:szCs w:val="21"/>
        </w:rPr>
        <w:t>36.1在评审期间，评审委员会根据招标文件规定（详见“一、对通用条款的补充内容”），有权对本项目的投标人开展实地考察，投标人需时刻做好接收实地考察的准备。</w:t>
      </w:r>
    </w:p>
    <w:p w14:paraId="45AE9C28">
      <w:pPr>
        <w:rPr>
          <w:rFonts w:hint="eastAsia" w:ascii="黑体" w:hAnsi="宋体" w:eastAsia="黑体"/>
          <w:sz w:val="24"/>
        </w:rPr>
      </w:pPr>
      <w:r>
        <w:rPr>
          <w:rFonts w:hint="eastAsia" w:ascii="黑体" w:hAnsi="宋体" w:eastAsia="黑体"/>
          <w:sz w:val="24"/>
        </w:rPr>
        <w:t>37．评审方法</w:t>
      </w:r>
    </w:p>
    <w:p w14:paraId="1F6EB8D6">
      <w:pPr>
        <w:ind w:firstLine="413" w:firstLineChars="196"/>
        <w:rPr>
          <w:rFonts w:hint="eastAsia" w:ascii="宋体" w:hAnsi="宋体"/>
          <w:b/>
          <w:bCs/>
          <w:szCs w:val="21"/>
        </w:rPr>
      </w:pPr>
      <w:r>
        <w:rPr>
          <w:rFonts w:hint="eastAsia" w:ascii="宋体" w:hAnsi="宋体"/>
          <w:b/>
          <w:bCs/>
          <w:szCs w:val="21"/>
        </w:rPr>
        <w:t>37.1.1最低价法</w:t>
      </w:r>
    </w:p>
    <w:p w14:paraId="20395AA7">
      <w:pPr>
        <w:ind w:firstLine="411" w:firstLineChars="196"/>
        <w:rPr>
          <w:rFonts w:hint="eastAsia" w:ascii="ˎ̥" w:hAnsi="ˎ̥"/>
        </w:rPr>
      </w:pPr>
      <w:bookmarkStart w:id="111" w:name="_Hlk72438142"/>
      <w:r>
        <w:rPr>
          <w:rFonts w:ascii="ˎ̥" w:hAnsi="ˎ̥"/>
        </w:rPr>
        <w:t>最低价法，</w:t>
      </w:r>
      <w:r>
        <w:rPr>
          <w:rFonts w:hint="eastAsia" w:ascii="ˎ̥" w:hAnsi="ˎ̥"/>
        </w:rPr>
        <w:t>是指投标文件满足招标文件全部实质性要求，且投标报价最低的投标人为中标候选人的评标方法。</w:t>
      </w:r>
    </w:p>
    <w:p w14:paraId="27D433B6">
      <w:pPr>
        <w:ind w:firstLine="411" w:firstLineChars="196"/>
        <w:rPr>
          <w:rFonts w:hint="eastAsia" w:ascii="ˎ̥" w:hAnsi="ˎ̥"/>
        </w:rPr>
      </w:pPr>
      <w:r>
        <w:rPr>
          <w:rFonts w:hint="eastAsia" w:ascii="ˎ̥" w:hAnsi="ˎ̥"/>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14AAAA6F">
      <w:pPr>
        <w:ind w:firstLine="413" w:firstLineChars="196"/>
        <w:rPr>
          <w:rFonts w:hint="eastAsia" w:ascii="宋体" w:hAnsi="宋体"/>
          <w:b/>
          <w:bCs/>
          <w:szCs w:val="21"/>
        </w:rPr>
      </w:pPr>
      <w:r>
        <w:rPr>
          <w:rFonts w:hint="eastAsia" w:ascii="宋体" w:hAnsi="宋体"/>
          <w:b/>
          <w:bCs/>
          <w:szCs w:val="21"/>
        </w:rPr>
        <w:t>37.1.2综合评分法</w:t>
      </w:r>
    </w:p>
    <w:p w14:paraId="6E8791FC">
      <w:pPr>
        <w:ind w:firstLine="411" w:firstLineChars="196"/>
        <w:rPr>
          <w:rFonts w:hint="eastAsia" w:ascii="ˎ̥" w:hAnsi="ˎ̥"/>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bookmarkEnd w:id="111"/>
      <w:r>
        <w:rPr>
          <w:rFonts w:hint="eastAsia" w:ascii="ˎ̥" w:hAnsi="ˎ̥"/>
        </w:rPr>
        <w:t>。</w:t>
      </w:r>
    </w:p>
    <w:p w14:paraId="3A4E1BE2">
      <w:pPr>
        <w:ind w:firstLine="411" w:firstLineChars="196"/>
        <w:rPr>
          <w:rFonts w:hint="eastAsia" w:ascii="ˎ̥" w:hAnsi="ˎ̥"/>
        </w:rPr>
      </w:pPr>
      <w:r>
        <w:rPr>
          <w:rFonts w:hint="eastAsia" w:ascii="ˎ̥" w:hAnsi="ˎ̥"/>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40FF164E">
      <w:pPr>
        <w:ind w:firstLine="413" w:firstLineChars="196"/>
        <w:rPr>
          <w:rFonts w:hint="eastAsia" w:ascii="宋体" w:hAnsi="宋体"/>
          <w:b/>
          <w:bCs/>
          <w:szCs w:val="21"/>
        </w:rPr>
      </w:pPr>
      <w:r>
        <w:rPr>
          <w:rFonts w:hint="eastAsia" w:ascii="宋体" w:hAnsi="宋体"/>
          <w:b/>
          <w:bCs/>
          <w:szCs w:val="21"/>
        </w:rPr>
        <w:t>37.2本项目采用的评审方法见本项目招标文件第一册“专用条款”的相关内容。</w:t>
      </w:r>
    </w:p>
    <w:p w14:paraId="467977A3">
      <w:pPr>
        <w:ind w:firstLine="413" w:firstLineChars="196"/>
        <w:rPr>
          <w:rFonts w:hint="eastAsia" w:ascii="宋体" w:hAnsi="宋体"/>
          <w:b/>
          <w:bCs/>
          <w:szCs w:val="21"/>
        </w:rPr>
      </w:pPr>
      <w:r>
        <w:rPr>
          <w:rFonts w:hint="eastAsia" w:ascii="宋体" w:hAnsi="宋体"/>
          <w:b/>
          <w:bCs/>
          <w:szCs w:val="21"/>
        </w:rPr>
        <w:t>37.3重新评审的情形</w:t>
      </w:r>
    </w:p>
    <w:p w14:paraId="06D7814F">
      <w:pPr>
        <w:ind w:firstLine="411" w:firstLineChars="196"/>
        <w:rPr>
          <w:rFonts w:hint="eastAsia" w:ascii="宋体" w:hAnsi="宋体"/>
          <w:b/>
          <w:bCs/>
          <w:szCs w:val="21"/>
        </w:rPr>
      </w:pPr>
      <w:r>
        <w:rPr>
          <w:rFonts w:hint="eastAsia" w:ascii="宋体" w:hAnsi="宋体" w:cs="宋体"/>
          <w:kern w:val="0"/>
          <w:szCs w:val="21"/>
        </w:rPr>
        <w:t>评审结果汇总完成后，除下列情形外，任何人不得修改评审结果：</w:t>
      </w:r>
    </w:p>
    <w:p w14:paraId="6E287AE8">
      <w:pPr>
        <w:ind w:firstLine="411" w:firstLineChars="196"/>
        <w:rPr>
          <w:rFonts w:hint="eastAsia" w:ascii="宋体" w:hAnsi="宋体" w:cs="宋体"/>
          <w:kern w:val="0"/>
          <w:szCs w:val="21"/>
        </w:rPr>
      </w:pPr>
      <w:r>
        <w:rPr>
          <w:rFonts w:hint="eastAsia" w:ascii="宋体" w:hAnsi="宋体" w:cs="宋体"/>
          <w:kern w:val="0"/>
          <w:szCs w:val="21"/>
        </w:rPr>
        <w:t>37.3.1分值汇总计算错误的；</w:t>
      </w:r>
    </w:p>
    <w:p w14:paraId="6ECF2041">
      <w:pPr>
        <w:ind w:firstLine="411" w:firstLineChars="196"/>
        <w:rPr>
          <w:rFonts w:hint="eastAsia" w:ascii="宋体" w:hAnsi="宋体" w:cs="宋体"/>
          <w:kern w:val="0"/>
          <w:szCs w:val="21"/>
        </w:rPr>
      </w:pPr>
      <w:r>
        <w:rPr>
          <w:rFonts w:hint="eastAsia" w:ascii="宋体" w:hAnsi="宋体" w:cs="宋体"/>
          <w:kern w:val="0"/>
          <w:szCs w:val="21"/>
        </w:rPr>
        <w:t>37.3.2分项评分超出评分标准范围的；</w:t>
      </w:r>
    </w:p>
    <w:p w14:paraId="1F92B96A">
      <w:pPr>
        <w:ind w:firstLine="411" w:firstLineChars="196"/>
        <w:rPr>
          <w:rFonts w:hint="eastAsia" w:ascii="宋体" w:hAnsi="宋体" w:cs="宋体"/>
          <w:kern w:val="0"/>
          <w:szCs w:val="21"/>
        </w:rPr>
      </w:pPr>
      <w:r>
        <w:rPr>
          <w:rFonts w:hint="eastAsia" w:ascii="宋体" w:hAnsi="宋体" w:cs="宋体"/>
          <w:kern w:val="0"/>
          <w:szCs w:val="21"/>
        </w:rPr>
        <w:t>37.3.3评审委员会成员对客观评审因素评分不一致的；</w:t>
      </w:r>
    </w:p>
    <w:p w14:paraId="45126D0C">
      <w:pPr>
        <w:ind w:firstLine="411" w:firstLineChars="196"/>
        <w:rPr>
          <w:rFonts w:hint="eastAsia" w:ascii="宋体" w:hAnsi="宋体" w:cs="宋体"/>
          <w:kern w:val="0"/>
          <w:szCs w:val="21"/>
        </w:rPr>
      </w:pPr>
      <w:r>
        <w:rPr>
          <w:rFonts w:hint="eastAsia" w:ascii="宋体" w:hAnsi="宋体" w:cs="宋体"/>
          <w:kern w:val="0"/>
          <w:szCs w:val="21"/>
        </w:rPr>
        <w:t>37.3.4经评审委员会认定评分畸高、畸低的。</w:t>
      </w:r>
    </w:p>
    <w:p w14:paraId="47D62C29">
      <w:pPr>
        <w:ind w:firstLine="411" w:firstLineChars="196"/>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226E7F82">
      <w:pPr>
        <w:ind w:firstLine="411" w:firstLineChars="196"/>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56D275EE">
      <w:pPr>
        <w:ind w:firstLine="413" w:firstLineChars="196"/>
        <w:rPr>
          <w:rFonts w:hint="eastAsia" w:ascii="宋体" w:hAnsi="宋体"/>
          <w:b/>
          <w:bCs/>
          <w:szCs w:val="21"/>
        </w:rPr>
      </w:pPr>
      <w:r>
        <w:rPr>
          <w:rFonts w:hint="eastAsia" w:ascii="宋体" w:hAnsi="宋体"/>
          <w:b/>
          <w:bCs/>
          <w:szCs w:val="21"/>
        </w:rPr>
        <w:t>37.4重新组建评审委员会的情形</w:t>
      </w:r>
    </w:p>
    <w:p w14:paraId="65A83BD8">
      <w:pPr>
        <w:ind w:firstLine="411" w:firstLineChars="196"/>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1FA4296">
      <w:pPr>
        <w:ind w:firstLine="411" w:firstLineChars="196"/>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37659DEB">
      <w:pPr>
        <w:ind w:firstLine="411" w:firstLineChars="196"/>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2CA79DBB">
      <w:pPr>
        <w:ind w:firstLine="411" w:firstLineChars="196"/>
        <w:rPr>
          <w:rFonts w:hint="eastAsia" w:ascii="宋体" w:hAnsi="宋体" w:cs="宋体"/>
          <w:kern w:val="0"/>
          <w:szCs w:val="21"/>
        </w:rPr>
      </w:pPr>
      <w:r>
        <w:rPr>
          <w:rFonts w:hint="eastAsia" w:ascii="宋体" w:hAnsi="宋体" w:cs="宋体"/>
          <w:kern w:val="0"/>
          <w:szCs w:val="21"/>
        </w:rPr>
        <w:t>37.4.3评审委员会及其成员独立评标受到非法干预的；</w:t>
      </w:r>
    </w:p>
    <w:p w14:paraId="688FC7B0">
      <w:pPr>
        <w:ind w:firstLine="411" w:firstLineChars="196"/>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14:paraId="20BB6892">
      <w:pPr>
        <w:ind w:firstLine="411" w:firstLineChars="196"/>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4A1729C">
      <w:pPr>
        <w:ind w:firstLine="411" w:firstLineChars="196"/>
        <w:rPr>
          <w:rFonts w:hint="eastAsia" w:ascii="宋体" w:hAnsi="宋体"/>
          <w:szCs w:val="21"/>
        </w:rPr>
      </w:pPr>
    </w:p>
    <w:p w14:paraId="7D926CBC">
      <w:pPr>
        <w:pStyle w:val="8"/>
        <w:numPr>
          <w:ilvl w:val="0"/>
          <w:numId w:val="10"/>
        </w:numPr>
        <w:spacing w:before="120" w:beforeLines="50" w:after="120" w:afterLines="50"/>
        <w:ind w:left="562" w:hanging="562"/>
        <w:rPr>
          <w:rFonts w:hint="eastAsia"/>
          <w:sz w:val="28"/>
          <w:szCs w:val="28"/>
        </w:rPr>
      </w:pPr>
      <w:r>
        <w:rPr>
          <w:rFonts w:hint="eastAsia"/>
          <w:sz w:val="28"/>
          <w:szCs w:val="28"/>
        </w:rPr>
        <w:t>定标及公示</w:t>
      </w:r>
    </w:p>
    <w:p w14:paraId="6DE4E723">
      <w:pPr>
        <w:rPr>
          <w:rFonts w:hint="eastAsia" w:ascii="黑体" w:hAnsi="宋体" w:eastAsia="黑体"/>
          <w:sz w:val="24"/>
        </w:rPr>
      </w:pPr>
      <w:r>
        <w:rPr>
          <w:rFonts w:hint="eastAsia" w:ascii="黑体" w:hAnsi="宋体" w:eastAsia="黑体"/>
          <w:sz w:val="24"/>
        </w:rPr>
        <w:t>38．定标方法</w:t>
      </w:r>
    </w:p>
    <w:p w14:paraId="3422EAD7">
      <w:pPr>
        <w:ind w:firstLine="411" w:firstLineChars="196"/>
        <w:rPr>
          <w:rFonts w:hint="eastAsia" w:ascii="宋体" w:hAnsi="宋体"/>
          <w:szCs w:val="21"/>
        </w:rPr>
      </w:pPr>
      <w:bookmarkStart w:id="112" w:name="_Hlk73782795"/>
      <w:r>
        <w:rPr>
          <w:rFonts w:hint="eastAsia" w:ascii="宋体" w:hAnsi="宋体"/>
          <w:szCs w:val="21"/>
        </w:rPr>
        <w:t>38.1非评定分离项目定标方法</w:t>
      </w:r>
    </w:p>
    <w:p w14:paraId="16B7A90D">
      <w:pPr>
        <w:ind w:firstLine="411" w:firstLineChars="196"/>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3D9A2176">
      <w:pPr>
        <w:ind w:firstLine="411" w:firstLineChars="196"/>
        <w:rPr>
          <w:rFonts w:hint="eastAsia" w:ascii="ˎ̥" w:hAnsi="ˎ̥"/>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rPr>
        <w:t>采用最低价法的，评</w:t>
      </w:r>
      <w:r>
        <w:rPr>
          <w:rFonts w:hint="eastAsia" w:ascii="ˎ̥" w:hAnsi="ˎ̥"/>
        </w:rPr>
        <w:t>审</w:t>
      </w:r>
      <w:r>
        <w:rPr>
          <w:rFonts w:ascii="ˎ̥" w:hAnsi="ˎ̥"/>
        </w:rPr>
        <w:t>结果按投标报价由低到高顺序排列。投标报价相同的并列。投标文件满足招标文件全部实质性要求且投标报价最低的</w:t>
      </w:r>
      <w:r>
        <w:rPr>
          <w:rFonts w:hint="eastAsia" w:ascii="ˎ̥" w:hAnsi="ˎ̥"/>
        </w:rPr>
        <w:t>投标人为</w:t>
      </w:r>
      <w:bookmarkStart w:id="113" w:name="_Hlk73821177"/>
      <w:r>
        <w:rPr>
          <w:rFonts w:hint="eastAsia" w:ascii="ˎ̥" w:hAnsi="ˎ̥"/>
        </w:rPr>
        <w:t>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bookmarkEnd w:id="113"/>
      <w:r>
        <w:rPr>
          <w:rFonts w:ascii="ˎ̥" w:hAnsi="ˎ̥"/>
        </w:rPr>
        <w:t>）。</w:t>
      </w:r>
    </w:p>
    <w:p w14:paraId="42B5F7DB">
      <w:pPr>
        <w:ind w:firstLine="411" w:firstLineChars="196"/>
        <w:rPr>
          <w:rFonts w:hint="eastAsia" w:ascii="ˎ̥" w:hAnsi="ˎ̥"/>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rPr>
        <w:t>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r>
        <w:rPr>
          <w:rFonts w:hint="eastAsia" w:ascii="ˎ̥" w:hAnsi="ˎ̥"/>
        </w:rPr>
        <w:t>出现</w:t>
      </w:r>
      <w:r>
        <w:rPr>
          <w:rFonts w:ascii="ˎ̥" w:hAnsi="ˎ̥"/>
        </w:rPr>
        <w:t>得分且投标报价相同的并列</w:t>
      </w:r>
      <w:r>
        <w:rPr>
          <w:rFonts w:hint="eastAsia" w:ascii="ˎ̥" w:hAnsi="ˎ̥"/>
        </w:rPr>
        <w:t>情况时，采取随机抽取的方式确定，具体操作办法及流程由评审委员会确定。</w:t>
      </w:r>
    </w:p>
    <w:p w14:paraId="3CB5E04E">
      <w:pPr>
        <w:ind w:firstLine="411" w:firstLineChars="196"/>
        <w:rPr>
          <w:rFonts w:hint="eastAsia" w:ascii="宋体" w:hAnsi="宋体"/>
          <w:szCs w:val="21"/>
        </w:rPr>
      </w:pPr>
      <w:r>
        <w:rPr>
          <w:rFonts w:hint="eastAsia" w:ascii="宋体" w:hAnsi="宋体"/>
          <w:szCs w:val="21"/>
        </w:rPr>
        <w:t>38.2评定分离项目定标方法</w:t>
      </w:r>
    </w:p>
    <w:p w14:paraId="00B3B0C0">
      <w:pPr>
        <w:ind w:firstLine="411" w:firstLineChars="196"/>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1722F607">
      <w:pPr>
        <w:ind w:firstLine="411" w:firstLineChars="196"/>
      </w:pPr>
      <w:r>
        <w:rPr>
          <w:rFonts w:ascii="宋体" w:hAnsi="宋体"/>
          <w:szCs w:val="21"/>
        </w:rPr>
        <w:t xml:space="preserve">38.2.2 </w:t>
      </w:r>
      <w:bookmarkStart w:id="114"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14:paraId="3202959B">
      <w:pPr>
        <w:ind w:firstLine="411" w:firstLineChars="196"/>
        <w:rPr>
          <w:rFonts w:hint="eastAsia" w:ascii="宋体" w:hAnsi="宋体"/>
          <w:szCs w:val="21"/>
        </w:rPr>
      </w:pPr>
      <w:r>
        <w:rPr>
          <w:rFonts w:hint="eastAsia" w:ascii="宋体" w:hAnsi="宋体"/>
          <w:szCs w:val="21"/>
        </w:rPr>
        <w:t>38.2.3</w:t>
      </w:r>
      <w:bookmarkStart w:id="115"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114"/>
      <w:bookmarkEnd w:id="115"/>
    </w:p>
    <w:p w14:paraId="126C5491">
      <w:pPr>
        <w:ind w:firstLine="411" w:firstLineChars="196"/>
        <w:rPr>
          <w:rFonts w:hint="eastAsia"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政府集中采购机构。具体定标程序及相关要求以按照《深圳市财政局关于&lt;深圳市政府采购评标定标分离管理办法&gt;续期的通知》（深财规〔2023〕1号）执行。</w:t>
      </w:r>
    </w:p>
    <w:p w14:paraId="3144F9AD">
      <w:pPr>
        <w:ind w:firstLine="411" w:firstLineChars="196"/>
        <w:rPr>
          <w:rFonts w:hint="eastAsia" w:ascii="宋体" w:hAnsi="宋体"/>
          <w:szCs w:val="21"/>
        </w:rPr>
      </w:pPr>
      <w:r>
        <w:rPr>
          <w:rFonts w:hint="eastAsia" w:ascii="宋体" w:hAnsi="宋体"/>
          <w:szCs w:val="21"/>
        </w:rPr>
        <w:t>说明：采购人及投标供应商应按照上述方法提前做好相关准备。</w:t>
      </w:r>
    </w:p>
    <w:p w14:paraId="70D15805">
      <w:pPr>
        <w:ind w:firstLine="411" w:firstLineChars="196"/>
        <w:rPr>
          <w:rFonts w:hint="eastAsia" w:ascii="宋体" w:hAnsi="宋体"/>
          <w:szCs w:val="21"/>
        </w:rPr>
      </w:pPr>
      <w:r>
        <w:rPr>
          <w:rFonts w:hint="eastAsia" w:ascii="宋体" w:hAnsi="宋体"/>
          <w:szCs w:val="21"/>
        </w:rPr>
        <w:t>38.3专用条款另有规定的，按专用条款相关要求定标。</w:t>
      </w:r>
      <w:bookmarkEnd w:id="112"/>
    </w:p>
    <w:p w14:paraId="256F55F2">
      <w:pPr>
        <w:rPr>
          <w:rFonts w:hint="eastAsia" w:ascii="黑体" w:hAnsi="宋体" w:eastAsia="黑体"/>
          <w:sz w:val="24"/>
        </w:rPr>
      </w:pPr>
      <w:r>
        <w:rPr>
          <w:rFonts w:hint="eastAsia" w:ascii="黑体" w:hAnsi="宋体" w:eastAsia="黑体"/>
          <w:sz w:val="24"/>
        </w:rPr>
        <w:t>39．编写评审报告</w:t>
      </w:r>
    </w:p>
    <w:p w14:paraId="42F44D4E">
      <w:pPr>
        <w:ind w:firstLine="411" w:firstLineChars="196"/>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56826789">
      <w:pPr>
        <w:rPr>
          <w:rFonts w:hint="eastAsia" w:ascii="黑体" w:hAnsi="宋体" w:eastAsia="黑体"/>
          <w:sz w:val="24"/>
        </w:rPr>
      </w:pPr>
      <w:r>
        <w:rPr>
          <w:rFonts w:hint="eastAsia" w:ascii="黑体" w:hAnsi="宋体" w:eastAsia="黑体"/>
          <w:sz w:val="24"/>
        </w:rPr>
        <w:t>40．中标公告</w:t>
      </w:r>
    </w:p>
    <w:p w14:paraId="6462FA85">
      <w:pPr>
        <w:ind w:firstLine="411" w:firstLineChars="196"/>
        <w:rPr>
          <w:rFonts w:hint="eastAsia" w:ascii="宋体" w:hAnsi="宋体"/>
          <w:szCs w:val="21"/>
        </w:rPr>
      </w:pPr>
      <w:r>
        <w:rPr>
          <w:rFonts w:hint="eastAsia" w:ascii="宋体" w:hAnsi="宋体"/>
          <w:szCs w:val="21"/>
        </w:rPr>
        <w:t>40.1</w:t>
      </w:r>
      <w:bookmarkStart w:id="116"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szCs w:val="21"/>
        </w:rPr>
        <w:t>深圳公共资源交易网（https://szggzy.com/）</w:t>
      </w:r>
      <w:r>
        <w:rPr>
          <w:rFonts w:hint="eastAsia" w:ascii="宋体" w:hAnsi="宋体"/>
          <w:szCs w:val="21"/>
        </w:rPr>
        <w:t>上发布中标结果公告。</w:t>
      </w:r>
      <w:bookmarkEnd w:id="116"/>
      <w:bookmarkStart w:id="117"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 监督电话：0755-83948143。</w:t>
      </w:r>
      <w:r>
        <w:rPr>
          <w:rFonts w:hint="eastAsia" w:ascii="宋体" w:hAnsi="宋体"/>
          <w:szCs w:val="21"/>
        </w:rPr>
        <w:t>若在公示期内未提出质疑，则视为认同该评审结果。</w:t>
      </w:r>
    </w:p>
    <w:bookmarkEnd w:id="117"/>
    <w:p w14:paraId="5E04486F">
      <w:pPr>
        <w:ind w:firstLine="411" w:firstLineChars="196"/>
        <w:rPr>
          <w:rFonts w:hint="eastAsia" w:ascii="宋体" w:hAnsi="宋体"/>
          <w:szCs w:val="21"/>
        </w:rPr>
      </w:pPr>
      <w:r>
        <w:rPr>
          <w:rFonts w:hint="eastAsia" w:ascii="宋体" w:hAnsi="宋体"/>
          <w:szCs w:val="21"/>
        </w:rPr>
        <w:t>40.2质疑、投诉供应商应保证质疑、投诉内容的真实性和可靠性，并承担相应的法律责任。</w:t>
      </w:r>
    </w:p>
    <w:p w14:paraId="6AE4B6F6">
      <w:pPr>
        <w:rPr>
          <w:rFonts w:hint="eastAsia" w:ascii="黑体" w:hAnsi="宋体" w:eastAsia="黑体"/>
          <w:sz w:val="24"/>
        </w:rPr>
      </w:pPr>
      <w:r>
        <w:rPr>
          <w:rFonts w:hint="eastAsia" w:ascii="黑体" w:hAnsi="宋体" w:eastAsia="黑体"/>
          <w:sz w:val="24"/>
        </w:rPr>
        <w:t>41．中标通知书</w:t>
      </w:r>
    </w:p>
    <w:p w14:paraId="483F6D4D">
      <w:pPr>
        <w:ind w:firstLine="411" w:firstLineChars="196"/>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8" w:name="_Hlk72438863"/>
      <w:r>
        <w:rPr>
          <w:rFonts w:hint="eastAsia" w:ascii="宋体" w:hAnsi="宋体"/>
          <w:szCs w:val="21"/>
        </w:rPr>
        <w:t>中标公告公布以后无异常的情况下,中标供应商和采购人可自行在</w:t>
      </w:r>
      <w:r>
        <w:rPr>
          <w:rFonts w:hint="eastAsia" w:ascii="宋体" w:hAnsi="宋体"/>
          <w:b/>
          <w:bCs/>
          <w:szCs w:val="21"/>
        </w:rPr>
        <w:t>“深圳政府采购智慧平台（http://zfcg.szggzy.com:8081/）”</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8"/>
    </w:p>
    <w:p w14:paraId="02754209">
      <w:pPr>
        <w:ind w:firstLine="411" w:firstLineChars="196"/>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761FD850">
      <w:pPr>
        <w:ind w:firstLine="411" w:firstLineChars="196"/>
        <w:rPr>
          <w:rFonts w:hint="eastAsia" w:ascii="宋体" w:hAnsi="宋体"/>
          <w:szCs w:val="21"/>
        </w:rPr>
      </w:pPr>
      <w:bookmarkStart w:id="119" w:name="_Hlk71407340"/>
      <w:r>
        <w:rPr>
          <w:rFonts w:hint="eastAsia" w:ascii="宋体" w:hAnsi="宋体"/>
          <w:szCs w:val="21"/>
        </w:rPr>
        <w:t>41.3因质疑投诉或其它原因导致项目结果变更或采购终止的，政府集中采购机构有权吊销中标通知书。</w:t>
      </w:r>
    </w:p>
    <w:bookmarkEnd w:id="119"/>
    <w:p w14:paraId="78650E6D">
      <w:pPr>
        <w:ind w:firstLine="411" w:firstLineChars="196"/>
        <w:rPr>
          <w:rFonts w:hint="eastAsia" w:ascii="宋体" w:hAnsi="宋体"/>
          <w:szCs w:val="21"/>
        </w:rPr>
      </w:pPr>
    </w:p>
    <w:p w14:paraId="4CD0C63E">
      <w:pPr>
        <w:pStyle w:val="8"/>
        <w:numPr>
          <w:ilvl w:val="0"/>
          <w:numId w:val="10"/>
        </w:numPr>
        <w:spacing w:before="120" w:beforeLines="50" w:after="120" w:afterLines="50"/>
        <w:ind w:left="562" w:hanging="562"/>
        <w:rPr>
          <w:rFonts w:hint="eastAsia"/>
          <w:sz w:val="28"/>
          <w:szCs w:val="28"/>
        </w:rPr>
      </w:pPr>
      <w:r>
        <w:rPr>
          <w:rFonts w:hint="eastAsia"/>
          <w:sz w:val="28"/>
          <w:szCs w:val="28"/>
        </w:rPr>
        <w:t>公开招标失败的后续处理</w:t>
      </w:r>
    </w:p>
    <w:p w14:paraId="3CF4E1CB">
      <w:pPr>
        <w:rPr>
          <w:rFonts w:hint="eastAsia" w:ascii="黑体" w:hAnsi="宋体" w:eastAsia="黑体"/>
          <w:sz w:val="24"/>
        </w:rPr>
      </w:pPr>
      <w:r>
        <w:rPr>
          <w:rFonts w:hint="eastAsia" w:ascii="黑体" w:hAnsi="宋体" w:eastAsia="黑体"/>
          <w:sz w:val="24"/>
        </w:rPr>
        <w:t>42．公开招标失败的处理</w:t>
      </w:r>
    </w:p>
    <w:p w14:paraId="019057FB">
      <w:pPr>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1930D21C">
      <w:pPr>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2A9F1C50">
      <w:pPr>
        <w:ind w:firstLine="411" w:firstLineChars="196"/>
        <w:rPr>
          <w:rFonts w:hint="eastAsia" w:ascii="宋体" w:hAnsi="宋体"/>
          <w:szCs w:val="21"/>
        </w:rPr>
      </w:pPr>
      <w:r>
        <w:rPr>
          <w:rFonts w:hint="eastAsia" w:ascii="宋体" w:hAnsi="宋体"/>
          <w:szCs w:val="21"/>
        </w:rPr>
        <w:t>42.3重新组织采购有以下两种组织形式：</w:t>
      </w:r>
    </w:p>
    <w:p w14:paraId="57C8B79E">
      <w:pPr>
        <w:ind w:firstLine="411" w:firstLineChars="196"/>
        <w:rPr>
          <w:rFonts w:hint="eastAsia" w:ascii="宋体" w:hAnsi="宋体"/>
        </w:rPr>
      </w:pPr>
      <w:r>
        <w:rPr>
          <w:rFonts w:hint="eastAsia" w:ascii="宋体" w:hAnsi="宋体"/>
        </w:rPr>
        <w:t>（1）由政府集中采购机构重新组织公开招标；</w:t>
      </w:r>
    </w:p>
    <w:p w14:paraId="1B4B8E99">
      <w:pPr>
        <w:ind w:firstLine="411" w:firstLineChars="196"/>
        <w:rPr>
          <w:rFonts w:hint="eastAsia"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14:paraId="032A8E9D">
      <w:pPr>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14:paraId="324C034E">
      <w:pPr>
        <w:rPr>
          <w:rFonts w:hint="eastAsia" w:ascii="宋体" w:hAnsi="宋体"/>
        </w:rPr>
      </w:pPr>
      <w:r>
        <w:rPr>
          <w:rFonts w:hint="eastAsia" w:ascii="黑体" w:hAnsi="宋体" w:eastAsia="黑体"/>
          <w:sz w:val="24"/>
        </w:rPr>
        <w:t xml:space="preserve">    </w:t>
      </w:r>
      <w:r>
        <w:rPr>
          <w:rFonts w:hint="eastAsia" w:ascii="宋体" w:hAnsi="宋体"/>
        </w:rPr>
        <w:t>42.5公开招标失败的采购项目经同级财政部门批准转为竞争性谈判或单一来源谈判方式采购的，按规定要求组织政府采购工作。</w:t>
      </w:r>
    </w:p>
    <w:p w14:paraId="6BF908F9">
      <w:pPr>
        <w:rPr>
          <w:rFonts w:hint="eastAsia" w:ascii="黑体" w:hAnsi="宋体" w:eastAsia="黑体"/>
          <w:sz w:val="24"/>
        </w:rPr>
      </w:pPr>
    </w:p>
    <w:p w14:paraId="1BA5204D">
      <w:pPr>
        <w:pStyle w:val="8"/>
        <w:numPr>
          <w:ilvl w:val="0"/>
          <w:numId w:val="10"/>
        </w:numPr>
        <w:spacing w:before="120" w:beforeLines="50" w:after="120" w:afterLines="50"/>
        <w:ind w:left="562" w:hanging="562"/>
        <w:rPr>
          <w:rFonts w:hint="eastAsia"/>
          <w:sz w:val="28"/>
          <w:szCs w:val="28"/>
        </w:rPr>
      </w:pPr>
      <w:bookmarkStart w:id="120" w:name="_Hlk72439043"/>
      <w:r>
        <w:rPr>
          <w:rFonts w:hint="eastAsia"/>
          <w:sz w:val="28"/>
          <w:szCs w:val="28"/>
        </w:rPr>
        <w:t>合同的授予与备案</w:t>
      </w:r>
      <w:bookmarkEnd w:id="120"/>
    </w:p>
    <w:p w14:paraId="38FEDCC2">
      <w:pPr>
        <w:rPr>
          <w:rFonts w:hint="eastAsia" w:ascii="黑体" w:hAnsi="宋体" w:eastAsia="黑体"/>
          <w:sz w:val="24"/>
        </w:rPr>
      </w:pPr>
      <w:bookmarkStart w:id="121" w:name="_Toc73518157"/>
      <w:bookmarkStart w:id="122" w:name="_Toc73517679"/>
      <w:bookmarkStart w:id="123" w:name="_Toc73521586"/>
      <w:bookmarkStart w:id="124" w:name="_Toc73521674"/>
      <w:bookmarkStart w:id="125" w:name="_Toc100052408"/>
      <w:bookmarkStart w:id="126" w:name="_Hlk72439088"/>
      <w:r>
        <w:rPr>
          <w:rFonts w:hint="eastAsia" w:ascii="黑体" w:hAnsi="宋体" w:eastAsia="黑体"/>
          <w:sz w:val="24"/>
        </w:rPr>
        <w:t>43．合同授予标准</w:t>
      </w:r>
      <w:bookmarkEnd w:id="121"/>
      <w:bookmarkEnd w:id="122"/>
      <w:bookmarkEnd w:id="123"/>
      <w:bookmarkEnd w:id="124"/>
      <w:bookmarkEnd w:id="125"/>
    </w:p>
    <w:p w14:paraId="1BCC040D">
      <w:pPr>
        <w:ind w:firstLine="411" w:firstLineChars="196"/>
        <w:rPr>
          <w:rFonts w:hint="eastAsia" w:ascii="宋体" w:hAnsi="宋体"/>
          <w:szCs w:val="21"/>
        </w:rPr>
      </w:pPr>
      <w:r>
        <w:rPr>
          <w:rFonts w:hint="eastAsia" w:ascii="宋体" w:hAnsi="宋体"/>
          <w:szCs w:val="21"/>
        </w:rPr>
        <w:t>本项目的合同将授予经本招标文件规定评审确定的中标供应商。</w:t>
      </w:r>
    </w:p>
    <w:p w14:paraId="1997AFF4">
      <w:pPr>
        <w:rPr>
          <w:rFonts w:hint="eastAsia" w:ascii="黑体" w:hAnsi="宋体" w:eastAsia="黑体"/>
          <w:sz w:val="24"/>
        </w:rPr>
      </w:pPr>
      <w:bookmarkStart w:id="127" w:name="_Toc73518158"/>
      <w:bookmarkStart w:id="128" w:name="_Toc73521587"/>
      <w:bookmarkStart w:id="129" w:name="_Toc100052409"/>
      <w:bookmarkStart w:id="130" w:name="_Toc73517680"/>
      <w:bookmarkStart w:id="131" w:name="_Toc73521675"/>
      <w:r>
        <w:rPr>
          <w:rFonts w:hint="eastAsia" w:ascii="黑体" w:hAnsi="宋体" w:eastAsia="黑体"/>
          <w:sz w:val="24"/>
        </w:rPr>
        <w:t>44．</w:t>
      </w:r>
      <w:bookmarkEnd w:id="127"/>
      <w:bookmarkEnd w:id="128"/>
      <w:bookmarkEnd w:id="129"/>
      <w:bookmarkEnd w:id="130"/>
      <w:bookmarkEnd w:id="131"/>
      <w:r>
        <w:rPr>
          <w:rFonts w:hint="eastAsia" w:ascii="黑体" w:hAnsi="宋体" w:eastAsia="黑体"/>
          <w:sz w:val="24"/>
        </w:rPr>
        <w:t>接受和拒绝任何或所有投标的权力</w:t>
      </w:r>
    </w:p>
    <w:p w14:paraId="7B0EAD10">
      <w:pPr>
        <w:ind w:firstLine="411" w:firstLineChars="196"/>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2E1E94E4">
      <w:pPr>
        <w:rPr>
          <w:rFonts w:hint="eastAsia" w:ascii="黑体" w:hAnsi="宋体" w:eastAsia="黑体"/>
          <w:sz w:val="24"/>
        </w:rPr>
      </w:pPr>
      <w:bookmarkStart w:id="132" w:name="_Toc73521589"/>
      <w:bookmarkStart w:id="133" w:name="_Toc73521677"/>
      <w:bookmarkStart w:id="134" w:name="_Toc100052410"/>
      <w:bookmarkStart w:id="135" w:name="_Toc73518160"/>
      <w:bookmarkStart w:id="136" w:name="_Toc73517682"/>
      <w:r>
        <w:rPr>
          <w:rFonts w:hint="eastAsia" w:ascii="黑体" w:hAnsi="宋体" w:eastAsia="黑体"/>
          <w:sz w:val="24"/>
        </w:rPr>
        <w:t>45．合同的签订</w:t>
      </w:r>
      <w:bookmarkEnd w:id="132"/>
      <w:bookmarkEnd w:id="133"/>
      <w:bookmarkEnd w:id="134"/>
      <w:bookmarkEnd w:id="135"/>
      <w:bookmarkEnd w:id="136"/>
    </w:p>
    <w:p w14:paraId="22182479">
      <w:pPr>
        <w:ind w:firstLine="411" w:firstLineChars="196"/>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14:paraId="6A954313">
      <w:pPr>
        <w:ind w:firstLine="411" w:firstLineChars="196"/>
        <w:rPr>
          <w:rFonts w:hint="eastAsia"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14:paraId="289BECCC">
      <w:pPr>
        <w:ind w:firstLine="411" w:firstLineChars="196"/>
        <w:rPr>
          <w:rFonts w:hint="eastAsia" w:ascii="宋体" w:hAnsi="宋体"/>
          <w:szCs w:val="21"/>
        </w:rPr>
      </w:pPr>
      <w:r>
        <w:rPr>
          <w:rFonts w:hint="eastAsia" w:ascii="宋体" w:hAnsi="宋体"/>
          <w:szCs w:val="21"/>
        </w:rPr>
        <w:t>45.3中标人应当按照合同约定履行义务，完成中标项目，不得将中标项目转让（转包）给他人。</w:t>
      </w:r>
    </w:p>
    <w:p w14:paraId="60536681">
      <w:pPr>
        <w:rPr>
          <w:rFonts w:hint="eastAsia" w:ascii="黑体" w:hAnsi="宋体" w:eastAsia="黑体"/>
          <w:sz w:val="24"/>
        </w:rPr>
      </w:pPr>
      <w:bookmarkStart w:id="137" w:name="_Toc73518161"/>
      <w:bookmarkStart w:id="138" w:name="_Toc73517683"/>
      <w:bookmarkStart w:id="139" w:name="_Toc100052411"/>
      <w:bookmarkStart w:id="140" w:name="_Toc73521590"/>
      <w:bookmarkStart w:id="141" w:name="_Toc73521678"/>
      <w:r>
        <w:rPr>
          <w:rFonts w:hint="eastAsia" w:ascii="黑体" w:hAnsi="宋体" w:eastAsia="黑体"/>
          <w:sz w:val="24"/>
        </w:rPr>
        <w:t>46．履约担保</w:t>
      </w:r>
      <w:bookmarkEnd w:id="137"/>
      <w:bookmarkEnd w:id="138"/>
      <w:bookmarkEnd w:id="139"/>
      <w:bookmarkEnd w:id="140"/>
      <w:bookmarkEnd w:id="141"/>
    </w:p>
    <w:p w14:paraId="3F4F45C2">
      <w:pPr>
        <w:ind w:firstLine="411" w:firstLineChars="196"/>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14:paraId="7D6407EE">
      <w:pPr>
        <w:ind w:firstLine="411" w:firstLineChars="196"/>
        <w:rPr>
          <w:rFonts w:hint="eastAsia"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297A0AE7">
      <w:pPr>
        <w:rPr>
          <w:rFonts w:hint="eastAsia" w:ascii="黑体" w:hAnsi="宋体" w:eastAsia="黑体"/>
          <w:sz w:val="24"/>
        </w:rPr>
      </w:pPr>
      <w:r>
        <w:rPr>
          <w:rFonts w:hint="eastAsia" w:ascii="黑体" w:hAnsi="宋体" w:eastAsia="黑体"/>
          <w:sz w:val="24"/>
        </w:rPr>
        <w:t>47. 合同备案</w:t>
      </w:r>
    </w:p>
    <w:p w14:paraId="3D2097CA">
      <w:pPr>
        <w:ind w:firstLine="420" w:firstLineChars="200"/>
        <w:rPr>
          <w:rFonts w:hint="eastAsia" w:ascii="宋体" w:hAnsi="宋体"/>
          <w:szCs w:val="21"/>
        </w:rPr>
      </w:pPr>
      <w:r>
        <w:rPr>
          <w:rFonts w:hint="eastAsia" w:ascii="宋体" w:hAnsi="宋体"/>
          <w:szCs w:val="21"/>
        </w:rPr>
        <w:t>采购人与中标供应商自中标通知书发出之日起10个工作日内签订政府采购合同，并按财政部门规定提交备案。</w:t>
      </w:r>
    </w:p>
    <w:p w14:paraId="6DB7708F">
      <w:pPr>
        <w:rPr>
          <w:rFonts w:hint="eastAsia" w:ascii="黑体" w:hAnsi="宋体" w:eastAsia="黑体"/>
          <w:sz w:val="24"/>
        </w:rPr>
      </w:pPr>
      <w:r>
        <w:rPr>
          <w:rFonts w:hint="eastAsia" w:ascii="黑体" w:hAnsi="宋体" w:eastAsia="黑体"/>
          <w:sz w:val="24"/>
        </w:rPr>
        <w:t>48. 合同变更</w:t>
      </w:r>
    </w:p>
    <w:p w14:paraId="029DC4F1">
      <w:pPr>
        <w:ind w:firstLine="411" w:firstLineChars="196"/>
        <w:rPr>
          <w:rFonts w:hint="eastAsia" w:ascii="宋体" w:hAnsi="宋体"/>
          <w:szCs w:val="21"/>
        </w:rPr>
      </w:pPr>
      <w:r>
        <w:rPr>
          <w:rFonts w:hint="eastAsia" w:ascii="宋体" w:hAnsi="宋体"/>
          <w:szCs w:val="21"/>
        </w:rPr>
        <w:t>合同变更事宜按《深圳市财政局关于优化政府采购合同备案的通知》（深财发保〔2022〕2号）相关规定执行。</w:t>
      </w:r>
    </w:p>
    <w:p w14:paraId="18750A54">
      <w:pPr>
        <w:rPr>
          <w:rFonts w:hint="eastAsia" w:ascii="黑体" w:hAnsi="宋体" w:eastAsia="黑体"/>
          <w:sz w:val="24"/>
        </w:rPr>
      </w:pPr>
      <w:r>
        <w:rPr>
          <w:rFonts w:hint="eastAsia" w:ascii="黑体" w:hAnsi="宋体" w:eastAsia="黑体"/>
          <w:sz w:val="24"/>
        </w:rPr>
        <w:t>49. 项目验收</w:t>
      </w:r>
    </w:p>
    <w:p w14:paraId="3F690EE9">
      <w:pPr>
        <w:widowControl/>
        <w:ind w:right="176" w:firstLine="420"/>
        <w:jc w:val="left"/>
        <w:rPr>
          <w:rFonts w:hint="eastAsia" w:ascii="宋体" w:hAnsi="宋体"/>
        </w:rPr>
      </w:pPr>
      <w:r>
        <w:rPr>
          <w:rFonts w:hint="eastAsia" w:ascii="宋体" w:hAnsi="宋体"/>
        </w:rPr>
        <w:t>49.1采购人应当按照招标文件和合同规定的标准和方法，及时组织验收。</w:t>
      </w:r>
      <w:r>
        <w:rPr>
          <w:rFonts w:ascii="宋体" w:hAnsi="宋体"/>
        </w:rPr>
        <w:t xml:space="preserve"> </w:t>
      </w:r>
    </w:p>
    <w:p w14:paraId="0340AA03">
      <w:pPr>
        <w:rPr>
          <w:rFonts w:hint="eastAsia" w:ascii="黑体" w:hAnsi="宋体" w:eastAsia="黑体"/>
          <w:sz w:val="24"/>
        </w:rPr>
      </w:pPr>
      <w:r>
        <w:rPr>
          <w:rFonts w:hint="eastAsia" w:ascii="黑体" w:hAnsi="宋体" w:eastAsia="黑体"/>
          <w:sz w:val="24"/>
        </w:rPr>
        <w:t>50. 宣传</w:t>
      </w:r>
    </w:p>
    <w:p w14:paraId="21767410">
      <w:pPr>
        <w:ind w:left="210" w:leftChars="100" w:firstLine="411" w:firstLineChars="196"/>
        <w:rPr>
          <w:rFonts w:hint="eastAsia"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14:paraId="177AE625">
      <w:pPr>
        <w:ind w:left="210" w:leftChars="100" w:firstLine="411" w:firstLineChars="196"/>
        <w:rPr>
          <w:rFonts w:hint="eastAsia" w:ascii="宋体" w:hAnsi="宋体"/>
        </w:rPr>
      </w:pPr>
      <w:r>
        <w:rPr>
          <w:rFonts w:ascii="宋体" w:hAnsi="宋体"/>
        </w:rPr>
        <w:t>a.名片、宣传册、广告标语等；</w:t>
      </w:r>
    </w:p>
    <w:p w14:paraId="6E0690CF">
      <w:pPr>
        <w:ind w:left="210" w:leftChars="100" w:firstLine="411" w:firstLineChars="196"/>
        <w:rPr>
          <w:rFonts w:hint="eastAsia" w:ascii="宋体" w:hAnsi="宋体"/>
        </w:rPr>
      </w:pPr>
      <w:r>
        <w:rPr>
          <w:rFonts w:ascii="宋体" w:hAnsi="宋体"/>
        </w:rPr>
        <w:t>b.案例介绍、推广等；</w:t>
      </w:r>
    </w:p>
    <w:p w14:paraId="62B76094">
      <w:pPr>
        <w:ind w:left="210" w:leftChars="100" w:firstLine="411" w:firstLineChars="196"/>
        <w:rPr>
          <w:rFonts w:hint="eastAsia" w:ascii="宋体" w:hAnsi="宋体"/>
        </w:rPr>
      </w:pPr>
      <w:r>
        <w:rPr>
          <w:rFonts w:hint="eastAsia" w:ascii="宋体" w:hAnsi="宋体"/>
        </w:rPr>
        <w:t>c.工作</w:t>
      </w:r>
      <w:r>
        <w:rPr>
          <w:rFonts w:ascii="宋体" w:hAnsi="宋体"/>
        </w:rPr>
        <w:t>人员向其他消费群体宣传。</w:t>
      </w:r>
    </w:p>
    <w:p w14:paraId="128D123A">
      <w:pPr>
        <w:rPr>
          <w:rFonts w:hint="eastAsia" w:ascii="黑体" w:hAnsi="宋体" w:eastAsia="黑体"/>
          <w:sz w:val="24"/>
        </w:rPr>
      </w:pPr>
      <w:r>
        <w:rPr>
          <w:rFonts w:hint="eastAsia" w:ascii="黑体" w:hAnsi="宋体" w:eastAsia="黑体"/>
          <w:sz w:val="24"/>
        </w:rPr>
        <w:t>51. 供应商违法责任</w:t>
      </w:r>
    </w:p>
    <w:p w14:paraId="584BDA0E">
      <w:pPr>
        <w:ind w:firstLine="411" w:firstLineChars="196"/>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1BA57C7B">
      <w:pPr>
        <w:ind w:firstLine="411" w:firstLineChars="196"/>
        <w:rPr>
          <w:rFonts w:hint="eastAsia" w:ascii="宋体" w:hAnsi="宋体"/>
          <w:szCs w:val="21"/>
        </w:rPr>
      </w:pPr>
      <w:r>
        <w:rPr>
          <w:rFonts w:hint="eastAsia" w:ascii="宋体" w:hAnsi="宋体"/>
          <w:szCs w:val="21"/>
        </w:rPr>
        <w:t>（1）在采购活动中应当回避而未回避的；</w:t>
      </w:r>
    </w:p>
    <w:p w14:paraId="21E400AC">
      <w:pPr>
        <w:ind w:firstLine="411" w:firstLineChars="196"/>
        <w:rPr>
          <w:rFonts w:hint="eastAsia" w:ascii="宋体" w:hAnsi="宋体"/>
          <w:szCs w:val="21"/>
        </w:rPr>
      </w:pPr>
      <w:r>
        <w:rPr>
          <w:rFonts w:hint="eastAsia" w:ascii="宋体" w:hAnsi="宋体"/>
          <w:szCs w:val="21"/>
        </w:rPr>
        <w:t>（2）未按本条例规定签订、履行采购合同，造成严重后果的；</w:t>
      </w:r>
    </w:p>
    <w:p w14:paraId="7C4D1CEA">
      <w:pPr>
        <w:ind w:firstLine="411" w:firstLineChars="196"/>
        <w:rPr>
          <w:rFonts w:hint="eastAsia" w:ascii="宋体" w:hAnsi="宋体"/>
          <w:szCs w:val="21"/>
        </w:rPr>
      </w:pPr>
      <w:r>
        <w:rPr>
          <w:rFonts w:hint="eastAsia" w:ascii="宋体" w:hAnsi="宋体"/>
          <w:szCs w:val="21"/>
        </w:rPr>
        <w:t>（3）隐瞒真实情况，提供虚假资料的；</w:t>
      </w:r>
    </w:p>
    <w:p w14:paraId="28E0B099">
      <w:pPr>
        <w:ind w:firstLine="411" w:firstLineChars="196"/>
        <w:rPr>
          <w:rFonts w:hint="eastAsia" w:ascii="宋体" w:hAnsi="宋体"/>
          <w:szCs w:val="21"/>
        </w:rPr>
      </w:pPr>
      <w:r>
        <w:rPr>
          <w:rFonts w:hint="eastAsia" w:ascii="宋体" w:hAnsi="宋体"/>
          <w:szCs w:val="21"/>
        </w:rPr>
        <w:t>（4）以非法手段排斥其他供应商参与竞争的；</w:t>
      </w:r>
    </w:p>
    <w:p w14:paraId="5DBECFF0">
      <w:pPr>
        <w:ind w:firstLine="411" w:firstLineChars="196"/>
        <w:rPr>
          <w:rFonts w:hint="eastAsia" w:ascii="宋体" w:hAnsi="宋体"/>
          <w:szCs w:val="21"/>
        </w:rPr>
      </w:pPr>
      <w:r>
        <w:rPr>
          <w:rFonts w:hint="eastAsia" w:ascii="宋体" w:hAnsi="宋体"/>
          <w:szCs w:val="21"/>
        </w:rPr>
        <w:t>（5）与其他采购参加人串通投标的；</w:t>
      </w:r>
    </w:p>
    <w:p w14:paraId="5D259CA8">
      <w:pPr>
        <w:ind w:firstLine="411" w:firstLineChars="196"/>
        <w:rPr>
          <w:rFonts w:hint="eastAsia" w:ascii="宋体" w:hAnsi="宋体"/>
          <w:szCs w:val="21"/>
        </w:rPr>
      </w:pPr>
      <w:r>
        <w:rPr>
          <w:rFonts w:hint="eastAsia" w:ascii="宋体" w:hAnsi="宋体"/>
          <w:szCs w:val="21"/>
        </w:rPr>
        <w:t>（6）恶意投诉的；</w:t>
      </w:r>
    </w:p>
    <w:p w14:paraId="0E384823">
      <w:pPr>
        <w:ind w:firstLine="411" w:firstLineChars="196"/>
        <w:rPr>
          <w:rFonts w:hint="eastAsia" w:ascii="宋体" w:hAnsi="宋体"/>
          <w:szCs w:val="21"/>
        </w:rPr>
      </w:pPr>
      <w:r>
        <w:rPr>
          <w:rFonts w:hint="eastAsia" w:ascii="宋体" w:hAnsi="宋体"/>
          <w:szCs w:val="21"/>
        </w:rPr>
        <w:t>（7）向采购项目相关人行贿或者提供其他不当利益的；</w:t>
      </w:r>
    </w:p>
    <w:p w14:paraId="23ADB81C">
      <w:pPr>
        <w:ind w:firstLine="411" w:firstLineChars="196"/>
        <w:rPr>
          <w:rFonts w:hint="eastAsia" w:ascii="宋体" w:hAnsi="宋体"/>
          <w:szCs w:val="21"/>
        </w:rPr>
      </w:pPr>
      <w:r>
        <w:rPr>
          <w:rFonts w:hint="eastAsia" w:ascii="宋体" w:hAnsi="宋体"/>
          <w:szCs w:val="21"/>
        </w:rPr>
        <w:t>（8）阻碍、抗拒主管部门监督检查的；</w:t>
      </w:r>
    </w:p>
    <w:p w14:paraId="6C948285">
      <w:pPr>
        <w:ind w:firstLine="411" w:firstLineChars="196"/>
        <w:rPr>
          <w:rFonts w:hint="eastAsia" w:ascii="宋体" w:hAnsi="宋体"/>
          <w:szCs w:val="21"/>
        </w:rPr>
      </w:pPr>
      <w:r>
        <w:rPr>
          <w:rFonts w:hint="eastAsia" w:ascii="宋体" w:hAnsi="宋体"/>
          <w:szCs w:val="21"/>
        </w:rPr>
        <w:t>（9）其他违反本条例规定的行为。</w:t>
      </w:r>
    </w:p>
    <w:p w14:paraId="69C4322A">
      <w:pPr>
        <w:ind w:firstLine="411" w:firstLineChars="196"/>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42" w:name="_Hlk72440769"/>
      <w:r>
        <w:rPr>
          <w:rFonts w:hint="eastAsia" w:ascii="宋体" w:hAnsi="宋体"/>
          <w:szCs w:val="21"/>
        </w:rPr>
        <w:t>政府集中采购机构或采购人不予退还其交纳的谈判保证金，情节严重的，并由主管部门</w:t>
      </w:r>
      <w:bookmarkEnd w:id="142"/>
      <w:r>
        <w:rPr>
          <w:rFonts w:hint="eastAsia" w:ascii="宋体" w:hAnsi="宋体"/>
          <w:szCs w:val="21"/>
        </w:rPr>
        <w:t>记入供应商诚信档案，予以通报：</w:t>
      </w:r>
    </w:p>
    <w:p w14:paraId="1B81E1E9">
      <w:pPr>
        <w:ind w:firstLine="411" w:firstLineChars="196"/>
        <w:rPr>
          <w:rFonts w:hint="eastAsia" w:ascii="宋体" w:hAnsi="宋体"/>
          <w:szCs w:val="21"/>
        </w:rPr>
      </w:pPr>
      <w:r>
        <w:rPr>
          <w:rFonts w:hint="eastAsia" w:ascii="宋体" w:hAnsi="宋体"/>
          <w:szCs w:val="21"/>
        </w:rPr>
        <w:t>（1</w:t>
      </w:r>
      <w:r>
        <w:rPr>
          <w:rFonts w:ascii="宋体" w:hAnsi="宋体"/>
          <w:szCs w:val="21"/>
        </w:rPr>
        <w:t>）投标截止后，撤销投标的；</w:t>
      </w:r>
    </w:p>
    <w:p w14:paraId="72E951C4">
      <w:pPr>
        <w:ind w:firstLine="411" w:firstLineChars="196"/>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5C35BD2A">
      <w:pPr>
        <w:ind w:firstLine="411" w:firstLineChars="196"/>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14:paraId="695CE1FD">
      <w:pPr>
        <w:ind w:firstLine="411" w:firstLineChars="196"/>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126"/>
    <w:p w14:paraId="2ECB37C8">
      <w:pPr>
        <w:pStyle w:val="8"/>
        <w:numPr>
          <w:ilvl w:val="0"/>
          <w:numId w:val="10"/>
        </w:numPr>
        <w:spacing w:before="120" w:beforeLines="50" w:after="120" w:afterLines="50"/>
        <w:ind w:left="562" w:hanging="562"/>
        <w:rPr>
          <w:rFonts w:hint="eastAsia"/>
          <w:sz w:val="28"/>
          <w:szCs w:val="28"/>
        </w:rPr>
      </w:pPr>
      <w:r>
        <w:rPr>
          <w:rFonts w:hint="eastAsia"/>
          <w:sz w:val="28"/>
          <w:szCs w:val="28"/>
        </w:rPr>
        <w:t>质疑处理</w:t>
      </w:r>
    </w:p>
    <w:p w14:paraId="7C5E502E">
      <w:pPr>
        <w:rPr>
          <w:rFonts w:hint="eastAsia" w:ascii="黑体" w:hAnsi="宋体" w:eastAsia="黑体"/>
          <w:sz w:val="24"/>
        </w:rPr>
      </w:pPr>
      <w:bookmarkStart w:id="143" w:name="_Hlk72439706"/>
      <w:r>
        <w:rPr>
          <w:rFonts w:hint="eastAsia" w:ascii="黑体" w:hAnsi="宋体" w:eastAsia="黑体"/>
          <w:sz w:val="24"/>
          <w:lang w:bidi="ar"/>
        </w:rPr>
        <w:t>52.质疑提出与答复</w:t>
      </w:r>
    </w:p>
    <w:p w14:paraId="36994C3E">
      <w:pPr>
        <w:rPr>
          <w:rFonts w:hint="eastAsia" w:ascii="宋体" w:hAnsi="宋体"/>
          <w:szCs w:val="21"/>
        </w:rPr>
      </w:pPr>
      <w:r>
        <w:rPr>
          <w:rFonts w:hint="eastAsia" w:ascii="宋体" w:hAnsi="宋体"/>
          <w:szCs w:val="21"/>
          <w:lang w:bidi="ar"/>
        </w:rPr>
        <w:t xml:space="preserve">    52.1提出质疑</w:t>
      </w:r>
    </w:p>
    <w:p w14:paraId="1E964522">
      <w:pPr>
        <w:rPr>
          <w:rFonts w:hint="eastAsia" w:ascii="宋体" w:hAnsi="宋体"/>
          <w:szCs w:val="21"/>
        </w:rPr>
      </w:pPr>
      <w:r>
        <w:rPr>
          <w:rFonts w:hint="eastAsia" w:ascii="宋体" w:hAnsi="宋体"/>
          <w:szCs w:val="21"/>
          <w:lang w:bidi="ar"/>
        </w:rPr>
        <w:t xml:space="preserve">    参与政府采购活动的供应商认为自己的权益在采购活动中受到损害的，应当自知道或者应当知道其权益受到损害之日起七个工作日内向采购人、政府集中采购机构以书面形式提出质疑。</w:t>
      </w:r>
    </w:p>
    <w:p w14:paraId="36A0471B">
      <w:pPr>
        <w:rPr>
          <w:rFonts w:hint="eastAsia" w:ascii="宋体" w:hAnsi="宋体"/>
          <w:szCs w:val="21"/>
        </w:rPr>
      </w:pPr>
      <w:r>
        <w:rPr>
          <w:rFonts w:hint="eastAsia" w:ascii="宋体" w:hAnsi="宋体"/>
          <w:szCs w:val="21"/>
          <w:lang w:bidi="ar"/>
        </w:rPr>
        <w:t xml:space="preserve">    52.2法律依据</w:t>
      </w:r>
    </w:p>
    <w:p w14:paraId="185EC05A">
      <w:pPr>
        <w:rPr>
          <w:rFonts w:hint="eastAsia" w:ascii="宋体" w:hAnsi="宋体"/>
          <w:szCs w:val="21"/>
        </w:rPr>
      </w:pPr>
      <w:r>
        <w:rPr>
          <w:rFonts w:hint="eastAsia" w:ascii="宋体" w:hAnsi="宋体"/>
          <w:szCs w:val="21"/>
          <w:lang w:bidi="ar"/>
        </w:rPr>
        <w:t xml:space="preserve">    《中华人民共和国政府采购法》《中华人民共和国政府采购法实施条例》《深圳经济特区政府采购条例》《深圳经济特区政府采购条例实施细则》《政府采购质疑和投诉办法》（财政部令第94号）和其他有关法律法规规定。</w:t>
      </w:r>
    </w:p>
    <w:p w14:paraId="561AF077">
      <w:pPr>
        <w:rPr>
          <w:rFonts w:hint="eastAsia" w:ascii="宋体" w:hAnsi="宋体"/>
          <w:szCs w:val="21"/>
        </w:rPr>
      </w:pPr>
      <w:r>
        <w:rPr>
          <w:rFonts w:hint="eastAsia" w:ascii="宋体" w:hAnsi="宋体"/>
          <w:szCs w:val="21"/>
          <w:lang w:bidi="ar"/>
        </w:rPr>
        <w:t xml:space="preserve">    52.3质疑条件</w:t>
      </w:r>
    </w:p>
    <w:p w14:paraId="4A611CF5">
      <w:pPr>
        <w:rPr>
          <w:rFonts w:hint="eastAsia" w:ascii="宋体" w:hAnsi="宋体"/>
          <w:szCs w:val="21"/>
        </w:rPr>
      </w:pPr>
      <w:r>
        <w:rPr>
          <w:rFonts w:hint="eastAsia" w:ascii="宋体" w:hAnsi="宋体"/>
          <w:szCs w:val="21"/>
          <w:lang w:bidi="ar"/>
        </w:rPr>
        <w:t xml:space="preserve">    52.3.1提出质疑的供应商应当是参与所质疑项目采购活动的供应商；</w:t>
      </w:r>
      <w:bookmarkStart w:id="144" w:name="_Hlk75374941"/>
      <w:bookmarkStart w:id="145" w:name="OLE_LINK3"/>
      <w:r>
        <w:rPr>
          <w:rFonts w:hint="eastAsia" w:ascii="宋体" w:hAnsi="宋体"/>
          <w:szCs w:val="21"/>
          <w:lang w:bidi="ar"/>
        </w:rPr>
        <w:t>以联合体形式参与的，质疑应当由组成联合体的所有成员共同提出</w:t>
      </w:r>
      <w:bookmarkEnd w:id="144"/>
      <w:bookmarkEnd w:id="145"/>
      <w:r>
        <w:rPr>
          <w:rFonts w:hint="eastAsia" w:ascii="宋体" w:hAnsi="宋体"/>
          <w:szCs w:val="21"/>
          <w:lang w:bidi="ar"/>
        </w:rPr>
        <w:t>（如供应商采用线上提交质疑方式的，由牵头单位在系统发起，根据本采购文件第52.3.3条、52.4条的要求，提供所有联合体成员共同签字盖章的质疑函、授权委托书，所有联合体成员的营业执照或者其他证明文件（如事业单位法人证书等）、法定代表人（负责人）证明书）；</w:t>
      </w:r>
    </w:p>
    <w:p w14:paraId="45C89975">
      <w:pPr>
        <w:rPr>
          <w:rFonts w:hint="eastAsia" w:ascii="宋体" w:hAnsi="宋体"/>
          <w:szCs w:val="21"/>
        </w:rPr>
      </w:pPr>
      <w:r>
        <w:rPr>
          <w:rFonts w:hint="eastAsia" w:ascii="宋体" w:hAnsi="宋体"/>
          <w:szCs w:val="21"/>
          <w:lang w:bidi="ar"/>
        </w:rPr>
        <w:t xml:space="preserve">    52.3.2应当在法定质疑期内一次性提出针对同一采购程序环节的质疑，法定质疑期为自知道或应当知道权益受到损害之日起7个工作日内。应当知道其权益受到损害之日是指：对采购文件的质疑，为采购文件公布之日；对采购过程的质疑，为各采购程序环节结束之日；对中标（成交）结果以及评审委员会组成人员的质疑，为中标（成交）结果公示之日；</w:t>
      </w:r>
    </w:p>
    <w:p w14:paraId="731B63D3">
      <w:pPr>
        <w:ind w:firstLine="420"/>
        <w:rPr>
          <w:rFonts w:hint="eastAsia" w:ascii="宋体" w:hAnsi="宋体"/>
          <w:szCs w:val="21"/>
        </w:rPr>
      </w:pPr>
      <w:r>
        <w:rPr>
          <w:rFonts w:hint="eastAsia" w:ascii="宋体" w:hAnsi="宋体"/>
          <w:szCs w:val="21"/>
          <w:lang w:bidi="ar"/>
        </w:rPr>
        <w:t xml:space="preserve">52.3.3应提交书面质疑函，质疑函应当包括以下内容： </w:t>
      </w:r>
    </w:p>
    <w:p w14:paraId="7C76CA9A">
      <w:pPr>
        <w:ind w:firstLine="420"/>
        <w:rPr>
          <w:rFonts w:hint="eastAsia" w:ascii="宋体" w:hAnsi="宋体"/>
          <w:szCs w:val="21"/>
        </w:rPr>
      </w:pPr>
      <w:r>
        <w:rPr>
          <w:rFonts w:hint="eastAsia" w:ascii="宋体" w:hAnsi="宋体"/>
          <w:szCs w:val="21"/>
          <w:lang w:bidi="ar"/>
        </w:rPr>
        <w:t>（1）供应商的名称（或者姓名）、地址、邮编、邮箱、联系人及联系电话；</w:t>
      </w:r>
    </w:p>
    <w:p w14:paraId="18C67878">
      <w:pPr>
        <w:ind w:firstLine="420" w:firstLineChars="200"/>
        <w:rPr>
          <w:rFonts w:hint="eastAsia" w:ascii="宋体" w:hAnsi="宋体"/>
          <w:szCs w:val="21"/>
        </w:rPr>
      </w:pPr>
      <w:r>
        <w:rPr>
          <w:rFonts w:hint="eastAsia" w:ascii="宋体" w:hAnsi="宋体"/>
          <w:szCs w:val="21"/>
          <w:lang w:bidi="ar"/>
        </w:rPr>
        <w:t>（2）质疑项目的名称、编号；</w:t>
      </w:r>
    </w:p>
    <w:p w14:paraId="71F00A77">
      <w:pPr>
        <w:ind w:firstLine="420" w:firstLineChars="200"/>
        <w:rPr>
          <w:rFonts w:hint="eastAsia" w:ascii="宋体" w:hAnsi="宋体"/>
          <w:szCs w:val="21"/>
        </w:rPr>
      </w:pPr>
      <w:r>
        <w:rPr>
          <w:rFonts w:hint="eastAsia" w:ascii="宋体" w:hAnsi="宋体"/>
          <w:szCs w:val="21"/>
          <w:lang w:bidi="ar"/>
        </w:rPr>
        <w:t>（3）具体、明确的质疑对象、质疑事项和质疑请求；</w:t>
      </w:r>
    </w:p>
    <w:p w14:paraId="122A5B2F">
      <w:pPr>
        <w:ind w:firstLine="420" w:firstLineChars="200"/>
        <w:rPr>
          <w:rFonts w:hint="eastAsia" w:ascii="宋体" w:hAnsi="宋体"/>
          <w:szCs w:val="21"/>
        </w:rPr>
      </w:pPr>
      <w:r>
        <w:rPr>
          <w:rFonts w:hint="eastAsia" w:ascii="宋体" w:hAnsi="宋体"/>
          <w:szCs w:val="21"/>
          <w:lang w:bidi="ar"/>
        </w:rPr>
        <w:t>（4）因质疑事项而受损害的权益；</w:t>
      </w:r>
    </w:p>
    <w:p w14:paraId="550D17BB">
      <w:pPr>
        <w:ind w:firstLine="420" w:firstLineChars="200"/>
        <w:rPr>
          <w:rFonts w:hint="eastAsia" w:ascii="宋体" w:hAnsi="宋体"/>
          <w:szCs w:val="21"/>
        </w:rPr>
      </w:pPr>
      <w:r>
        <w:rPr>
          <w:rFonts w:hint="eastAsia" w:ascii="宋体" w:hAnsi="宋体"/>
          <w:szCs w:val="21"/>
          <w:lang w:bidi="ar"/>
        </w:rPr>
        <w:t>（5）事实依据；</w:t>
      </w:r>
    </w:p>
    <w:p w14:paraId="3A0EDDDC">
      <w:pPr>
        <w:ind w:firstLine="420" w:firstLineChars="200"/>
        <w:rPr>
          <w:rFonts w:hint="eastAsia" w:ascii="宋体" w:hAnsi="宋体"/>
          <w:szCs w:val="21"/>
        </w:rPr>
      </w:pPr>
      <w:r>
        <w:rPr>
          <w:rFonts w:hint="eastAsia" w:ascii="宋体" w:hAnsi="宋体"/>
          <w:szCs w:val="21"/>
          <w:lang w:bidi="ar"/>
        </w:rPr>
        <w:t>（6）必要的法律依据；</w:t>
      </w:r>
    </w:p>
    <w:p w14:paraId="6EF954A5">
      <w:pPr>
        <w:ind w:firstLine="420" w:firstLineChars="200"/>
        <w:rPr>
          <w:rFonts w:hint="eastAsia" w:ascii="宋体" w:hAnsi="宋体"/>
          <w:szCs w:val="21"/>
        </w:rPr>
      </w:pPr>
      <w:r>
        <w:rPr>
          <w:rFonts w:hint="eastAsia" w:ascii="宋体" w:hAnsi="宋体"/>
          <w:szCs w:val="21"/>
          <w:lang w:bidi="ar"/>
        </w:rPr>
        <w:t>（7）提出质疑的日期。</w:t>
      </w:r>
    </w:p>
    <w:p w14:paraId="7EFEDEE5">
      <w:pPr>
        <w:ind w:firstLine="420" w:firstLineChars="200"/>
        <w:rPr>
          <w:rFonts w:hint="eastAsia" w:ascii="宋体" w:hAnsi="宋体"/>
          <w:szCs w:val="21"/>
        </w:rPr>
      </w:pPr>
      <w:r>
        <w:rPr>
          <w:rFonts w:hint="eastAsia" w:ascii="宋体" w:hAnsi="宋体"/>
          <w:szCs w:val="21"/>
          <w:lang w:bidi="ar"/>
        </w:rPr>
        <w:t>供应商为自然人的，应当由本人签字；供应商为法人或者其他组织的，应当由法定代表人（负责人），或者其授权代理人签字或者盖章，并加盖公章。</w:t>
      </w:r>
    </w:p>
    <w:p w14:paraId="0039CED9">
      <w:pPr>
        <w:ind w:firstLine="420" w:firstLineChars="200"/>
        <w:rPr>
          <w:rFonts w:hint="eastAsia" w:ascii="宋体" w:hAnsi="宋体"/>
          <w:szCs w:val="21"/>
        </w:rPr>
      </w:pPr>
      <w:r>
        <w:rPr>
          <w:rFonts w:hint="eastAsia" w:ascii="宋体" w:hAnsi="宋体"/>
          <w:szCs w:val="21"/>
          <w:lang w:bidi="ar"/>
        </w:rPr>
        <w:t>52.4提交材料</w:t>
      </w:r>
    </w:p>
    <w:p w14:paraId="6F726B29">
      <w:pPr>
        <w:ind w:firstLine="420" w:firstLineChars="200"/>
        <w:rPr>
          <w:rFonts w:hint="eastAsia" w:ascii="宋体" w:hAnsi="宋体"/>
          <w:szCs w:val="21"/>
        </w:rPr>
      </w:pPr>
      <w:r>
        <w:rPr>
          <w:rFonts w:hint="eastAsia" w:ascii="宋体" w:hAnsi="宋体"/>
          <w:szCs w:val="21"/>
          <w:lang w:bidi="ar"/>
        </w:rPr>
        <w:t>供应商质疑实行实名制。供应商为自然人的，应当提交本人身份证复印件；供应商为法人或者其他组织的，应当根据自身性质提交加盖公章的营业执照复印件或者其他证明文件（如事业单位法人证书等）复印件、加盖公章的法定代表人(负责人)证明书及法定代表人(负责人)身份证复印件。</w:t>
      </w:r>
    </w:p>
    <w:p w14:paraId="06C7214A">
      <w:pPr>
        <w:ind w:firstLine="420" w:firstLineChars="200"/>
        <w:rPr>
          <w:rFonts w:hint="eastAsia" w:ascii="宋体" w:hAnsi="宋体"/>
          <w:szCs w:val="21"/>
        </w:rPr>
      </w:pPr>
      <w:r>
        <w:rPr>
          <w:rFonts w:hint="eastAsia" w:ascii="宋体" w:hAnsi="宋体"/>
          <w:szCs w:val="21"/>
          <w:lang w:bidi="ar"/>
        </w:rPr>
        <w:t>供应商可以委托代理人进行质疑。其授权委托书应当载明代理人的姓名或者名称、代理事项、具体权限、期限和相关事项，并附上加盖公章的代理人身份证复印件。供应商为自然人的，应当由本人签字；供应商为法人或者其他组织的，应当由法定代表人、主要负责人签字或者盖章，并加盖公章。</w:t>
      </w:r>
    </w:p>
    <w:p w14:paraId="29919526">
      <w:pPr>
        <w:ind w:firstLine="420" w:firstLineChars="200"/>
        <w:rPr>
          <w:rFonts w:hint="eastAsia" w:ascii="宋体" w:hAnsi="宋体"/>
          <w:szCs w:val="21"/>
        </w:rPr>
      </w:pPr>
      <w:r>
        <w:rPr>
          <w:rFonts w:hint="eastAsia" w:ascii="宋体" w:hAnsi="宋体"/>
          <w:szCs w:val="21"/>
          <w:lang w:bidi="ar"/>
        </w:rPr>
        <w:t>52.5 提交方式</w:t>
      </w:r>
    </w:p>
    <w:p w14:paraId="43DED474">
      <w:pPr>
        <w:ind w:firstLine="420" w:firstLineChars="200"/>
        <w:rPr>
          <w:rFonts w:ascii="Calibri" w:hAnsi="Calibri"/>
          <w:szCs w:val="22"/>
        </w:rPr>
      </w:pPr>
      <w:r>
        <w:rPr>
          <w:rFonts w:hint="eastAsia" w:ascii="Calibri" w:hAnsi="Calibri"/>
          <w:szCs w:val="22"/>
          <w:lang w:bidi="ar"/>
        </w:rPr>
        <w:t>针对采购公告、结果公告或者更正结果公告的质疑，质疑提交可以采用现场或邮寄或线上方式。供应商选择其中一种方式提交。</w:t>
      </w:r>
      <w:bookmarkStart w:id="146" w:name="OLE_LINK2"/>
      <w:r>
        <w:rPr>
          <w:rFonts w:hint="eastAsia" w:ascii="Calibri" w:hAnsi="Calibri"/>
          <w:szCs w:val="22"/>
          <w:lang w:bidi="ar"/>
        </w:rPr>
        <w:t>若</w:t>
      </w:r>
      <w:bookmarkEnd w:id="146"/>
      <w:r>
        <w:rPr>
          <w:rFonts w:hint="eastAsia" w:ascii="Calibri" w:hAnsi="Calibri"/>
          <w:szCs w:val="22"/>
          <w:lang w:bidi="ar"/>
        </w:rPr>
        <w:t>采用多种方式提交的，以我中心第一次收到完整无误的质疑材料的日期为收文日期。采用邮寄方式提交的，交邮时间应在公告发布之日起七个工作日内。</w:t>
      </w:r>
    </w:p>
    <w:p w14:paraId="1B817328">
      <w:pPr>
        <w:ind w:firstLine="420" w:firstLineChars="200"/>
        <w:rPr>
          <w:rFonts w:ascii="Calibri" w:hAnsi="Calibri"/>
          <w:szCs w:val="22"/>
        </w:rPr>
      </w:pPr>
      <w:r>
        <w:rPr>
          <w:rFonts w:hint="eastAsia" w:ascii="Calibri" w:hAnsi="Calibri"/>
          <w:szCs w:val="22"/>
          <w:lang w:bidi="ar"/>
        </w:rPr>
        <w:t>针对更正公告发布的对采购文件更正内容的质疑，质疑提交可以采用现场或邮寄方式。供应商选择其中一种方式提交。若采用多种方式提交的，以我中心第一次收到完整无误的质疑材料的日期为收文日期。采用邮寄方式提交的，交邮时间应在更正公告发布之日起七个工作日内。</w:t>
      </w:r>
    </w:p>
    <w:p w14:paraId="3563400C">
      <w:pPr>
        <w:ind w:firstLine="420" w:firstLineChars="200"/>
        <w:rPr>
          <w:rFonts w:hint="eastAsia" w:ascii="宋体" w:hAnsi="宋体"/>
          <w:szCs w:val="21"/>
        </w:rPr>
      </w:pPr>
      <w:r>
        <w:rPr>
          <w:rFonts w:hint="eastAsia" w:ascii="宋体" w:hAnsi="宋体"/>
          <w:szCs w:val="21"/>
          <w:lang w:bidi="ar"/>
        </w:rPr>
        <w:t>52.5.1现场或邮寄提交</w:t>
      </w:r>
    </w:p>
    <w:p w14:paraId="212641F6">
      <w:pPr>
        <w:ind w:firstLine="420" w:firstLineChars="200"/>
        <w:rPr>
          <w:rFonts w:hint="eastAsia" w:ascii="宋体" w:hAnsi="宋体"/>
          <w:szCs w:val="21"/>
        </w:rPr>
      </w:pPr>
      <w:r>
        <w:rPr>
          <w:rFonts w:hint="eastAsia" w:ascii="宋体" w:hAnsi="宋体"/>
          <w:szCs w:val="21"/>
          <w:lang w:bidi="ar"/>
        </w:rPr>
        <w:t>收文地址：深圳公共资源交易中心（深圳交易集团有限公司政府采购业务分公司）深圳市南山区沙河西路3185号南山智谷A座（深圳交易集团总部大楼）27楼，质疑咨询电话：0755-86500050、0755-86500054。</w:t>
      </w:r>
    </w:p>
    <w:p w14:paraId="1C28C1F1">
      <w:pPr>
        <w:ind w:firstLine="420" w:firstLineChars="200"/>
        <w:rPr>
          <w:rFonts w:hint="eastAsia" w:ascii="宋体" w:hAnsi="宋体"/>
          <w:szCs w:val="21"/>
        </w:rPr>
      </w:pPr>
      <w:r>
        <w:rPr>
          <w:rFonts w:hint="eastAsia" w:ascii="宋体" w:hAnsi="宋体"/>
          <w:szCs w:val="21"/>
          <w:lang w:bidi="ar"/>
        </w:rPr>
        <w:t>请质疑供应商根据深圳公共资源交易中心网页（https://www.szggzy.com/globalSearch/details.html?contentId=1211037）所发布的质疑指引、质疑函模板填写质疑函并提交质疑材料。</w:t>
      </w:r>
    </w:p>
    <w:p w14:paraId="7D7B5CA4">
      <w:pPr>
        <w:ind w:firstLine="420" w:firstLineChars="200"/>
        <w:rPr>
          <w:rFonts w:hint="eastAsia" w:ascii="宋体" w:hAnsi="宋体"/>
          <w:szCs w:val="21"/>
        </w:rPr>
      </w:pPr>
      <w:r>
        <w:rPr>
          <w:rFonts w:hint="eastAsia" w:ascii="宋体" w:hAnsi="宋体"/>
          <w:szCs w:val="21"/>
          <w:lang w:bidi="ar"/>
        </w:rPr>
        <w:t>52.5.2线上提交</w:t>
      </w:r>
    </w:p>
    <w:p w14:paraId="0C565C9C">
      <w:pPr>
        <w:ind w:firstLine="420" w:firstLineChars="200"/>
        <w:rPr>
          <w:rFonts w:hint="eastAsia" w:ascii="宋体" w:hAnsi="宋体"/>
          <w:szCs w:val="21"/>
        </w:rPr>
      </w:pPr>
      <w:r>
        <w:rPr>
          <w:rFonts w:hint="eastAsia" w:ascii="宋体" w:hAnsi="宋体"/>
          <w:szCs w:val="21"/>
          <w:lang w:bidi="ar"/>
        </w:rPr>
        <w:t>登录深圳政府采购智慧(监管)平台（http://zfcg.szggzy.com:8081/）→“深圳政府采购智慧(监管)平台用户网上办事子系统（http://zfcg.szggzy.com:8081/TPBidder/memberLogin）”，在“【我的项目】→【项目流程】→【质疑】”功能点中提交质疑。</w:t>
      </w:r>
    </w:p>
    <w:p w14:paraId="2DA465E9">
      <w:pPr>
        <w:ind w:firstLine="422" w:firstLineChars="200"/>
        <w:rPr>
          <w:rFonts w:hint="eastAsia" w:ascii="宋体" w:hAnsi="宋体"/>
          <w:b/>
          <w:bCs/>
          <w:color w:val="FF0000"/>
          <w:szCs w:val="21"/>
        </w:rPr>
      </w:pPr>
      <w:r>
        <w:rPr>
          <w:rFonts w:hint="eastAsia" w:ascii="宋体" w:hAnsi="宋体"/>
          <w:b/>
          <w:bCs/>
          <w:color w:val="FF0000"/>
          <w:szCs w:val="21"/>
          <w:lang w:bidi="ar"/>
        </w:rPr>
        <w:t>线上质疑的系统功能初次上线，正处试运行完善阶段。使用期间遇任何问题，欢迎来电联系0755-36568999 转1转1、0755-86500050、0755-86500054。如因系统功能原因导致无法提交质疑材料，请及时选择其他提交方式（现场或者邮寄提交）。如未及时选择其他提交方式导致质疑函超过法定质疑期（七个工作日内）提交，将导致质疑材料不被受理并承担相关不利后果。</w:t>
      </w:r>
    </w:p>
    <w:p w14:paraId="0732AA39">
      <w:pPr>
        <w:ind w:firstLine="420" w:firstLineChars="200"/>
        <w:rPr>
          <w:rFonts w:hint="eastAsia" w:ascii="宋体" w:hAnsi="宋体"/>
          <w:szCs w:val="21"/>
        </w:rPr>
      </w:pPr>
      <w:r>
        <w:rPr>
          <w:rFonts w:hint="eastAsia" w:ascii="宋体" w:hAnsi="宋体"/>
          <w:szCs w:val="21"/>
          <w:lang w:bidi="ar"/>
        </w:rPr>
        <w:t>52.6收文办理程序</w:t>
      </w:r>
    </w:p>
    <w:p w14:paraId="65270689">
      <w:pPr>
        <w:ind w:firstLine="420" w:firstLineChars="200"/>
        <w:rPr>
          <w:rFonts w:hint="eastAsia" w:ascii="宋体" w:hAnsi="宋体"/>
          <w:szCs w:val="21"/>
        </w:rPr>
      </w:pPr>
      <w:r>
        <w:rPr>
          <w:rFonts w:hint="eastAsia" w:ascii="宋体" w:hAnsi="宋体"/>
          <w:szCs w:val="21"/>
          <w:lang w:bidi="ar"/>
        </w:rPr>
        <w:t>52.6.1供应商提交的质疑符合受理条件的，政府集中采购机构自收到质疑材料之日起即为受理，应当向供应商出具质疑函收文回执。</w:t>
      </w:r>
    </w:p>
    <w:p w14:paraId="6F4E52AA">
      <w:pPr>
        <w:ind w:firstLine="420" w:firstLineChars="200"/>
        <w:rPr>
          <w:rFonts w:hint="eastAsia" w:ascii="仿宋" w:hAnsi="仿宋" w:eastAsia="仿宋"/>
          <w:sz w:val="28"/>
          <w:szCs w:val="28"/>
        </w:rPr>
      </w:pPr>
      <w:r>
        <w:rPr>
          <w:rFonts w:hint="eastAsia" w:ascii="宋体" w:hAnsi="宋体"/>
          <w:szCs w:val="21"/>
          <w:lang w:bidi="ar"/>
        </w:rPr>
        <w:t>52.6.2供应商提交的质疑材料不符合质疑条件的，视情况处理：</w:t>
      </w:r>
    </w:p>
    <w:p w14:paraId="62A428DD">
      <w:pPr>
        <w:ind w:firstLine="420" w:firstLineChars="200"/>
        <w:rPr>
          <w:rFonts w:hint="eastAsia" w:ascii="宋体" w:hAnsi="宋体"/>
          <w:szCs w:val="21"/>
        </w:rPr>
      </w:pPr>
      <w:r>
        <w:rPr>
          <w:rFonts w:hint="eastAsia" w:ascii="宋体" w:hAnsi="宋体"/>
          <w:szCs w:val="21"/>
          <w:lang w:bidi="ar"/>
        </w:rPr>
        <w:t>供应商提交的质疑材料不全或者未按要求签字或者盖章的，政府集中采购机构应当一次性告知供应商需补正的内容和补正期限。</w:t>
      </w:r>
    </w:p>
    <w:p w14:paraId="428FA8E4">
      <w:pPr>
        <w:ind w:firstLine="420" w:firstLineChars="200"/>
        <w:rPr>
          <w:rFonts w:hint="eastAsia" w:ascii="宋体" w:hAnsi="宋体"/>
          <w:szCs w:val="21"/>
        </w:rPr>
      </w:pPr>
      <w:r>
        <w:rPr>
          <w:rFonts w:hint="eastAsia" w:ascii="宋体" w:hAnsi="宋体"/>
          <w:szCs w:val="21"/>
          <w:lang w:bidi="ar"/>
        </w:rPr>
        <w:t>供应商提交的质疑存在下列情形之一的，不予受理：</w:t>
      </w:r>
    </w:p>
    <w:p w14:paraId="294D1487">
      <w:pPr>
        <w:ind w:firstLine="420" w:firstLineChars="200"/>
        <w:rPr>
          <w:rFonts w:hint="eastAsia" w:ascii="宋体" w:hAnsi="宋体"/>
          <w:szCs w:val="21"/>
        </w:rPr>
      </w:pPr>
      <w:r>
        <w:rPr>
          <w:rFonts w:hint="eastAsia" w:ascii="宋体" w:hAnsi="宋体"/>
          <w:szCs w:val="21"/>
          <w:lang w:bidi="ar"/>
        </w:rPr>
        <w:t>（1）质疑主体不满足要求的；</w:t>
      </w:r>
    </w:p>
    <w:p w14:paraId="31F8762B">
      <w:pPr>
        <w:ind w:firstLine="420" w:firstLineChars="200"/>
        <w:rPr>
          <w:rFonts w:hint="eastAsia" w:ascii="宋体" w:hAnsi="宋体"/>
          <w:szCs w:val="21"/>
        </w:rPr>
      </w:pPr>
      <w:r>
        <w:rPr>
          <w:rFonts w:hint="eastAsia" w:ascii="宋体" w:hAnsi="宋体"/>
          <w:szCs w:val="21"/>
          <w:lang w:bidi="ar"/>
        </w:rPr>
        <w:t>（2）供应商自身权益未受到损害的；</w:t>
      </w:r>
    </w:p>
    <w:p w14:paraId="0687E6C0">
      <w:pPr>
        <w:ind w:firstLine="420" w:firstLineChars="200"/>
        <w:rPr>
          <w:rFonts w:hint="eastAsia" w:ascii="宋体" w:hAnsi="宋体"/>
          <w:szCs w:val="21"/>
        </w:rPr>
      </w:pPr>
      <w:r>
        <w:rPr>
          <w:rFonts w:hint="eastAsia" w:ascii="宋体" w:hAnsi="宋体"/>
          <w:szCs w:val="21"/>
          <w:lang w:bidi="ar"/>
        </w:rPr>
        <w:t>（3）供应商未在法定质疑期限内提出质疑的；</w:t>
      </w:r>
    </w:p>
    <w:p w14:paraId="3B99C58F">
      <w:pPr>
        <w:ind w:firstLine="420" w:firstLineChars="200"/>
        <w:rPr>
          <w:rFonts w:hint="eastAsia" w:ascii="宋体" w:hAnsi="宋体"/>
          <w:szCs w:val="21"/>
        </w:rPr>
      </w:pPr>
      <w:r>
        <w:rPr>
          <w:rFonts w:hint="eastAsia" w:ascii="宋体" w:hAnsi="宋体"/>
          <w:szCs w:val="21"/>
          <w:lang w:bidi="ar"/>
        </w:rPr>
        <w:t>（4）质疑材料不全或者未按要求签字或者盖章的情况下，要求补正后，逾期未补正或者补正后仍不符合规定的；</w:t>
      </w:r>
    </w:p>
    <w:p w14:paraId="5798CA71">
      <w:pPr>
        <w:ind w:firstLine="420" w:firstLineChars="200"/>
        <w:rPr>
          <w:rFonts w:hint="eastAsia" w:ascii="宋体" w:hAnsi="宋体"/>
          <w:szCs w:val="21"/>
        </w:rPr>
      </w:pPr>
      <w:r>
        <w:rPr>
          <w:rFonts w:hint="eastAsia" w:ascii="宋体" w:hAnsi="宋体"/>
          <w:szCs w:val="21"/>
          <w:lang w:bidi="ar"/>
        </w:rPr>
        <w:t>（5）其他不符合受理条件情形的。</w:t>
      </w:r>
    </w:p>
    <w:p w14:paraId="540BFDA0">
      <w:pPr>
        <w:ind w:firstLine="420" w:firstLineChars="200"/>
        <w:rPr>
          <w:rFonts w:hint="eastAsia" w:ascii="宋体" w:hAnsi="宋体"/>
          <w:szCs w:val="21"/>
        </w:rPr>
      </w:pPr>
      <w:r>
        <w:rPr>
          <w:rFonts w:hint="eastAsia" w:ascii="宋体" w:hAnsi="宋体"/>
          <w:szCs w:val="21"/>
          <w:lang w:bidi="ar"/>
        </w:rPr>
        <w:t>质疑事项不予受理的，政府集中采购机构应当向供应商出具不符合质疑条件告知书或系统中说明不符合质疑条件的理由。</w:t>
      </w:r>
    </w:p>
    <w:p w14:paraId="2306C954">
      <w:pPr>
        <w:rPr>
          <w:rFonts w:hint="eastAsia" w:ascii="宋体" w:hAnsi="宋体"/>
          <w:szCs w:val="21"/>
        </w:rPr>
      </w:pPr>
      <w:r>
        <w:rPr>
          <w:rFonts w:hint="eastAsia" w:ascii="宋体" w:hAnsi="宋体"/>
          <w:szCs w:val="21"/>
          <w:lang w:bidi="ar"/>
        </w:rPr>
        <w:t xml:space="preserve">    52.7质疑答复时限</w:t>
      </w:r>
    </w:p>
    <w:p w14:paraId="64A6C2D9">
      <w:pPr>
        <w:rPr>
          <w:rFonts w:hint="eastAsia" w:ascii="宋体" w:hAnsi="宋体"/>
          <w:szCs w:val="21"/>
        </w:rPr>
      </w:pPr>
      <w:r>
        <w:rPr>
          <w:rFonts w:hint="eastAsia" w:ascii="宋体" w:hAnsi="宋体"/>
          <w:szCs w:val="21"/>
          <w:lang w:bidi="ar"/>
        </w:rPr>
        <w:t xml:space="preserve">    自收文之日起七个工作日内。</w:t>
      </w:r>
    </w:p>
    <w:p w14:paraId="088F35D1">
      <w:pPr>
        <w:rPr>
          <w:rFonts w:hint="eastAsia" w:ascii="宋体" w:hAnsi="宋体"/>
          <w:szCs w:val="21"/>
        </w:rPr>
      </w:pPr>
      <w:r>
        <w:rPr>
          <w:rFonts w:hint="eastAsia" w:ascii="宋体" w:hAnsi="宋体"/>
          <w:szCs w:val="21"/>
          <w:lang w:bidi="ar"/>
        </w:rPr>
        <w:t xml:space="preserve">    52.8投诉</w:t>
      </w:r>
    </w:p>
    <w:p w14:paraId="3B66C464">
      <w:pPr>
        <w:ind w:firstLine="420"/>
        <w:rPr>
          <w:rFonts w:hint="eastAsia" w:ascii="宋体" w:hAnsi="宋体"/>
          <w:szCs w:val="21"/>
        </w:rPr>
      </w:pPr>
      <w:r>
        <w:rPr>
          <w:rFonts w:hint="eastAsia" w:ascii="宋体" w:hAnsi="宋体"/>
          <w:szCs w:val="21"/>
          <w:lang w:bidi="ar"/>
        </w:rPr>
        <w:t>对质疑答复不满意或者未在规定时间内答复的，提出质疑的供应商可以在答复期满后15个工作日内向同级财政部门投诉。</w:t>
      </w:r>
    </w:p>
    <w:p w14:paraId="00A07283">
      <w:pPr>
        <w:ind w:firstLine="420"/>
        <w:rPr>
          <w:rFonts w:ascii="Calibri" w:hAnsi="Calibri"/>
          <w:szCs w:val="22"/>
        </w:rPr>
      </w:pPr>
      <w:bookmarkStart w:id="147" w:name="OLE_LINK4"/>
      <w:r>
        <w:rPr>
          <w:rFonts w:hint="eastAsia" w:ascii="Calibri" w:hAnsi="Calibri"/>
          <w:szCs w:val="22"/>
          <w:lang w:bidi="ar"/>
        </w:rPr>
        <w:t>如供应商采用线上提交质疑方式的，</w:t>
      </w:r>
      <w:bookmarkEnd w:id="147"/>
      <w:r>
        <w:rPr>
          <w:rFonts w:hint="eastAsia" w:ascii="Calibri" w:hAnsi="Calibri"/>
          <w:szCs w:val="22"/>
          <w:lang w:bidi="ar"/>
        </w:rPr>
        <w:t>可以登录深圳政府采购智慧</w:t>
      </w:r>
      <w:r>
        <w:rPr>
          <w:rFonts w:ascii="Calibri" w:hAnsi="Calibri"/>
          <w:szCs w:val="22"/>
          <w:lang w:bidi="ar"/>
        </w:rPr>
        <w:t>(</w:t>
      </w:r>
      <w:r>
        <w:rPr>
          <w:rFonts w:hint="eastAsia" w:ascii="Calibri" w:hAnsi="Calibri"/>
          <w:szCs w:val="22"/>
          <w:lang w:bidi="ar"/>
        </w:rPr>
        <w:t>监管</w:t>
      </w:r>
      <w:r>
        <w:rPr>
          <w:rFonts w:ascii="Calibri" w:hAnsi="Calibri"/>
          <w:szCs w:val="22"/>
          <w:lang w:bidi="ar"/>
        </w:rPr>
        <w:t>)</w:t>
      </w:r>
      <w:r>
        <w:rPr>
          <w:rFonts w:hint="eastAsia" w:ascii="Calibri" w:hAnsi="Calibri"/>
          <w:szCs w:val="22"/>
          <w:lang w:bidi="ar"/>
        </w:rPr>
        <w:t>平台（</w:t>
      </w:r>
      <w:r>
        <w:rPr>
          <w:rFonts w:ascii="Calibri" w:hAnsi="Calibri"/>
          <w:szCs w:val="22"/>
          <w:lang w:bidi="ar"/>
        </w:rPr>
        <w:t>http://zfcg.szggzy.com:8081/</w:t>
      </w:r>
      <w:r>
        <w:rPr>
          <w:rFonts w:hint="eastAsia" w:ascii="Calibri" w:hAnsi="Calibri"/>
          <w:szCs w:val="22"/>
          <w:lang w:bidi="ar"/>
        </w:rPr>
        <w:t>）→“深圳政府采购智慧</w:t>
      </w:r>
      <w:r>
        <w:rPr>
          <w:rFonts w:ascii="Calibri" w:hAnsi="Calibri"/>
          <w:szCs w:val="22"/>
          <w:lang w:bidi="ar"/>
        </w:rPr>
        <w:t>(</w:t>
      </w:r>
      <w:r>
        <w:rPr>
          <w:rFonts w:hint="eastAsia" w:ascii="Calibri" w:hAnsi="Calibri"/>
          <w:szCs w:val="22"/>
          <w:lang w:bidi="ar"/>
        </w:rPr>
        <w:t>监管</w:t>
      </w:r>
      <w:r>
        <w:rPr>
          <w:rFonts w:ascii="Calibri" w:hAnsi="Calibri"/>
          <w:szCs w:val="22"/>
          <w:lang w:bidi="ar"/>
        </w:rPr>
        <w:t>)</w:t>
      </w:r>
      <w:r>
        <w:rPr>
          <w:rFonts w:hint="eastAsia" w:ascii="Calibri" w:hAnsi="Calibri"/>
          <w:szCs w:val="22"/>
          <w:lang w:bidi="ar"/>
        </w:rPr>
        <w:t>平台用户网上办事子系统（</w:t>
      </w:r>
      <w:r>
        <w:rPr>
          <w:rFonts w:ascii="Calibri" w:hAnsi="Calibri"/>
          <w:szCs w:val="22"/>
          <w:lang w:bidi="ar"/>
        </w:rPr>
        <w:t>http://zfcg.szggzy.com:8081/TPBidder/memberLogin</w:t>
      </w:r>
      <w:r>
        <w:rPr>
          <w:rFonts w:hint="eastAsia" w:ascii="Calibri" w:hAnsi="Calibri"/>
          <w:szCs w:val="22"/>
          <w:lang w:bidi="ar"/>
        </w:rPr>
        <w:t>）”，在“【我的项目】→【项目流程】→【投诉】”功能点中提交投诉。</w:t>
      </w:r>
    </w:p>
    <w:p w14:paraId="350809D5">
      <w:pPr>
        <w:rPr>
          <w:rFonts w:hint="eastAsia" w:ascii="黑体" w:hAnsi="宋体" w:eastAsia="黑体"/>
          <w:sz w:val="24"/>
        </w:rPr>
      </w:pPr>
      <w:r>
        <w:rPr>
          <w:rFonts w:hint="eastAsia" w:ascii="黑体" w:hAnsi="宋体" w:eastAsia="黑体"/>
          <w:sz w:val="24"/>
          <w:lang w:bidi="ar"/>
        </w:rPr>
        <w:t>53. 质疑后续处理</w:t>
      </w:r>
    </w:p>
    <w:p w14:paraId="500FA18B">
      <w:pPr>
        <w:rPr>
          <w:rFonts w:hint="eastAsia" w:ascii="宋体" w:hAnsi="宋体"/>
          <w:szCs w:val="21"/>
        </w:rPr>
      </w:pPr>
      <w:r>
        <w:rPr>
          <w:rFonts w:hint="eastAsia" w:ascii="宋体" w:hAnsi="宋体"/>
          <w:szCs w:val="21"/>
          <w:lang w:bidi="ar"/>
        </w:rPr>
        <w:t xml:space="preserve">    53.1供应商质疑不成立，或者成立但未对中标、成交结果构成影响的，继续开展采购活动。</w:t>
      </w:r>
    </w:p>
    <w:p w14:paraId="55A8FE01">
      <w:pPr>
        <w:ind w:firstLine="420"/>
        <w:rPr>
          <w:rFonts w:hint="eastAsia" w:ascii="宋体" w:hAnsi="宋体"/>
          <w:szCs w:val="21"/>
        </w:rPr>
      </w:pPr>
      <w:r>
        <w:rPr>
          <w:rFonts w:hint="eastAsia" w:ascii="宋体" w:hAnsi="宋体"/>
          <w:szCs w:val="21"/>
          <w:lang w:bidi="ar"/>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79F83732">
      <w:pPr>
        <w:ind w:firstLine="420"/>
        <w:rPr>
          <w:rFonts w:hint="eastAsia" w:ascii="宋体" w:hAnsi="宋体"/>
          <w:szCs w:val="21"/>
        </w:rPr>
      </w:pPr>
      <w:r>
        <w:rPr>
          <w:rFonts w:hint="eastAsia" w:ascii="宋体" w:hAnsi="宋体"/>
          <w:szCs w:val="21"/>
        </w:rPr>
        <w:t>53.3被质疑供应商应配合提供质疑答辩意见,并提供相关证据材料,逾期不作书面答辩的,视同放弃答辩权利,依法承担由此可能产生的不利法律后果。</w:t>
      </w:r>
    </w:p>
    <w:p w14:paraId="00218634">
      <w:pPr>
        <w:jc w:val="center"/>
      </w:pPr>
      <w:r>
        <w:t>---- END ----</w:t>
      </w:r>
      <w:bookmarkEnd w:id="143"/>
    </w:p>
    <w:p w14:paraId="03CBC7C4"/>
    <w:p w14:paraId="7DB35E37"/>
    <w:sectPr>
      <w:headerReference r:id="rId8" w:type="default"/>
      <w:footerReference r:id="rId9" w:type="default"/>
      <w:pgSz w:w="11907" w:h="16840"/>
      <w:pgMar w:top="1440" w:right="1797" w:bottom="1440" w:left="1797" w:header="851" w:footer="992" w:gutter="0"/>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427784B-31BB-448D-A64B-0C14BA9CF871}"/>
  </w:font>
  <w:font w:name="Arial">
    <w:panose1 w:val="020B0604020202020204"/>
    <w:charset w:val="01"/>
    <w:family w:val="swiss"/>
    <w:pitch w:val="default"/>
    <w:sig w:usb0="E0002EFF" w:usb1="C000785B" w:usb2="00000009" w:usb3="00000000" w:csb0="400001FF" w:csb1="FFFF0000"/>
    <w:embedRegular r:id="rId2" w:fontKey="{986FFABD-67F4-4947-A528-4FAE6D55F18F}"/>
  </w:font>
  <w:font w:name="黑体">
    <w:panose1 w:val="02010609060101010101"/>
    <w:charset w:val="86"/>
    <w:family w:val="auto"/>
    <w:pitch w:val="default"/>
    <w:sig w:usb0="800002BF" w:usb1="38CF7CFA" w:usb2="00000016" w:usb3="00000000" w:csb0="00040001" w:csb1="00000000"/>
    <w:embedRegular r:id="rId3" w:fontKey="{9F99C50B-2E52-4F5B-AF57-C0619C5171A5}"/>
  </w:font>
  <w:font w:name="Courier New">
    <w:panose1 w:val="02070309020205020404"/>
    <w:charset w:val="01"/>
    <w:family w:val="modern"/>
    <w:pitch w:val="default"/>
    <w:sig w:usb0="E0002EFF" w:usb1="C0007843" w:usb2="00000009" w:usb3="00000000" w:csb0="400001FF" w:csb1="FFFF0000"/>
    <w:embedRegular r:id="rId4" w:fontKey="{58E8B963-668D-44EC-99A0-69CF034DBAC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B8478C62-2778-43AE-93BE-2A940E714B42}"/>
  </w:font>
  <w:font w:name="隶书">
    <w:panose1 w:val="0201050906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0" w:csb1="00000000"/>
  </w:font>
  <w:font w:name="新宋体">
    <w:panose1 w:val="02010609030101010101"/>
    <w:charset w:val="86"/>
    <w:family w:val="modern"/>
    <w:pitch w:val="default"/>
    <w:sig w:usb0="00000203" w:usb1="288F0000" w:usb2="00000006" w:usb3="00000000" w:csb0="00040001" w:csb1="00000000"/>
    <w:embedRegular r:id="rId6" w:fontKey="{E5357BB9-E664-41A6-823F-9CB0F59F2E6C}"/>
  </w:font>
  <w:font w:name="仿宋">
    <w:panose1 w:val="02010609060101010101"/>
    <w:charset w:val="86"/>
    <w:family w:val="modern"/>
    <w:pitch w:val="default"/>
    <w:sig w:usb0="800002BF" w:usb1="38CF7CFA" w:usb2="00000016" w:usb3="00000000" w:csb0="00040001" w:csb1="00000000"/>
    <w:embedRegular r:id="rId7" w:fontKey="{639EAA7F-EFC2-4D36-BFD1-1D05A4F439BC}"/>
  </w:font>
  <w:font w:name="仿宋_GB2312">
    <w:panose1 w:val="02010609030101010101"/>
    <w:charset w:val="86"/>
    <w:family w:val="modern"/>
    <w:pitch w:val="default"/>
    <w:sig w:usb0="00000001" w:usb1="080E0000" w:usb2="00000000" w:usb3="00000000" w:csb0="00040000" w:csb1="00000000"/>
    <w:embedRegular r:id="rId8" w:fontKey="{5C6A15E2-8858-4C96-8C25-1CC54B270C68}"/>
  </w:font>
  <w:font w:name="微软雅黑">
    <w:panose1 w:val="020B0503020204020204"/>
    <w:charset w:val="86"/>
    <w:family w:val="auto"/>
    <w:pitch w:val="default"/>
    <w:sig w:usb0="80000287" w:usb1="2ACF3C50" w:usb2="00000016" w:usb3="00000000" w:csb0="0004001F" w:csb1="00000000"/>
    <w:embedRegular r:id="rId9" w:fontKey="{B8976A00-48B3-4BAF-9C14-8EBEC0A18B31}"/>
  </w:font>
  <w:font w:name="华文中宋">
    <w:panose1 w:val="02010600040101010101"/>
    <w:charset w:val="86"/>
    <w:family w:val="auto"/>
    <w:pitch w:val="default"/>
    <w:sig w:usb0="00000287" w:usb1="080F0000" w:usb2="00000000" w:usb3="00000000" w:csb0="0004009F" w:csb1="DFD70000"/>
    <w:embedRegular r:id="rId10" w:fontKey="{AB7F8142-7173-413F-8D6F-52DA763CB0D9}"/>
  </w:font>
  <w:font w:name="汉仪书宋二S">
    <w:panose1 w:val="00020600040101010101"/>
    <w:charset w:val="86"/>
    <w:family w:val="auto"/>
    <w:pitch w:val="default"/>
    <w:sig w:usb0="A00002BF" w:usb1="18EF7CFA" w:usb2="00000016" w:usb3="00000000" w:csb0="00040000" w:csb1="00000000"/>
    <w:embedRegular r:id="rId11" w:fontKey="{A1258CA5-1F32-4093-8551-B577A486D454}"/>
  </w:font>
  <w:font w:name="华文楷体">
    <w:panose1 w:val="02010600040101010101"/>
    <w:charset w:val="86"/>
    <w:family w:val="auto"/>
    <w:pitch w:val="default"/>
    <w:sig w:usb0="00000287" w:usb1="080F0000" w:usb2="00000000" w:usb3="00000000" w:csb0="0004009F" w:csb1="DFD70000"/>
    <w:embedRegular r:id="rId12" w:fontKey="{A5EFE29F-9E1C-4B00-977C-3874D641A5DA}"/>
  </w:font>
  <w:font w:name="ˎ̥">
    <w:altName w:val="微软雅黑"/>
    <w:panose1 w:val="00000000000000000000"/>
    <w:charset w:val="00"/>
    <w:family w:val="auto"/>
    <w:pitch w:val="default"/>
    <w:sig w:usb0="00000000" w:usb1="00000000" w:usb2="00000000" w:usb3="00000000" w:csb0="00040001" w:csb1="00000000"/>
    <w:embedRegular r:id="rId13" w:fontKey="{430A4492-35FA-41B7-BB6C-5559B9E2194D}"/>
  </w:font>
  <w:font w:name="WPSEMBED3">
    <w:panose1 w:val="02010609030101010101"/>
    <w:charset w:val="86"/>
    <w:family w:val="auto"/>
    <w:pitch w:val="default"/>
    <w:sig w:usb0="00000001" w:usb1="080E0000" w:usb2="00000000" w:usb3="00000000" w:csb0="00040000" w:csb1="00000000"/>
  </w:font>
  <w:font w:name="WPSEMBED4">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19CA7">
    <w:pPr>
      <w:pStyle w:val="10"/>
      <w:framePr w:wrap="around" w:vAnchor="text" w:hAnchor="margin" w:xAlign="center" w:y="1"/>
      <w:rPr>
        <w:rStyle w:val="25"/>
      </w:rPr>
    </w:pPr>
    <w:r>
      <w:t xml:space="preserve">- </w:t>
    </w:r>
    <w:r>
      <w:fldChar w:fldCharType="begin"/>
    </w:r>
    <w:r>
      <w:instrText xml:space="preserve"> PAGE </w:instrText>
    </w:r>
    <w:r>
      <w:fldChar w:fldCharType="separate"/>
    </w:r>
    <w:r>
      <w:t>7</w:t>
    </w:r>
    <w:r>
      <w:fldChar w:fldCharType="end"/>
    </w:r>
    <w:r>
      <w:t xml:space="preserve"> -</w:t>
    </w:r>
  </w:p>
  <w:p w14:paraId="190383CA">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8645C">
    <w:pPr>
      <w:pStyle w:val="10"/>
      <w:framePr w:wrap="around" w:vAnchor="text" w:hAnchor="margin" w:xAlign="center" w:y="1"/>
      <w:rPr>
        <w:rStyle w:val="25"/>
      </w:rPr>
    </w:pPr>
    <w:r>
      <w:rPr>
        <w:rStyle w:val="25"/>
      </w:rPr>
      <w:fldChar w:fldCharType="begin"/>
    </w:r>
    <w:r>
      <w:rPr>
        <w:rStyle w:val="25"/>
      </w:rPr>
      <w:instrText xml:space="preserve">PAGE  </w:instrText>
    </w:r>
    <w:r>
      <w:rPr>
        <w:rStyle w:val="25"/>
      </w:rPr>
      <w:fldChar w:fldCharType="end"/>
    </w:r>
  </w:p>
  <w:p w14:paraId="4E9279A2">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C7C4B">
    <w:pPr>
      <w:tabs>
        <w:tab w:val="center" w:pos="4153"/>
        <w:tab w:val="right" w:pos="8306"/>
      </w:tabs>
      <w:snapToGrid w:val="0"/>
      <w:jc w:val="left"/>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E5786">
    <w:pPr>
      <w:tabs>
        <w:tab w:val="center" w:pos="4153"/>
        <w:tab w:val="right" w:pos="8306"/>
      </w:tabs>
      <w:snapToGrid w:val="0"/>
      <w:jc w:val="left"/>
      <w:rPr>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68055">
    <w:pPr>
      <w:pStyle w:val="1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BB52B">
    <w:pPr>
      <w:tabs>
        <w:tab w:val="center" w:pos="4153"/>
        <w:tab w:val="right" w:pos="8306"/>
      </w:tabs>
      <w:snapToGrid w:val="0"/>
      <w:rPr>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50180">
    <w:pPr>
      <w:tabs>
        <w:tab w:val="center" w:pos="4153"/>
        <w:tab w:val="right" w:pos="8306"/>
      </w:tabs>
      <w:snapToGrid w:val="0"/>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1"/>
  </w:num>
  <w:num w:numId="3">
    <w:abstractNumId w:val="9"/>
  </w:num>
  <w:num w:numId="4">
    <w:abstractNumId w:val="3"/>
  </w:num>
  <w:num w:numId="5">
    <w:abstractNumId w:val="7"/>
  </w:num>
  <w:num w:numId="6">
    <w:abstractNumId w:val="5"/>
  </w:num>
  <w:num w:numId="7">
    <w:abstractNumId w:val="4"/>
  </w:num>
  <w:num w:numId="8">
    <w:abstractNumId w:val="2"/>
  </w:num>
  <w:num w:numId="9">
    <w:abstractNumId w:val="6"/>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xq">
    <w15:presenceInfo w15:providerId="WPS Office" w15:userId="3559739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liOWM2MzNlZjk4NTNhNjlmZThmZjcxNGE1Y2Q0ZmIifQ=="/>
  </w:docVars>
  <w:rsids>
    <w:rsidRoot w:val="004807DB"/>
    <w:rsid w:val="000012D7"/>
    <w:rsid w:val="00010BDB"/>
    <w:rsid w:val="00027631"/>
    <w:rsid w:val="000463B0"/>
    <w:rsid w:val="00072C34"/>
    <w:rsid w:val="000A7EA4"/>
    <w:rsid w:val="000F0800"/>
    <w:rsid w:val="000F6915"/>
    <w:rsid w:val="00100D24"/>
    <w:rsid w:val="00162897"/>
    <w:rsid w:val="00170106"/>
    <w:rsid w:val="00193C49"/>
    <w:rsid w:val="001A2A8E"/>
    <w:rsid w:val="001D6EAC"/>
    <w:rsid w:val="001F6B1D"/>
    <w:rsid w:val="002362B7"/>
    <w:rsid w:val="00254617"/>
    <w:rsid w:val="002D4C08"/>
    <w:rsid w:val="003215B7"/>
    <w:rsid w:val="003246C9"/>
    <w:rsid w:val="00324C6E"/>
    <w:rsid w:val="003526BD"/>
    <w:rsid w:val="00380DEA"/>
    <w:rsid w:val="00382E25"/>
    <w:rsid w:val="003A3645"/>
    <w:rsid w:val="003B2B54"/>
    <w:rsid w:val="003B4EC0"/>
    <w:rsid w:val="003D0344"/>
    <w:rsid w:val="003E4DC6"/>
    <w:rsid w:val="003F5F2A"/>
    <w:rsid w:val="00410AAB"/>
    <w:rsid w:val="00455FB9"/>
    <w:rsid w:val="00464FC5"/>
    <w:rsid w:val="00473A13"/>
    <w:rsid w:val="004807DB"/>
    <w:rsid w:val="004A21F9"/>
    <w:rsid w:val="004A63DF"/>
    <w:rsid w:val="004A6435"/>
    <w:rsid w:val="00535E71"/>
    <w:rsid w:val="00563274"/>
    <w:rsid w:val="00583994"/>
    <w:rsid w:val="005F49D3"/>
    <w:rsid w:val="006120AE"/>
    <w:rsid w:val="0063192C"/>
    <w:rsid w:val="00631989"/>
    <w:rsid w:val="006438DE"/>
    <w:rsid w:val="00686ADE"/>
    <w:rsid w:val="006A0B83"/>
    <w:rsid w:val="006A26A1"/>
    <w:rsid w:val="006B6004"/>
    <w:rsid w:val="006B7B88"/>
    <w:rsid w:val="006E6993"/>
    <w:rsid w:val="006F5756"/>
    <w:rsid w:val="00717B4E"/>
    <w:rsid w:val="00735C31"/>
    <w:rsid w:val="00745640"/>
    <w:rsid w:val="00757CD6"/>
    <w:rsid w:val="00792F2F"/>
    <w:rsid w:val="007A5EFE"/>
    <w:rsid w:val="00820F18"/>
    <w:rsid w:val="00850D02"/>
    <w:rsid w:val="0086256C"/>
    <w:rsid w:val="00866254"/>
    <w:rsid w:val="008A3BFB"/>
    <w:rsid w:val="008B71C5"/>
    <w:rsid w:val="008C5541"/>
    <w:rsid w:val="008E128C"/>
    <w:rsid w:val="008E4C98"/>
    <w:rsid w:val="00903639"/>
    <w:rsid w:val="00903684"/>
    <w:rsid w:val="00937DCA"/>
    <w:rsid w:val="0094064C"/>
    <w:rsid w:val="00960E41"/>
    <w:rsid w:val="009A39CD"/>
    <w:rsid w:val="009B578C"/>
    <w:rsid w:val="00A053D5"/>
    <w:rsid w:val="00A245C0"/>
    <w:rsid w:val="00A355BA"/>
    <w:rsid w:val="00A4376B"/>
    <w:rsid w:val="00A671F0"/>
    <w:rsid w:val="00A92263"/>
    <w:rsid w:val="00A96BFE"/>
    <w:rsid w:val="00AA41A7"/>
    <w:rsid w:val="00AB11B3"/>
    <w:rsid w:val="00AB76C3"/>
    <w:rsid w:val="00B12ACC"/>
    <w:rsid w:val="00B277AE"/>
    <w:rsid w:val="00B91A45"/>
    <w:rsid w:val="00BB5685"/>
    <w:rsid w:val="00BE4E01"/>
    <w:rsid w:val="00BF3FC7"/>
    <w:rsid w:val="00C3669A"/>
    <w:rsid w:val="00C41C21"/>
    <w:rsid w:val="00C74C41"/>
    <w:rsid w:val="00C83603"/>
    <w:rsid w:val="00C84B4D"/>
    <w:rsid w:val="00CA7EEA"/>
    <w:rsid w:val="00CB136C"/>
    <w:rsid w:val="00CD0F3F"/>
    <w:rsid w:val="00CE6A89"/>
    <w:rsid w:val="00D0224D"/>
    <w:rsid w:val="00D06E8A"/>
    <w:rsid w:val="00D15FD5"/>
    <w:rsid w:val="00D20B4D"/>
    <w:rsid w:val="00D279F6"/>
    <w:rsid w:val="00D35359"/>
    <w:rsid w:val="00D66687"/>
    <w:rsid w:val="00DB31BA"/>
    <w:rsid w:val="00DF67AD"/>
    <w:rsid w:val="00DF6CE4"/>
    <w:rsid w:val="00E0770D"/>
    <w:rsid w:val="00E07ED1"/>
    <w:rsid w:val="00E546AF"/>
    <w:rsid w:val="00E8726E"/>
    <w:rsid w:val="00EC6680"/>
    <w:rsid w:val="00F0456A"/>
    <w:rsid w:val="00F17C5E"/>
    <w:rsid w:val="00F42E51"/>
    <w:rsid w:val="00F4312A"/>
    <w:rsid w:val="00F96067"/>
    <w:rsid w:val="00FD1625"/>
    <w:rsid w:val="01064C9A"/>
    <w:rsid w:val="01161381"/>
    <w:rsid w:val="011A24F4"/>
    <w:rsid w:val="01211AD4"/>
    <w:rsid w:val="013435B5"/>
    <w:rsid w:val="0136732D"/>
    <w:rsid w:val="01395070"/>
    <w:rsid w:val="014D0B1B"/>
    <w:rsid w:val="01545A05"/>
    <w:rsid w:val="015B5DA5"/>
    <w:rsid w:val="015D0D5E"/>
    <w:rsid w:val="01675739"/>
    <w:rsid w:val="016C7665"/>
    <w:rsid w:val="017442FA"/>
    <w:rsid w:val="017B5008"/>
    <w:rsid w:val="01856881"/>
    <w:rsid w:val="01874535"/>
    <w:rsid w:val="01A7022B"/>
    <w:rsid w:val="01AA1AC9"/>
    <w:rsid w:val="01C7267B"/>
    <w:rsid w:val="01C81F7D"/>
    <w:rsid w:val="01D06072"/>
    <w:rsid w:val="01D628BE"/>
    <w:rsid w:val="01DD3C4D"/>
    <w:rsid w:val="01EC5C3E"/>
    <w:rsid w:val="01F01BD2"/>
    <w:rsid w:val="01F9035B"/>
    <w:rsid w:val="01FD609D"/>
    <w:rsid w:val="020049D1"/>
    <w:rsid w:val="021653B1"/>
    <w:rsid w:val="021D3C05"/>
    <w:rsid w:val="02532161"/>
    <w:rsid w:val="027C0B8B"/>
    <w:rsid w:val="0283101D"/>
    <w:rsid w:val="02847F05"/>
    <w:rsid w:val="02866093"/>
    <w:rsid w:val="02921448"/>
    <w:rsid w:val="02A23BF1"/>
    <w:rsid w:val="02A8425B"/>
    <w:rsid w:val="02B5507D"/>
    <w:rsid w:val="02C012B3"/>
    <w:rsid w:val="02C46BBB"/>
    <w:rsid w:val="02C739AD"/>
    <w:rsid w:val="02E63B0F"/>
    <w:rsid w:val="02FF1990"/>
    <w:rsid w:val="031C2553"/>
    <w:rsid w:val="032338E1"/>
    <w:rsid w:val="03241355"/>
    <w:rsid w:val="03253AFD"/>
    <w:rsid w:val="03367AB9"/>
    <w:rsid w:val="03404493"/>
    <w:rsid w:val="03541CED"/>
    <w:rsid w:val="03801497"/>
    <w:rsid w:val="0397607D"/>
    <w:rsid w:val="039842CF"/>
    <w:rsid w:val="039D18E6"/>
    <w:rsid w:val="03B95FF4"/>
    <w:rsid w:val="03BB1D6C"/>
    <w:rsid w:val="03CE4785"/>
    <w:rsid w:val="03D45F38"/>
    <w:rsid w:val="03E312C3"/>
    <w:rsid w:val="03EF64F7"/>
    <w:rsid w:val="03F90AE6"/>
    <w:rsid w:val="040000C7"/>
    <w:rsid w:val="040F3E66"/>
    <w:rsid w:val="04153D40"/>
    <w:rsid w:val="041D47D5"/>
    <w:rsid w:val="041D6583"/>
    <w:rsid w:val="042042C5"/>
    <w:rsid w:val="04267B2D"/>
    <w:rsid w:val="04284AA8"/>
    <w:rsid w:val="042E253E"/>
    <w:rsid w:val="043C7483"/>
    <w:rsid w:val="044F2C20"/>
    <w:rsid w:val="047F2D99"/>
    <w:rsid w:val="04A66578"/>
    <w:rsid w:val="04AA0EC4"/>
    <w:rsid w:val="04B11640"/>
    <w:rsid w:val="04CE1F73"/>
    <w:rsid w:val="04E15802"/>
    <w:rsid w:val="04E84DE3"/>
    <w:rsid w:val="04EB6681"/>
    <w:rsid w:val="04F163C2"/>
    <w:rsid w:val="04FD4DC7"/>
    <w:rsid w:val="05047743"/>
    <w:rsid w:val="05151950"/>
    <w:rsid w:val="052B1173"/>
    <w:rsid w:val="052C6BD1"/>
    <w:rsid w:val="053973EC"/>
    <w:rsid w:val="053C0C8A"/>
    <w:rsid w:val="05505BF3"/>
    <w:rsid w:val="055204AE"/>
    <w:rsid w:val="05557F4F"/>
    <w:rsid w:val="056C5A14"/>
    <w:rsid w:val="05760640"/>
    <w:rsid w:val="058014BF"/>
    <w:rsid w:val="05852631"/>
    <w:rsid w:val="05863F97"/>
    <w:rsid w:val="05997E8B"/>
    <w:rsid w:val="05A625A8"/>
    <w:rsid w:val="05C23605"/>
    <w:rsid w:val="05C80770"/>
    <w:rsid w:val="05C869C2"/>
    <w:rsid w:val="05CF31A3"/>
    <w:rsid w:val="05DC1613"/>
    <w:rsid w:val="05DF17A5"/>
    <w:rsid w:val="05FD48BE"/>
    <w:rsid w:val="060A7D56"/>
    <w:rsid w:val="0619721E"/>
    <w:rsid w:val="06201FD1"/>
    <w:rsid w:val="0620235A"/>
    <w:rsid w:val="06224324"/>
    <w:rsid w:val="06296D5E"/>
    <w:rsid w:val="063D4CBA"/>
    <w:rsid w:val="0644429B"/>
    <w:rsid w:val="065B15E4"/>
    <w:rsid w:val="06615D22"/>
    <w:rsid w:val="066300E8"/>
    <w:rsid w:val="066B5CCB"/>
    <w:rsid w:val="067A5F0E"/>
    <w:rsid w:val="06840B3B"/>
    <w:rsid w:val="06896151"/>
    <w:rsid w:val="06B01930"/>
    <w:rsid w:val="06CC603E"/>
    <w:rsid w:val="06D511C9"/>
    <w:rsid w:val="06E3065B"/>
    <w:rsid w:val="06EC048E"/>
    <w:rsid w:val="06F6187A"/>
    <w:rsid w:val="06F85AA9"/>
    <w:rsid w:val="06FB72D7"/>
    <w:rsid w:val="07034156"/>
    <w:rsid w:val="0708176C"/>
    <w:rsid w:val="070E2DD2"/>
    <w:rsid w:val="07222102"/>
    <w:rsid w:val="07263FE0"/>
    <w:rsid w:val="072759F7"/>
    <w:rsid w:val="07464042"/>
    <w:rsid w:val="074F1149"/>
    <w:rsid w:val="07591FC8"/>
    <w:rsid w:val="075A30C1"/>
    <w:rsid w:val="0765110A"/>
    <w:rsid w:val="077E1A2E"/>
    <w:rsid w:val="07893F2F"/>
    <w:rsid w:val="07961BBB"/>
    <w:rsid w:val="07AC659B"/>
    <w:rsid w:val="07B45450"/>
    <w:rsid w:val="07D96C64"/>
    <w:rsid w:val="07FE66CB"/>
    <w:rsid w:val="080F2686"/>
    <w:rsid w:val="081B102B"/>
    <w:rsid w:val="081D1247"/>
    <w:rsid w:val="08236132"/>
    <w:rsid w:val="082A54E1"/>
    <w:rsid w:val="082C45F3"/>
    <w:rsid w:val="084367D4"/>
    <w:rsid w:val="084C5688"/>
    <w:rsid w:val="084D05E7"/>
    <w:rsid w:val="085409E1"/>
    <w:rsid w:val="085B1374"/>
    <w:rsid w:val="085E716A"/>
    <w:rsid w:val="0869623A"/>
    <w:rsid w:val="0874698D"/>
    <w:rsid w:val="088E04ED"/>
    <w:rsid w:val="088E5CA1"/>
    <w:rsid w:val="089B03BE"/>
    <w:rsid w:val="08AE00F1"/>
    <w:rsid w:val="08BB45BC"/>
    <w:rsid w:val="08C3170E"/>
    <w:rsid w:val="08C35F1E"/>
    <w:rsid w:val="08CB2A51"/>
    <w:rsid w:val="08D13DE0"/>
    <w:rsid w:val="08D46A4C"/>
    <w:rsid w:val="08DD4532"/>
    <w:rsid w:val="08F6501C"/>
    <w:rsid w:val="08FA3336"/>
    <w:rsid w:val="090441B5"/>
    <w:rsid w:val="09061CDB"/>
    <w:rsid w:val="09095327"/>
    <w:rsid w:val="090E293E"/>
    <w:rsid w:val="091A70EB"/>
    <w:rsid w:val="09242161"/>
    <w:rsid w:val="093A3733"/>
    <w:rsid w:val="09440A55"/>
    <w:rsid w:val="09442803"/>
    <w:rsid w:val="095F3199"/>
    <w:rsid w:val="09630EDC"/>
    <w:rsid w:val="09631893"/>
    <w:rsid w:val="096F5AD2"/>
    <w:rsid w:val="09755111"/>
    <w:rsid w:val="09756E61"/>
    <w:rsid w:val="09AD2157"/>
    <w:rsid w:val="09BC676A"/>
    <w:rsid w:val="09C556F2"/>
    <w:rsid w:val="09C86F91"/>
    <w:rsid w:val="09E66FF6"/>
    <w:rsid w:val="09EC7123"/>
    <w:rsid w:val="09FE0C04"/>
    <w:rsid w:val="0A0A57FB"/>
    <w:rsid w:val="0A140428"/>
    <w:rsid w:val="0A1A6F23"/>
    <w:rsid w:val="0A200B7B"/>
    <w:rsid w:val="0A2D14EA"/>
    <w:rsid w:val="0A313869"/>
    <w:rsid w:val="0A36039E"/>
    <w:rsid w:val="0A3925DE"/>
    <w:rsid w:val="0A474359"/>
    <w:rsid w:val="0A5627EE"/>
    <w:rsid w:val="0A6C0264"/>
    <w:rsid w:val="0A8C5F5E"/>
    <w:rsid w:val="0A95254D"/>
    <w:rsid w:val="0AA96DC2"/>
    <w:rsid w:val="0AB02121"/>
    <w:rsid w:val="0ABB76FA"/>
    <w:rsid w:val="0ABF0394"/>
    <w:rsid w:val="0AC37758"/>
    <w:rsid w:val="0ACA6D38"/>
    <w:rsid w:val="0ACF6A11"/>
    <w:rsid w:val="0AD11E75"/>
    <w:rsid w:val="0AD46A84"/>
    <w:rsid w:val="0AE53B72"/>
    <w:rsid w:val="0AE71698"/>
    <w:rsid w:val="0AEB5F77"/>
    <w:rsid w:val="0B04224A"/>
    <w:rsid w:val="0B125E37"/>
    <w:rsid w:val="0B226B74"/>
    <w:rsid w:val="0B2C17A1"/>
    <w:rsid w:val="0B2F504C"/>
    <w:rsid w:val="0B325009"/>
    <w:rsid w:val="0B3643CE"/>
    <w:rsid w:val="0B3D39AE"/>
    <w:rsid w:val="0B495EAF"/>
    <w:rsid w:val="0B582596"/>
    <w:rsid w:val="0B6158EF"/>
    <w:rsid w:val="0B626F71"/>
    <w:rsid w:val="0B776EC0"/>
    <w:rsid w:val="0B8760AB"/>
    <w:rsid w:val="0BBA5BBB"/>
    <w:rsid w:val="0BC63572"/>
    <w:rsid w:val="0BD7170D"/>
    <w:rsid w:val="0BF027CF"/>
    <w:rsid w:val="0C0A3890"/>
    <w:rsid w:val="0C177C63"/>
    <w:rsid w:val="0C2A7A8F"/>
    <w:rsid w:val="0C372D53"/>
    <w:rsid w:val="0C3923C8"/>
    <w:rsid w:val="0C572562"/>
    <w:rsid w:val="0C5E5E59"/>
    <w:rsid w:val="0C863F12"/>
    <w:rsid w:val="0C963376"/>
    <w:rsid w:val="0CA75583"/>
    <w:rsid w:val="0CAE706F"/>
    <w:rsid w:val="0CB657C6"/>
    <w:rsid w:val="0CB87790"/>
    <w:rsid w:val="0CBF484E"/>
    <w:rsid w:val="0CCB44C0"/>
    <w:rsid w:val="0CCD48BE"/>
    <w:rsid w:val="0CD619C5"/>
    <w:rsid w:val="0CD8050E"/>
    <w:rsid w:val="0CE40585"/>
    <w:rsid w:val="0D0B3D64"/>
    <w:rsid w:val="0D4C612B"/>
    <w:rsid w:val="0D5079C9"/>
    <w:rsid w:val="0D5439A7"/>
    <w:rsid w:val="0D576071"/>
    <w:rsid w:val="0D5C45C0"/>
    <w:rsid w:val="0D5F5E5E"/>
    <w:rsid w:val="0D7C256C"/>
    <w:rsid w:val="0D8B7B63"/>
    <w:rsid w:val="0D9C2C0E"/>
    <w:rsid w:val="0DA303ED"/>
    <w:rsid w:val="0DA9532B"/>
    <w:rsid w:val="0DC161D1"/>
    <w:rsid w:val="0DD856C5"/>
    <w:rsid w:val="0DDC125D"/>
    <w:rsid w:val="0DFC36AD"/>
    <w:rsid w:val="0E134225"/>
    <w:rsid w:val="0E24462C"/>
    <w:rsid w:val="0E285928"/>
    <w:rsid w:val="0E2F5830"/>
    <w:rsid w:val="0E415563"/>
    <w:rsid w:val="0E680D42"/>
    <w:rsid w:val="0E8004E8"/>
    <w:rsid w:val="0E8D07A9"/>
    <w:rsid w:val="0E916193"/>
    <w:rsid w:val="0EA0228A"/>
    <w:rsid w:val="0EB36461"/>
    <w:rsid w:val="0EEF3211"/>
    <w:rsid w:val="0EFD592E"/>
    <w:rsid w:val="0F0A3BA7"/>
    <w:rsid w:val="0F1D7D7F"/>
    <w:rsid w:val="0F1F3AF7"/>
    <w:rsid w:val="0F227143"/>
    <w:rsid w:val="0F67154B"/>
    <w:rsid w:val="0F692FC4"/>
    <w:rsid w:val="0F6E2388"/>
    <w:rsid w:val="0F773AEC"/>
    <w:rsid w:val="0F7D22E5"/>
    <w:rsid w:val="0F8751F8"/>
    <w:rsid w:val="0F882BE7"/>
    <w:rsid w:val="0F88760A"/>
    <w:rsid w:val="0F9C6EF5"/>
    <w:rsid w:val="0FA24F72"/>
    <w:rsid w:val="0FBF0E36"/>
    <w:rsid w:val="0FCF029B"/>
    <w:rsid w:val="0FF07438"/>
    <w:rsid w:val="0FF676C8"/>
    <w:rsid w:val="0FFC3E38"/>
    <w:rsid w:val="10093E5F"/>
    <w:rsid w:val="101747CE"/>
    <w:rsid w:val="102F7D69"/>
    <w:rsid w:val="10371EDE"/>
    <w:rsid w:val="105A7335"/>
    <w:rsid w:val="106A6FF4"/>
    <w:rsid w:val="106B4ABC"/>
    <w:rsid w:val="107E484D"/>
    <w:rsid w:val="107E65FB"/>
    <w:rsid w:val="10853E2D"/>
    <w:rsid w:val="10A06571"/>
    <w:rsid w:val="10A87B1C"/>
    <w:rsid w:val="10AA08EC"/>
    <w:rsid w:val="10AA5642"/>
    <w:rsid w:val="10C36704"/>
    <w:rsid w:val="10CD1330"/>
    <w:rsid w:val="10CD6F53"/>
    <w:rsid w:val="10CF32FA"/>
    <w:rsid w:val="10D053AB"/>
    <w:rsid w:val="10D80401"/>
    <w:rsid w:val="10D965F9"/>
    <w:rsid w:val="10E36DA6"/>
    <w:rsid w:val="10ED3781"/>
    <w:rsid w:val="10F42D61"/>
    <w:rsid w:val="10F44B0F"/>
    <w:rsid w:val="10FB1F86"/>
    <w:rsid w:val="11005262"/>
    <w:rsid w:val="1102722C"/>
    <w:rsid w:val="11080D80"/>
    <w:rsid w:val="112C271C"/>
    <w:rsid w:val="114917E9"/>
    <w:rsid w:val="114C04A7"/>
    <w:rsid w:val="11515ABE"/>
    <w:rsid w:val="116C6D9B"/>
    <w:rsid w:val="11851C0B"/>
    <w:rsid w:val="11856E21"/>
    <w:rsid w:val="11A402E3"/>
    <w:rsid w:val="11BC387F"/>
    <w:rsid w:val="11BD75F7"/>
    <w:rsid w:val="11C24C0D"/>
    <w:rsid w:val="11C5058A"/>
    <w:rsid w:val="11CA681E"/>
    <w:rsid w:val="11FE3E97"/>
    <w:rsid w:val="121C256F"/>
    <w:rsid w:val="122327D1"/>
    <w:rsid w:val="12296A3A"/>
    <w:rsid w:val="12301B77"/>
    <w:rsid w:val="12307DC9"/>
    <w:rsid w:val="1235718D"/>
    <w:rsid w:val="12445622"/>
    <w:rsid w:val="124F3295"/>
    <w:rsid w:val="126F15CC"/>
    <w:rsid w:val="127D5AD6"/>
    <w:rsid w:val="128F4AEF"/>
    <w:rsid w:val="12966605"/>
    <w:rsid w:val="12980212"/>
    <w:rsid w:val="12A1781C"/>
    <w:rsid w:val="12B207DE"/>
    <w:rsid w:val="12C16C73"/>
    <w:rsid w:val="12C624DB"/>
    <w:rsid w:val="12D720A5"/>
    <w:rsid w:val="12DA1AE3"/>
    <w:rsid w:val="12DE7825"/>
    <w:rsid w:val="12E36BE9"/>
    <w:rsid w:val="12E419A5"/>
    <w:rsid w:val="12E54381"/>
    <w:rsid w:val="12EC4418"/>
    <w:rsid w:val="12F928B1"/>
    <w:rsid w:val="12FC7CAB"/>
    <w:rsid w:val="130C4D7B"/>
    <w:rsid w:val="130E34D1"/>
    <w:rsid w:val="13113593"/>
    <w:rsid w:val="131E40C5"/>
    <w:rsid w:val="131E7C21"/>
    <w:rsid w:val="1336476B"/>
    <w:rsid w:val="13396F2D"/>
    <w:rsid w:val="134358DA"/>
    <w:rsid w:val="13525B1D"/>
    <w:rsid w:val="13541895"/>
    <w:rsid w:val="135950FD"/>
    <w:rsid w:val="135F0966"/>
    <w:rsid w:val="13611E59"/>
    <w:rsid w:val="136917E4"/>
    <w:rsid w:val="136F1CA1"/>
    <w:rsid w:val="13826402"/>
    <w:rsid w:val="1384217A"/>
    <w:rsid w:val="138C7281"/>
    <w:rsid w:val="138E5DA2"/>
    <w:rsid w:val="13954387"/>
    <w:rsid w:val="1399374C"/>
    <w:rsid w:val="13B660AC"/>
    <w:rsid w:val="13C07C74"/>
    <w:rsid w:val="13C44C6D"/>
    <w:rsid w:val="13CF288F"/>
    <w:rsid w:val="13D33304"/>
    <w:rsid w:val="13DA08F9"/>
    <w:rsid w:val="13DD5D2E"/>
    <w:rsid w:val="13E37621"/>
    <w:rsid w:val="13F5101B"/>
    <w:rsid w:val="14171240"/>
    <w:rsid w:val="14184FB8"/>
    <w:rsid w:val="141F00F5"/>
    <w:rsid w:val="14200B1E"/>
    <w:rsid w:val="14286B8F"/>
    <w:rsid w:val="142D357B"/>
    <w:rsid w:val="14636234"/>
    <w:rsid w:val="148368D6"/>
    <w:rsid w:val="148562AE"/>
    <w:rsid w:val="14901187"/>
    <w:rsid w:val="1497412F"/>
    <w:rsid w:val="14977C8B"/>
    <w:rsid w:val="14BC4363"/>
    <w:rsid w:val="14CB5B87"/>
    <w:rsid w:val="14CE4E21"/>
    <w:rsid w:val="14D273DE"/>
    <w:rsid w:val="14DB226E"/>
    <w:rsid w:val="14DF32C7"/>
    <w:rsid w:val="14F377D6"/>
    <w:rsid w:val="15023C9F"/>
    <w:rsid w:val="150572EB"/>
    <w:rsid w:val="15082937"/>
    <w:rsid w:val="150A4901"/>
    <w:rsid w:val="15170DCC"/>
    <w:rsid w:val="15190FE8"/>
    <w:rsid w:val="152C2AC9"/>
    <w:rsid w:val="15427A3C"/>
    <w:rsid w:val="155402F7"/>
    <w:rsid w:val="156428CA"/>
    <w:rsid w:val="156A35F2"/>
    <w:rsid w:val="15747FCD"/>
    <w:rsid w:val="15853F88"/>
    <w:rsid w:val="15985C8A"/>
    <w:rsid w:val="15A9411A"/>
    <w:rsid w:val="15DB004C"/>
    <w:rsid w:val="15E2587E"/>
    <w:rsid w:val="15E6711C"/>
    <w:rsid w:val="15F31839"/>
    <w:rsid w:val="15FA4976"/>
    <w:rsid w:val="16041350"/>
    <w:rsid w:val="16161084"/>
    <w:rsid w:val="162157D8"/>
    <w:rsid w:val="16290DB7"/>
    <w:rsid w:val="16465E0D"/>
    <w:rsid w:val="16582103"/>
    <w:rsid w:val="1666025D"/>
    <w:rsid w:val="16682151"/>
    <w:rsid w:val="16976668"/>
    <w:rsid w:val="16A6065A"/>
    <w:rsid w:val="16B05786"/>
    <w:rsid w:val="16B31A52"/>
    <w:rsid w:val="16B56AEF"/>
    <w:rsid w:val="16C136E5"/>
    <w:rsid w:val="16CA259A"/>
    <w:rsid w:val="16CE2080"/>
    <w:rsid w:val="16D9538A"/>
    <w:rsid w:val="16E11692"/>
    <w:rsid w:val="17035AAC"/>
    <w:rsid w:val="1703785A"/>
    <w:rsid w:val="171657DF"/>
    <w:rsid w:val="171F743F"/>
    <w:rsid w:val="172A3039"/>
    <w:rsid w:val="172D1FFA"/>
    <w:rsid w:val="17343EB7"/>
    <w:rsid w:val="173B6FF4"/>
    <w:rsid w:val="1742528B"/>
    <w:rsid w:val="174F1BF6"/>
    <w:rsid w:val="17575DF8"/>
    <w:rsid w:val="175D340E"/>
    <w:rsid w:val="175E2CE2"/>
    <w:rsid w:val="175E71E6"/>
    <w:rsid w:val="17620A24"/>
    <w:rsid w:val="1767428D"/>
    <w:rsid w:val="176D1177"/>
    <w:rsid w:val="17793FC0"/>
    <w:rsid w:val="17994D0F"/>
    <w:rsid w:val="17A34B99"/>
    <w:rsid w:val="17B172B6"/>
    <w:rsid w:val="17B3580D"/>
    <w:rsid w:val="17BD182F"/>
    <w:rsid w:val="17D17958"/>
    <w:rsid w:val="17E3743F"/>
    <w:rsid w:val="18027B12"/>
    <w:rsid w:val="1807337A"/>
    <w:rsid w:val="18095344"/>
    <w:rsid w:val="180D75BF"/>
    <w:rsid w:val="1811244B"/>
    <w:rsid w:val="181F11EA"/>
    <w:rsid w:val="182201B4"/>
    <w:rsid w:val="185145F5"/>
    <w:rsid w:val="18523E05"/>
    <w:rsid w:val="186B1B5B"/>
    <w:rsid w:val="186C4380"/>
    <w:rsid w:val="18754787"/>
    <w:rsid w:val="18851A4B"/>
    <w:rsid w:val="188F1224"/>
    <w:rsid w:val="18A40BC9"/>
    <w:rsid w:val="18A50573"/>
    <w:rsid w:val="18AB2A89"/>
    <w:rsid w:val="18AD0D7A"/>
    <w:rsid w:val="18AE7C99"/>
    <w:rsid w:val="18AF0AF3"/>
    <w:rsid w:val="18B22F8F"/>
    <w:rsid w:val="18BF5A03"/>
    <w:rsid w:val="18CA5813"/>
    <w:rsid w:val="18CE5C46"/>
    <w:rsid w:val="18DF3E5F"/>
    <w:rsid w:val="18E050F5"/>
    <w:rsid w:val="18ED431E"/>
    <w:rsid w:val="18F953B8"/>
    <w:rsid w:val="19037FE5"/>
    <w:rsid w:val="19074A14"/>
    <w:rsid w:val="190B6E9A"/>
    <w:rsid w:val="191F64A1"/>
    <w:rsid w:val="192B12EA"/>
    <w:rsid w:val="193C4FA0"/>
    <w:rsid w:val="19434886"/>
    <w:rsid w:val="197D7D98"/>
    <w:rsid w:val="19801636"/>
    <w:rsid w:val="199E386A"/>
    <w:rsid w:val="19B52BBD"/>
    <w:rsid w:val="19B906A4"/>
    <w:rsid w:val="19BC6CC5"/>
    <w:rsid w:val="1A051B3B"/>
    <w:rsid w:val="1A0933D9"/>
    <w:rsid w:val="1A0F29BA"/>
    <w:rsid w:val="1A141D7E"/>
    <w:rsid w:val="1A174755"/>
    <w:rsid w:val="1A2975D8"/>
    <w:rsid w:val="1A2A15A2"/>
    <w:rsid w:val="1A2F0966"/>
    <w:rsid w:val="1A330456"/>
    <w:rsid w:val="1A332204"/>
    <w:rsid w:val="1A606D71"/>
    <w:rsid w:val="1A622AE9"/>
    <w:rsid w:val="1A6C1BBA"/>
    <w:rsid w:val="1A7171CB"/>
    <w:rsid w:val="1A756CC1"/>
    <w:rsid w:val="1A7F2286"/>
    <w:rsid w:val="1A952EBF"/>
    <w:rsid w:val="1AC27A2C"/>
    <w:rsid w:val="1ACB4B33"/>
    <w:rsid w:val="1ADD6614"/>
    <w:rsid w:val="1ADE4866"/>
    <w:rsid w:val="1AE41750"/>
    <w:rsid w:val="1B0818E3"/>
    <w:rsid w:val="1B0B13D3"/>
    <w:rsid w:val="1B2D1349"/>
    <w:rsid w:val="1B334486"/>
    <w:rsid w:val="1B3E075A"/>
    <w:rsid w:val="1B402872"/>
    <w:rsid w:val="1B43291B"/>
    <w:rsid w:val="1B494B83"/>
    <w:rsid w:val="1B5602C2"/>
    <w:rsid w:val="1B610FF3"/>
    <w:rsid w:val="1B666609"/>
    <w:rsid w:val="1B670199"/>
    <w:rsid w:val="1B8B14BF"/>
    <w:rsid w:val="1BB04ED2"/>
    <w:rsid w:val="1BB30C6B"/>
    <w:rsid w:val="1BBE7284"/>
    <w:rsid w:val="1BC33A5C"/>
    <w:rsid w:val="1BD47A17"/>
    <w:rsid w:val="1BD62837"/>
    <w:rsid w:val="1BDA70AF"/>
    <w:rsid w:val="1BF63E31"/>
    <w:rsid w:val="1C4F65C7"/>
    <w:rsid w:val="1C5B5A42"/>
    <w:rsid w:val="1C640D9B"/>
    <w:rsid w:val="1C784846"/>
    <w:rsid w:val="1C7A05BE"/>
    <w:rsid w:val="1CA11007"/>
    <w:rsid w:val="1CAA0778"/>
    <w:rsid w:val="1CAB69CA"/>
    <w:rsid w:val="1CB17D58"/>
    <w:rsid w:val="1CBF06C7"/>
    <w:rsid w:val="1CC25AC1"/>
    <w:rsid w:val="1CC63804"/>
    <w:rsid w:val="1CD06430"/>
    <w:rsid w:val="1CDA2465"/>
    <w:rsid w:val="1CDC4DD5"/>
    <w:rsid w:val="1CF540E9"/>
    <w:rsid w:val="1CFA7A77"/>
    <w:rsid w:val="1D04257E"/>
    <w:rsid w:val="1D0C4F8F"/>
    <w:rsid w:val="1D295B40"/>
    <w:rsid w:val="1D306ECF"/>
    <w:rsid w:val="1D385BAC"/>
    <w:rsid w:val="1D3C3AC6"/>
    <w:rsid w:val="1D664516"/>
    <w:rsid w:val="1D6D0123"/>
    <w:rsid w:val="1D7003DA"/>
    <w:rsid w:val="1D7C2114"/>
    <w:rsid w:val="1D801E7C"/>
    <w:rsid w:val="1D927B8A"/>
    <w:rsid w:val="1DA163FF"/>
    <w:rsid w:val="1DA653E3"/>
    <w:rsid w:val="1DAB6D83"/>
    <w:rsid w:val="1DBA2C3C"/>
    <w:rsid w:val="1DC454C9"/>
    <w:rsid w:val="1DC63617"/>
    <w:rsid w:val="1DD71A40"/>
    <w:rsid w:val="1DE859FC"/>
    <w:rsid w:val="1DEA3522"/>
    <w:rsid w:val="1E1E4F79"/>
    <w:rsid w:val="1E1E766F"/>
    <w:rsid w:val="1E391DB3"/>
    <w:rsid w:val="1E3D60CC"/>
    <w:rsid w:val="1E40742E"/>
    <w:rsid w:val="1E454BFC"/>
    <w:rsid w:val="1E4C7AFD"/>
    <w:rsid w:val="1E5310C7"/>
    <w:rsid w:val="1E5B441F"/>
    <w:rsid w:val="1E8760FC"/>
    <w:rsid w:val="1E9516DF"/>
    <w:rsid w:val="1EAE454F"/>
    <w:rsid w:val="1EB458DE"/>
    <w:rsid w:val="1ECE04E3"/>
    <w:rsid w:val="1EDB10BC"/>
    <w:rsid w:val="1EF22AD5"/>
    <w:rsid w:val="1EF5217E"/>
    <w:rsid w:val="1F086E69"/>
    <w:rsid w:val="1F087540"/>
    <w:rsid w:val="1F114ADE"/>
    <w:rsid w:val="1F152820"/>
    <w:rsid w:val="1F170346"/>
    <w:rsid w:val="1F1C3BAF"/>
    <w:rsid w:val="1F242A63"/>
    <w:rsid w:val="1F262338"/>
    <w:rsid w:val="1F282554"/>
    <w:rsid w:val="1F464788"/>
    <w:rsid w:val="1F4B6242"/>
    <w:rsid w:val="1F6A2B6C"/>
    <w:rsid w:val="1F707A57"/>
    <w:rsid w:val="1F770DE5"/>
    <w:rsid w:val="1F784B5D"/>
    <w:rsid w:val="1F7A2683"/>
    <w:rsid w:val="1F971487"/>
    <w:rsid w:val="1FAD0CAB"/>
    <w:rsid w:val="1FB042F7"/>
    <w:rsid w:val="1FB37FF3"/>
    <w:rsid w:val="1FCB2EDF"/>
    <w:rsid w:val="1FD02CCB"/>
    <w:rsid w:val="1FD61FB0"/>
    <w:rsid w:val="1FD71884"/>
    <w:rsid w:val="1FFE648A"/>
    <w:rsid w:val="2000568E"/>
    <w:rsid w:val="2000702C"/>
    <w:rsid w:val="201725C8"/>
    <w:rsid w:val="20191E9C"/>
    <w:rsid w:val="201E74B3"/>
    <w:rsid w:val="202020A6"/>
    <w:rsid w:val="20250841"/>
    <w:rsid w:val="20375DC0"/>
    <w:rsid w:val="205149BC"/>
    <w:rsid w:val="2063580D"/>
    <w:rsid w:val="2072486A"/>
    <w:rsid w:val="20783067"/>
    <w:rsid w:val="207A092D"/>
    <w:rsid w:val="20801F1B"/>
    <w:rsid w:val="20A63AE9"/>
    <w:rsid w:val="20AF2801"/>
    <w:rsid w:val="20B83463"/>
    <w:rsid w:val="20BF58DF"/>
    <w:rsid w:val="20CA3867"/>
    <w:rsid w:val="20DE357A"/>
    <w:rsid w:val="20E97AC1"/>
    <w:rsid w:val="211014F1"/>
    <w:rsid w:val="2123408C"/>
    <w:rsid w:val="213827F6"/>
    <w:rsid w:val="213D7E0C"/>
    <w:rsid w:val="21556F04"/>
    <w:rsid w:val="21577120"/>
    <w:rsid w:val="21584C46"/>
    <w:rsid w:val="215869F4"/>
    <w:rsid w:val="21661111"/>
    <w:rsid w:val="216B2BCB"/>
    <w:rsid w:val="21867A05"/>
    <w:rsid w:val="21893052"/>
    <w:rsid w:val="218C499A"/>
    <w:rsid w:val="219A0DBB"/>
    <w:rsid w:val="21E762A6"/>
    <w:rsid w:val="21E93FAC"/>
    <w:rsid w:val="22121299"/>
    <w:rsid w:val="221A1EFC"/>
    <w:rsid w:val="222D7E81"/>
    <w:rsid w:val="223B07F0"/>
    <w:rsid w:val="22401962"/>
    <w:rsid w:val="224539EC"/>
    <w:rsid w:val="224C3750"/>
    <w:rsid w:val="226118D9"/>
    <w:rsid w:val="227C1B62"/>
    <w:rsid w:val="228757E3"/>
    <w:rsid w:val="22941CAE"/>
    <w:rsid w:val="22A31EF1"/>
    <w:rsid w:val="22B61C24"/>
    <w:rsid w:val="22C8691D"/>
    <w:rsid w:val="22E449E3"/>
    <w:rsid w:val="22E9024C"/>
    <w:rsid w:val="22F97D63"/>
    <w:rsid w:val="230A1F70"/>
    <w:rsid w:val="2318468D"/>
    <w:rsid w:val="231D7EF5"/>
    <w:rsid w:val="23353491"/>
    <w:rsid w:val="2338088B"/>
    <w:rsid w:val="23445482"/>
    <w:rsid w:val="234619DB"/>
    <w:rsid w:val="236553F8"/>
    <w:rsid w:val="23836AB7"/>
    <w:rsid w:val="23871813"/>
    <w:rsid w:val="23A67EEB"/>
    <w:rsid w:val="23B1063E"/>
    <w:rsid w:val="23B75C54"/>
    <w:rsid w:val="23C91E2B"/>
    <w:rsid w:val="23D031BA"/>
    <w:rsid w:val="23D34A58"/>
    <w:rsid w:val="23D564E8"/>
    <w:rsid w:val="23EB31FD"/>
    <w:rsid w:val="2409047A"/>
    <w:rsid w:val="241035B6"/>
    <w:rsid w:val="24170DE9"/>
    <w:rsid w:val="242332EA"/>
    <w:rsid w:val="24463935"/>
    <w:rsid w:val="24482D50"/>
    <w:rsid w:val="245E4322"/>
    <w:rsid w:val="24714011"/>
    <w:rsid w:val="24841372"/>
    <w:rsid w:val="248F3BA6"/>
    <w:rsid w:val="24B3492E"/>
    <w:rsid w:val="24B76505"/>
    <w:rsid w:val="24BB5C77"/>
    <w:rsid w:val="24CD0804"/>
    <w:rsid w:val="24D81481"/>
    <w:rsid w:val="24DE1906"/>
    <w:rsid w:val="24F233B3"/>
    <w:rsid w:val="24F84634"/>
    <w:rsid w:val="24F9229C"/>
    <w:rsid w:val="25056E93"/>
    <w:rsid w:val="25203CCD"/>
    <w:rsid w:val="25213E48"/>
    <w:rsid w:val="25347540"/>
    <w:rsid w:val="2536704D"/>
    <w:rsid w:val="25461985"/>
    <w:rsid w:val="25887710"/>
    <w:rsid w:val="25BA7C7E"/>
    <w:rsid w:val="25D955D9"/>
    <w:rsid w:val="25DA20CE"/>
    <w:rsid w:val="25E42F4C"/>
    <w:rsid w:val="25E92311"/>
    <w:rsid w:val="25F45A92"/>
    <w:rsid w:val="260929B3"/>
    <w:rsid w:val="261D1FBA"/>
    <w:rsid w:val="262670C1"/>
    <w:rsid w:val="262B2929"/>
    <w:rsid w:val="262E5F76"/>
    <w:rsid w:val="26396DF4"/>
    <w:rsid w:val="263D7F73"/>
    <w:rsid w:val="26487428"/>
    <w:rsid w:val="266B541C"/>
    <w:rsid w:val="26725F02"/>
    <w:rsid w:val="267B47B0"/>
    <w:rsid w:val="267C3185"/>
    <w:rsid w:val="2681079B"/>
    <w:rsid w:val="268279BE"/>
    <w:rsid w:val="268564DD"/>
    <w:rsid w:val="2694227D"/>
    <w:rsid w:val="26995AE5"/>
    <w:rsid w:val="26B02E2F"/>
    <w:rsid w:val="26C708A4"/>
    <w:rsid w:val="26CB1A16"/>
    <w:rsid w:val="26D134D1"/>
    <w:rsid w:val="26D33051"/>
    <w:rsid w:val="26D42FC1"/>
    <w:rsid w:val="26F947D6"/>
    <w:rsid w:val="26FE003E"/>
    <w:rsid w:val="270253CC"/>
    <w:rsid w:val="270537D9"/>
    <w:rsid w:val="27191DB9"/>
    <w:rsid w:val="27231678"/>
    <w:rsid w:val="27383550"/>
    <w:rsid w:val="274C0DA9"/>
    <w:rsid w:val="274E4B21"/>
    <w:rsid w:val="2758774E"/>
    <w:rsid w:val="275D4D64"/>
    <w:rsid w:val="276756B2"/>
    <w:rsid w:val="277F4CDB"/>
    <w:rsid w:val="278A3680"/>
    <w:rsid w:val="27962024"/>
    <w:rsid w:val="279B763B"/>
    <w:rsid w:val="27B506FD"/>
    <w:rsid w:val="27CC5A46"/>
    <w:rsid w:val="27D56FF1"/>
    <w:rsid w:val="27DD5EA5"/>
    <w:rsid w:val="27EC7E96"/>
    <w:rsid w:val="27FB14B4"/>
    <w:rsid w:val="27FC457D"/>
    <w:rsid w:val="281D62A2"/>
    <w:rsid w:val="28210CC5"/>
    <w:rsid w:val="28331C1B"/>
    <w:rsid w:val="28351B4E"/>
    <w:rsid w:val="283D6944"/>
    <w:rsid w:val="28416434"/>
    <w:rsid w:val="28433F5A"/>
    <w:rsid w:val="28515895"/>
    <w:rsid w:val="28551EE0"/>
    <w:rsid w:val="285A74F6"/>
    <w:rsid w:val="28626BCE"/>
    <w:rsid w:val="2867689A"/>
    <w:rsid w:val="288236C7"/>
    <w:rsid w:val="288D5325"/>
    <w:rsid w:val="28A87747"/>
    <w:rsid w:val="28AE4572"/>
    <w:rsid w:val="28B46C06"/>
    <w:rsid w:val="28C8445F"/>
    <w:rsid w:val="28D33A0A"/>
    <w:rsid w:val="28D7334D"/>
    <w:rsid w:val="28E374EB"/>
    <w:rsid w:val="28ED2118"/>
    <w:rsid w:val="28FE4325"/>
    <w:rsid w:val="2900009D"/>
    <w:rsid w:val="292F2A9F"/>
    <w:rsid w:val="29363ABF"/>
    <w:rsid w:val="29424212"/>
    <w:rsid w:val="295039D0"/>
    <w:rsid w:val="29543F45"/>
    <w:rsid w:val="29581C87"/>
    <w:rsid w:val="296341F3"/>
    <w:rsid w:val="296F7C11"/>
    <w:rsid w:val="29986528"/>
    <w:rsid w:val="29B35110"/>
    <w:rsid w:val="29D335AD"/>
    <w:rsid w:val="29D56D78"/>
    <w:rsid w:val="29D82DC8"/>
    <w:rsid w:val="29EA31D2"/>
    <w:rsid w:val="29F15C38"/>
    <w:rsid w:val="2A0C48F2"/>
    <w:rsid w:val="2A157B78"/>
    <w:rsid w:val="2A1831C5"/>
    <w:rsid w:val="2A336250"/>
    <w:rsid w:val="2A491993"/>
    <w:rsid w:val="2A5C1303"/>
    <w:rsid w:val="2A6B59EA"/>
    <w:rsid w:val="2A783C63"/>
    <w:rsid w:val="2A8E5901"/>
    <w:rsid w:val="2A944F41"/>
    <w:rsid w:val="2AA07E80"/>
    <w:rsid w:val="2AA96D9B"/>
    <w:rsid w:val="2AAB2B4B"/>
    <w:rsid w:val="2AB63109"/>
    <w:rsid w:val="2ADA1047"/>
    <w:rsid w:val="2ADE61BC"/>
    <w:rsid w:val="2AE13EFE"/>
    <w:rsid w:val="2AEA2DB3"/>
    <w:rsid w:val="2AEB08D9"/>
    <w:rsid w:val="2AFD492E"/>
    <w:rsid w:val="2B1D6617"/>
    <w:rsid w:val="2B231BDB"/>
    <w:rsid w:val="2B2B15E0"/>
    <w:rsid w:val="2B2F6A18"/>
    <w:rsid w:val="2B394B81"/>
    <w:rsid w:val="2B395AE8"/>
    <w:rsid w:val="2B406E77"/>
    <w:rsid w:val="2B481888"/>
    <w:rsid w:val="2B494676"/>
    <w:rsid w:val="2B4F0E68"/>
    <w:rsid w:val="2B522706"/>
    <w:rsid w:val="2B54022C"/>
    <w:rsid w:val="2B593A95"/>
    <w:rsid w:val="2B604E23"/>
    <w:rsid w:val="2B643764"/>
    <w:rsid w:val="2B667F60"/>
    <w:rsid w:val="2B747456"/>
    <w:rsid w:val="2B7803BF"/>
    <w:rsid w:val="2B824D9A"/>
    <w:rsid w:val="2B856638"/>
    <w:rsid w:val="2B901331"/>
    <w:rsid w:val="2B97636B"/>
    <w:rsid w:val="2BB1532C"/>
    <w:rsid w:val="2BDA267D"/>
    <w:rsid w:val="2BF35C97"/>
    <w:rsid w:val="2BF71A49"/>
    <w:rsid w:val="2C114181"/>
    <w:rsid w:val="2C11436F"/>
    <w:rsid w:val="2C1A4694"/>
    <w:rsid w:val="2C2440A3"/>
    <w:rsid w:val="2C35005E"/>
    <w:rsid w:val="2C3A399C"/>
    <w:rsid w:val="2C3C763E"/>
    <w:rsid w:val="2C461E3D"/>
    <w:rsid w:val="2C695F59"/>
    <w:rsid w:val="2C723060"/>
    <w:rsid w:val="2C752B50"/>
    <w:rsid w:val="2C7843EE"/>
    <w:rsid w:val="2C9A4365"/>
    <w:rsid w:val="2C9F197B"/>
    <w:rsid w:val="2CAE7E10"/>
    <w:rsid w:val="2CD05FD9"/>
    <w:rsid w:val="2CD258AD"/>
    <w:rsid w:val="2CDE06F5"/>
    <w:rsid w:val="2CE455E0"/>
    <w:rsid w:val="2CF25F4F"/>
    <w:rsid w:val="2CF63C91"/>
    <w:rsid w:val="2CFE2B46"/>
    <w:rsid w:val="2D031F0A"/>
    <w:rsid w:val="2D1C6441"/>
    <w:rsid w:val="2D3D4257"/>
    <w:rsid w:val="2D406CBA"/>
    <w:rsid w:val="2D527D7E"/>
    <w:rsid w:val="2D614E83"/>
    <w:rsid w:val="2D636E4D"/>
    <w:rsid w:val="2D6A05F9"/>
    <w:rsid w:val="2D79041E"/>
    <w:rsid w:val="2D7E77E3"/>
    <w:rsid w:val="2D8748E9"/>
    <w:rsid w:val="2D880661"/>
    <w:rsid w:val="2DB80F46"/>
    <w:rsid w:val="2DB81892"/>
    <w:rsid w:val="2DBB4593"/>
    <w:rsid w:val="2DCB6483"/>
    <w:rsid w:val="2DE0224B"/>
    <w:rsid w:val="2DF45CF7"/>
    <w:rsid w:val="2E1A39AF"/>
    <w:rsid w:val="2E2E1209"/>
    <w:rsid w:val="2E516CA5"/>
    <w:rsid w:val="2E5E3A03"/>
    <w:rsid w:val="2E5F5866"/>
    <w:rsid w:val="2E725599"/>
    <w:rsid w:val="2E7C391F"/>
    <w:rsid w:val="2E806920"/>
    <w:rsid w:val="2E905A1F"/>
    <w:rsid w:val="2E9848D4"/>
    <w:rsid w:val="2E9A064C"/>
    <w:rsid w:val="2ED17FB6"/>
    <w:rsid w:val="2ED753FC"/>
    <w:rsid w:val="2ED8336B"/>
    <w:rsid w:val="2EE62640"/>
    <w:rsid w:val="2EF74B19"/>
    <w:rsid w:val="2F1C3757"/>
    <w:rsid w:val="2F1F5CDD"/>
    <w:rsid w:val="2F320790"/>
    <w:rsid w:val="2F3C7955"/>
    <w:rsid w:val="2F48454C"/>
    <w:rsid w:val="2F4B1946"/>
    <w:rsid w:val="2F601896"/>
    <w:rsid w:val="2F875074"/>
    <w:rsid w:val="2FA05332"/>
    <w:rsid w:val="2FA15A0A"/>
    <w:rsid w:val="2FA417BA"/>
    <w:rsid w:val="2FA71D40"/>
    <w:rsid w:val="2FAF5D60"/>
    <w:rsid w:val="2FB120F1"/>
    <w:rsid w:val="2FB674D6"/>
    <w:rsid w:val="2FC55B9D"/>
    <w:rsid w:val="2FEC4ED7"/>
    <w:rsid w:val="2FF77F3F"/>
    <w:rsid w:val="30030473"/>
    <w:rsid w:val="300F6E18"/>
    <w:rsid w:val="30274B6F"/>
    <w:rsid w:val="303321F6"/>
    <w:rsid w:val="304050A9"/>
    <w:rsid w:val="30405223"/>
    <w:rsid w:val="3049232A"/>
    <w:rsid w:val="30566085"/>
    <w:rsid w:val="306C3781"/>
    <w:rsid w:val="3071362F"/>
    <w:rsid w:val="307A7389"/>
    <w:rsid w:val="309D61D2"/>
    <w:rsid w:val="30A170BF"/>
    <w:rsid w:val="30AB4D93"/>
    <w:rsid w:val="30C2681A"/>
    <w:rsid w:val="30C37DE2"/>
    <w:rsid w:val="30C65728"/>
    <w:rsid w:val="30CE0A81"/>
    <w:rsid w:val="30DA11D4"/>
    <w:rsid w:val="30DD6F16"/>
    <w:rsid w:val="30DE72D9"/>
    <w:rsid w:val="30DF67EA"/>
    <w:rsid w:val="30ED53AB"/>
    <w:rsid w:val="30F304E8"/>
    <w:rsid w:val="310E0E7D"/>
    <w:rsid w:val="310F3573"/>
    <w:rsid w:val="31175F84"/>
    <w:rsid w:val="314A45AB"/>
    <w:rsid w:val="314D19A6"/>
    <w:rsid w:val="314D3E18"/>
    <w:rsid w:val="317716B5"/>
    <w:rsid w:val="31947FB6"/>
    <w:rsid w:val="319F5F79"/>
    <w:rsid w:val="31BE28A4"/>
    <w:rsid w:val="31C679AA"/>
    <w:rsid w:val="31C83722"/>
    <w:rsid w:val="31CA749A"/>
    <w:rsid w:val="31CB6BC1"/>
    <w:rsid w:val="31D10829"/>
    <w:rsid w:val="31DC106F"/>
    <w:rsid w:val="31E247E4"/>
    <w:rsid w:val="31E3055C"/>
    <w:rsid w:val="31FC2FF6"/>
    <w:rsid w:val="320A5AE9"/>
    <w:rsid w:val="32100EC2"/>
    <w:rsid w:val="322F3C4C"/>
    <w:rsid w:val="32326DEE"/>
    <w:rsid w:val="32582CF8"/>
    <w:rsid w:val="325A081E"/>
    <w:rsid w:val="327F64D7"/>
    <w:rsid w:val="32823714"/>
    <w:rsid w:val="32951856"/>
    <w:rsid w:val="329C2DB1"/>
    <w:rsid w:val="329D3696"/>
    <w:rsid w:val="329F0927"/>
    <w:rsid w:val="32A95302"/>
    <w:rsid w:val="32AB107A"/>
    <w:rsid w:val="32AE2918"/>
    <w:rsid w:val="32B55A55"/>
    <w:rsid w:val="32C043F9"/>
    <w:rsid w:val="32C959A4"/>
    <w:rsid w:val="32CB5278"/>
    <w:rsid w:val="32D007AA"/>
    <w:rsid w:val="32DA370D"/>
    <w:rsid w:val="32DB1233"/>
    <w:rsid w:val="32E26A66"/>
    <w:rsid w:val="32F02F31"/>
    <w:rsid w:val="32F32879"/>
    <w:rsid w:val="32FB4313"/>
    <w:rsid w:val="33162ABB"/>
    <w:rsid w:val="33303B10"/>
    <w:rsid w:val="33484B1B"/>
    <w:rsid w:val="33490893"/>
    <w:rsid w:val="33506596"/>
    <w:rsid w:val="335D48E6"/>
    <w:rsid w:val="337A0A4C"/>
    <w:rsid w:val="3392223A"/>
    <w:rsid w:val="339C6C14"/>
    <w:rsid w:val="33CD3272"/>
    <w:rsid w:val="33CF7A9C"/>
    <w:rsid w:val="33D44600"/>
    <w:rsid w:val="33D46095"/>
    <w:rsid w:val="33DB773D"/>
    <w:rsid w:val="33DC5263"/>
    <w:rsid w:val="33FB1D29"/>
    <w:rsid w:val="33FC5905"/>
    <w:rsid w:val="34034262"/>
    <w:rsid w:val="34045566"/>
    <w:rsid w:val="340543AC"/>
    <w:rsid w:val="340A0022"/>
    <w:rsid w:val="341D5FA7"/>
    <w:rsid w:val="341E7629"/>
    <w:rsid w:val="343B467F"/>
    <w:rsid w:val="343D21A6"/>
    <w:rsid w:val="34403A44"/>
    <w:rsid w:val="345117AD"/>
    <w:rsid w:val="345656C7"/>
    <w:rsid w:val="3460367F"/>
    <w:rsid w:val="34677222"/>
    <w:rsid w:val="346E1C27"/>
    <w:rsid w:val="34750D1D"/>
    <w:rsid w:val="34841338"/>
    <w:rsid w:val="348F6779"/>
    <w:rsid w:val="3491429F"/>
    <w:rsid w:val="34971C58"/>
    <w:rsid w:val="349A34DB"/>
    <w:rsid w:val="349A75F8"/>
    <w:rsid w:val="34A044E2"/>
    <w:rsid w:val="34A21EBE"/>
    <w:rsid w:val="34B61F58"/>
    <w:rsid w:val="34B65AB4"/>
    <w:rsid w:val="34BF2BBB"/>
    <w:rsid w:val="34D6203C"/>
    <w:rsid w:val="34E9358D"/>
    <w:rsid w:val="34F34F5A"/>
    <w:rsid w:val="34FD1935"/>
    <w:rsid w:val="350E769E"/>
    <w:rsid w:val="351849C1"/>
    <w:rsid w:val="3538296D"/>
    <w:rsid w:val="354237EC"/>
    <w:rsid w:val="354331EB"/>
    <w:rsid w:val="355C48AD"/>
    <w:rsid w:val="356D0868"/>
    <w:rsid w:val="357F059C"/>
    <w:rsid w:val="35956BF6"/>
    <w:rsid w:val="35A64A13"/>
    <w:rsid w:val="35A818A1"/>
    <w:rsid w:val="35C30488"/>
    <w:rsid w:val="35D95EFE"/>
    <w:rsid w:val="35E63317"/>
    <w:rsid w:val="35E81522"/>
    <w:rsid w:val="35EA1EB9"/>
    <w:rsid w:val="35EF127D"/>
    <w:rsid w:val="35FD75B5"/>
    <w:rsid w:val="36146F36"/>
    <w:rsid w:val="361C228F"/>
    <w:rsid w:val="361E6007"/>
    <w:rsid w:val="36291668"/>
    <w:rsid w:val="362D4688"/>
    <w:rsid w:val="36455341"/>
    <w:rsid w:val="36557251"/>
    <w:rsid w:val="366C0EB3"/>
    <w:rsid w:val="367040D8"/>
    <w:rsid w:val="36AF4EB1"/>
    <w:rsid w:val="36B424C7"/>
    <w:rsid w:val="36B85DCE"/>
    <w:rsid w:val="36C46BAE"/>
    <w:rsid w:val="36CA64AC"/>
    <w:rsid w:val="36CB62E7"/>
    <w:rsid w:val="36CC7811"/>
    <w:rsid w:val="36D3294D"/>
    <w:rsid w:val="36D87F64"/>
    <w:rsid w:val="36E55F46"/>
    <w:rsid w:val="36ED5DD2"/>
    <w:rsid w:val="36F33F52"/>
    <w:rsid w:val="370400D2"/>
    <w:rsid w:val="37353608"/>
    <w:rsid w:val="37441A9D"/>
    <w:rsid w:val="374B6987"/>
    <w:rsid w:val="37515F68"/>
    <w:rsid w:val="37620175"/>
    <w:rsid w:val="37621F23"/>
    <w:rsid w:val="37677539"/>
    <w:rsid w:val="376C68FE"/>
    <w:rsid w:val="37765966"/>
    <w:rsid w:val="377A54BF"/>
    <w:rsid w:val="377C1237"/>
    <w:rsid w:val="37910FBB"/>
    <w:rsid w:val="3793032E"/>
    <w:rsid w:val="37A147F9"/>
    <w:rsid w:val="37DA41AF"/>
    <w:rsid w:val="37E172EC"/>
    <w:rsid w:val="37E62C43"/>
    <w:rsid w:val="37E8067A"/>
    <w:rsid w:val="37EA2DD8"/>
    <w:rsid w:val="37EB016A"/>
    <w:rsid w:val="37EF3553"/>
    <w:rsid w:val="382611A3"/>
    <w:rsid w:val="38267F5A"/>
    <w:rsid w:val="385264CE"/>
    <w:rsid w:val="3872263A"/>
    <w:rsid w:val="387B329C"/>
    <w:rsid w:val="387E68E3"/>
    <w:rsid w:val="38910B5D"/>
    <w:rsid w:val="38B13162"/>
    <w:rsid w:val="38C22C79"/>
    <w:rsid w:val="38D879A8"/>
    <w:rsid w:val="38DE1A7D"/>
    <w:rsid w:val="38FC4989"/>
    <w:rsid w:val="39070FD4"/>
    <w:rsid w:val="390B5CBF"/>
    <w:rsid w:val="391D25A6"/>
    <w:rsid w:val="39232B19"/>
    <w:rsid w:val="39487705"/>
    <w:rsid w:val="394A0EC1"/>
    <w:rsid w:val="39557F91"/>
    <w:rsid w:val="395A55A8"/>
    <w:rsid w:val="395C5AD7"/>
    <w:rsid w:val="397F6DBC"/>
    <w:rsid w:val="3982065B"/>
    <w:rsid w:val="39AA76FF"/>
    <w:rsid w:val="39CE564E"/>
    <w:rsid w:val="39D80E75"/>
    <w:rsid w:val="39E60BE9"/>
    <w:rsid w:val="39EB110C"/>
    <w:rsid w:val="39F728F0"/>
    <w:rsid w:val="3A03179B"/>
    <w:rsid w:val="3A241712"/>
    <w:rsid w:val="3A2B2AA0"/>
    <w:rsid w:val="3A4D20AB"/>
    <w:rsid w:val="3A5E69D2"/>
    <w:rsid w:val="3A7C32FC"/>
    <w:rsid w:val="3A83468A"/>
    <w:rsid w:val="3A865F28"/>
    <w:rsid w:val="3A900B55"/>
    <w:rsid w:val="3A940645"/>
    <w:rsid w:val="3AC16F61"/>
    <w:rsid w:val="3AD46F39"/>
    <w:rsid w:val="3AE65626"/>
    <w:rsid w:val="3AED7D56"/>
    <w:rsid w:val="3AF70BD4"/>
    <w:rsid w:val="3B07411C"/>
    <w:rsid w:val="3B117EE8"/>
    <w:rsid w:val="3B1B48C3"/>
    <w:rsid w:val="3B1D688D"/>
    <w:rsid w:val="3B225C51"/>
    <w:rsid w:val="3B2E0A9A"/>
    <w:rsid w:val="3B312338"/>
    <w:rsid w:val="3B3760F2"/>
    <w:rsid w:val="3B3911ED"/>
    <w:rsid w:val="3B4F0A10"/>
    <w:rsid w:val="3B551A74"/>
    <w:rsid w:val="3B5E66F2"/>
    <w:rsid w:val="3B7D557D"/>
    <w:rsid w:val="3B893F22"/>
    <w:rsid w:val="3B9D79CE"/>
    <w:rsid w:val="3BAE3989"/>
    <w:rsid w:val="3BC1546A"/>
    <w:rsid w:val="3BE16CCB"/>
    <w:rsid w:val="3C0813E6"/>
    <w:rsid w:val="3C084446"/>
    <w:rsid w:val="3C101F4E"/>
    <w:rsid w:val="3C1852A6"/>
    <w:rsid w:val="3C1D1103"/>
    <w:rsid w:val="3C2105FF"/>
    <w:rsid w:val="3C29300F"/>
    <w:rsid w:val="3C30439E"/>
    <w:rsid w:val="3C3F2833"/>
    <w:rsid w:val="3C4816E7"/>
    <w:rsid w:val="3C686BF7"/>
    <w:rsid w:val="3C6B187A"/>
    <w:rsid w:val="3C7928BA"/>
    <w:rsid w:val="3C797AF3"/>
    <w:rsid w:val="3C8628E4"/>
    <w:rsid w:val="3CB15833"/>
    <w:rsid w:val="3CB7061B"/>
    <w:rsid w:val="3CBE5E4E"/>
    <w:rsid w:val="3CC911ED"/>
    <w:rsid w:val="3CCF005B"/>
    <w:rsid w:val="3CD25455"/>
    <w:rsid w:val="3CDC62D4"/>
    <w:rsid w:val="3CEC29BB"/>
    <w:rsid w:val="3CFC24D2"/>
    <w:rsid w:val="3D027F90"/>
    <w:rsid w:val="3D0715A3"/>
    <w:rsid w:val="3D0C6BB9"/>
    <w:rsid w:val="3D2739F3"/>
    <w:rsid w:val="3D4070E8"/>
    <w:rsid w:val="3D510A70"/>
    <w:rsid w:val="3D65276D"/>
    <w:rsid w:val="3D9F7A2D"/>
    <w:rsid w:val="3DA43295"/>
    <w:rsid w:val="3DAC5CA6"/>
    <w:rsid w:val="3DAE5EC2"/>
    <w:rsid w:val="3DC41242"/>
    <w:rsid w:val="3DD5344F"/>
    <w:rsid w:val="3DDB56AA"/>
    <w:rsid w:val="3DF24001"/>
    <w:rsid w:val="3E1026D9"/>
    <w:rsid w:val="3E23240C"/>
    <w:rsid w:val="3E2717D1"/>
    <w:rsid w:val="3E272DD1"/>
    <w:rsid w:val="3E2C636E"/>
    <w:rsid w:val="3E350391"/>
    <w:rsid w:val="3E4800C5"/>
    <w:rsid w:val="3E522CF1"/>
    <w:rsid w:val="3E642A25"/>
    <w:rsid w:val="3E8B7FB1"/>
    <w:rsid w:val="3E9F580B"/>
    <w:rsid w:val="3EA11583"/>
    <w:rsid w:val="3EAD617A"/>
    <w:rsid w:val="3EC05784"/>
    <w:rsid w:val="3ED100BA"/>
    <w:rsid w:val="3ED82DBD"/>
    <w:rsid w:val="3EE27813"/>
    <w:rsid w:val="3EE80F60"/>
    <w:rsid w:val="3EF23B8C"/>
    <w:rsid w:val="3F10188C"/>
    <w:rsid w:val="3F1104B7"/>
    <w:rsid w:val="3F165ACD"/>
    <w:rsid w:val="3F450160"/>
    <w:rsid w:val="3F4563B2"/>
    <w:rsid w:val="3F47037C"/>
    <w:rsid w:val="3F4D5267"/>
    <w:rsid w:val="3F5E7474"/>
    <w:rsid w:val="3F631B80"/>
    <w:rsid w:val="3F6C7DE3"/>
    <w:rsid w:val="3F9B06C8"/>
    <w:rsid w:val="3F9E5AC2"/>
    <w:rsid w:val="3FA84969"/>
    <w:rsid w:val="3FC76DC7"/>
    <w:rsid w:val="3FD414E4"/>
    <w:rsid w:val="3FDF05B5"/>
    <w:rsid w:val="3FF077F6"/>
    <w:rsid w:val="4004626D"/>
    <w:rsid w:val="40077B0C"/>
    <w:rsid w:val="40083B08"/>
    <w:rsid w:val="40372100"/>
    <w:rsid w:val="403D352D"/>
    <w:rsid w:val="404E74E8"/>
    <w:rsid w:val="405C1C05"/>
    <w:rsid w:val="405D772B"/>
    <w:rsid w:val="407707ED"/>
    <w:rsid w:val="4081166C"/>
    <w:rsid w:val="40990887"/>
    <w:rsid w:val="409E3FCC"/>
    <w:rsid w:val="40A13ABC"/>
    <w:rsid w:val="40AE37C3"/>
    <w:rsid w:val="40AF61D9"/>
    <w:rsid w:val="40BC6B48"/>
    <w:rsid w:val="40C357E1"/>
    <w:rsid w:val="40D479EE"/>
    <w:rsid w:val="40FB141E"/>
    <w:rsid w:val="41232723"/>
    <w:rsid w:val="412344D1"/>
    <w:rsid w:val="41296327"/>
    <w:rsid w:val="41306BEE"/>
    <w:rsid w:val="4142704D"/>
    <w:rsid w:val="41456B3D"/>
    <w:rsid w:val="414B5FB6"/>
    <w:rsid w:val="414C3A28"/>
    <w:rsid w:val="416C4764"/>
    <w:rsid w:val="416E7E42"/>
    <w:rsid w:val="41807B75"/>
    <w:rsid w:val="41911D83"/>
    <w:rsid w:val="41932D5F"/>
    <w:rsid w:val="41A24CB0"/>
    <w:rsid w:val="41B32C42"/>
    <w:rsid w:val="41B63597"/>
    <w:rsid w:val="41B73FD5"/>
    <w:rsid w:val="41BA6A61"/>
    <w:rsid w:val="41D852BC"/>
    <w:rsid w:val="41DD0B24"/>
    <w:rsid w:val="41DD6D76"/>
    <w:rsid w:val="41E80A92"/>
    <w:rsid w:val="41E9571B"/>
    <w:rsid w:val="41F1637D"/>
    <w:rsid w:val="41F8595E"/>
    <w:rsid w:val="42073DF3"/>
    <w:rsid w:val="421B164C"/>
    <w:rsid w:val="42366486"/>
    <w:rsid w:val="425C5EED"/>
    <w:rsid w:val="42641245"/>
    <w:rsid w:val="428C60A6"/>
    <w:rsid w:val="42900EBF"/>
    <w:rsid w:val="42A925FC"/>
    <w:rsid w:val="42C27D1A"/>
    <w:rsid w:val="42D25195"/>
    <w:rsid w:val="42D82FA7"/>
    <w:rsid w:val="42EB7271"/>
    <w:rsid w:val="42F02C8F"/>
    <w:rsid w:val="4303280C"/>
    <w:rsid w:val="43055ADD"/>
    <w:rsid w:val="431D66A9"/>
    <w:rsid w:val="432E715D"/>
    <w:rsid w:val="4335673E"/>
    <w:rsid w:val="434E3BCE"/>
    <w:rsid w:val="435C1F1C"/>
    <w:rsid w:val="435C6309"/>
    <w:rsid w:val="436314FD"/>
    <w:rsid w:val="43762FDE"/>
    <w:rsid w:val="437B23A2"/>
    <w:rsid w:val="437B4D47"/>
    <w:rsid w:val="43923B90"/>
    <w:rsid w:val="439815EF"/>
    <w:rsid w:val="43AC3F25"/>
    <w:rsid w:val="43AC4AD8"/>
    <w:rsid w:val="43BE4985"/>
    <w:rsid w:val="43CD117F"/>
    <w:rsid w:val="43D321DE"/>
    <w:rsid w:val="43E02B4D"/>
    <w:rsid w:val="440C3942"/>
    <w:rsid w:val="440F51E1"/>
    <w:rsid w:val="444403E8"/>
    <w:rsid w:val="44507CD3"/>
    <w:rsid w:val="446B68BB"/>
    <w:rsid w:val="44705C7F"/>
    <w:rsid w:val="44801C3A"/>
    <w:rsid w:val="44844AD9"/>
    <w:rsid w:val="448E07FB"/>
    <w:rsid w:val="4492209A"/>
    <w:rsid w:val="4498417F"/>
    <w:rsid w:val="44A27E03"/>
    <w:rsid w:val="44AA1420"/>
    <w:rsid w:val="44AE35BC"/>
    <w:rsid w:val="44B6565C"/>
    <w:rsid w:val="44C14DFA"/>
    <w:rsid w:val="44C22253"/>
    <w:rsid w:val="44DA57EF"/>
    <w:rsid w:val="44DA759D"/>
    <w:rsid w:val="44E26DDF"/>
    <w:rsid w:val="44E2730A"/>
    <w:rsid w:val="44EB3558"/>
    <w:rsid w:val="44FC5765"/>
    <w:rsid w:val="45012D7B"/>
    <w:rsid w:val="451231DA"/>
    <w:rsid w:val="452C02AE"/>
    <w:rsid w:val="452D6B44"/>
    <w:rsid w:val="453273D9"/>
    <w:rsid w:val="453749EF"/>
    <w:rsid w:val="4550785F"/>
    <w:rsid w:val="45521829"/>
    <w:rsid w:val="45524B24"/>
    <w:rsid w:val="455336A1"/>
    <w:rsid w:val="45687946"/>
    <w:rsid w:val="458D2861"/>
    <w:rsid w:val="458D460F"/>
    <w:rsid w:val="45924EB3"/>
    <w:rsid w:val="45B44292"/>
    <w:rsid w:val="45B93B4F"/>
    <w:rsid w:val="45BC6CA2"/>
    <w:rsid w:val="45DA351F"/>
    <w:rsid w:val="45F261D2"/>
    <w:rsid w:val="45F36B68"/>
    <w:rsid w:val="45F44786"/>
    <w:rsid w:val="45FE550D"/>
    <w:rsid w:val="46020B59"/>
    <w:rsid w:val="460615EF"/>
    <w:rsid w:val="460D5750"/>
    <w:rsid w:val="46164604"/>
    <w:rsid w:val="462036D5"/>
    <w:rsid w:val="462C3E28"/>
    <w:rsid w:val="46326F64"/>
    <w:rsid w:val="46560EA5"/>
    <w:rsid w:val="466730B2"/>
    <w:rsid w:val="46674E60"/>
    <w:rsid w:val="466D5BDF"/>
    <w:rsid w:val="46744858"/>
    <w:rsid w:val="467557CF"/>
    <w:rsid w:val="468C0D6B"/>
    <w:rsid w:val="46902609"/>
    <w:rsid w:val="46945061"/>
    <w:rsid w:val="469B2D5C"/>
    <w:rsid w:val="46BA7686"/>
    <w:rsid w:val="46C10A14"/>
    <w:rsid w:val="46D00C57"/>
    <w:rsid w:val="46D83FB0"/>
    <w:rsid w:val="46DA3884"/>
    <w:rsid w:val="46FC7C9E"/>
    <w:rsid w:val="47022DDB"/>
    <w:rsid w:val="47051512"/>
    <w:rsid w:val="471825FE"/>
    <w:rsid w:val="471843AC"/>
    <w:rsid w:val="471E7C15"/>
    <w:rsid w:val="47217705"/>
    <w:rsid w:val="47251A46"/>
    <w:rsid w:val="47264120"/>
    <w:rsid w:val="47266AC9"/>
    <w:rsid w:val="4732546E"/>
    <w:rsid w:val="473867FC"/>
    <w:rsid w:val="47392CA0"/>
    <w:rsid w:val="4746716B"/>
    <w:rsid w:val="47507FEA"/>
    <w:rsid w:val="47721D0E"/>
    <w:rsid w:val="477E32DE"/>
    <w:rsid w:val="478519C1"/>
    <w:rsid w:val="47906638"/>
    <w:rsid w:val="479B1265"/>
    <w:rsid w:val="47AB6FCE"/>
    <w:rsid w:val="47AD0F98"/>
    <w:rsid w:val="47B6347B"/>
    <w:rsid w:val="47B6609F"/>
    <w:rsid w:val="47BC567F"/>
    <w:rsid w:val="47BF45D4"/>
    <w:rsid w:val="47C02A7A"/>
    <w:rsid w:val="47E744AA"/>
    <w:rsid w:val="47EF15B1"/>
    <w:rsid w:val="47F44E19"/>
    <w:rsid w:val="47F46BC7"/>
    <w:rsid w:val="48032022"/>
    <w:rsid w:val="482A083B"/>
    <w:rsid w:val="484D62D8"/>
    <w:rsid w:val="486F0759"/>
    <w:rsid w:val="48723AE3"/>
    <w:rsid w:val="48783354"/>
    <w:rsid w:val="48815BCA"/>
    <w:rsid w:val="48904B42"/>
    <w:rsid w:val="489F1A9F"/>
    <w:rsid w:val="48B3438D"/>
    <w:rsid w:val="48B620CF"/>
    <w:rsid w:val="48BD3312"/>
    <w:rsid w:val="48C12F4D"/>
    <w:rsid w:val="48C20A74"/>
    <w:rsid w:val="48C92CBF"/>
    <w:rsid w:val="48D32C81"/>
    <w:rsid w:val="48D662CD"/>
    <w:rsid w:val="48E56510"/>
    <w:rsid w:val="48F92C46"/>
    <w:rsid w:val="48FB5D34"/>
    <w:rsid w:val="490C7F41"/>
    <w:rsid w:val="49283297"/>
    <w:rsid w:val="49290AF3"/>
    <w:rsid w:val="49331BA1"/>
    <w:rsid w:val="4948541D"/>
    <w:rsid w:val="494F67AB"/>
    <w:rsid w:val="49520049"/>
    <w:rsid w:val="496E4757"/>
    <w:rsid w:val="49724248"/>
    <w:rsid w:val="49725FF6"/>
    <w:rsid w:val="49747FC0"/>
    <w:rsid w:val="49755AE6"/>
    <w:rsid w:val="497C19A8"/>
    <w:rsid w:val="49896528"/>
    <w:rsid w:val="49950C2D"/>
    <w:rsid w:val="49975A5C"/>
    <w:rsid w:val="499F0DB5"/>
    <w:rsid w:val="49F20EE5"/>
    <w:rsid w:val="4A022BF8"/>
    <w:rsid w:val="4A0A4480"/>
    <w:rsid w:val="4A20088A"/>
    <w:rsid w:val="4A515F1B"/>
    <w:rsid w:val="4A527BD5"/>
    <w:rsid w:val="4A576CF3"/>
    <w:rsid w:val="4A5B2F2E"/>
    <w:rsid w:val="4A5E5DDF"/>
    <w:rsid w:val="4A6855C7"/>
    <w:rsid w:val="4A6D6C6D"/>
    <w:rsid w:val="4A7E72E8"/>
    <w:rsid w:val="4A9326C8"/>
    <w:rsid w:val="4A9621B8"/>
    <w:rsid w:val="4AA5064D"/>
    <w:rsid w:val="4AA76173"/>
    <w:rsid w:val="4AB8212E"/>
    <w:rsid w:val="4ABD5996"/>
    <w:rsid w:val="4ACC5BD9"/>
    <w:rsid w:val="4AD93E52"/>
    <w:rsid w:val="4AF8077D"/>
    <w:rsid w:val="4B032EF2"/>
    <w:rsid w:val="4B0B04B0"/>
    <w:rsid w:val="4B15132F"/>
    <w:rsid w:val="4B21540A"/>
    <w:rsid w:val="4B3A447A"/>
    <w:rsid w:val="4B5C6F5D"/>
    <w:rsid w:val="4B5D6832"/>
    <w:rsid w:val="4B685902"/>
    <w:rsid w:val="4B6E536D"/>
    <w:rsid w:val="4B752FDA"/>
    <w:rsid w:val="4B7D0C82"/>
    <w:rsid w:val="4B7E5B1F"/>
    <w:rsid w:val="4BA17066"/>
    <w:rsid w:val="4BA95F1B"/>
    <w:rsid w:val="4BBD5522"/>
    <w:rsid w:val="4C1710D6"/>
    <w:rsid w:val="4C237A7B"/>
    <w:rsid w:val="4C2537F3"/>
    <w:rsid w:val="4C2555A1"/>
    <w:rsid w:val="4C416153"/>
    <w:rsid w:val="4C46376A"/>
    <w:rsid w:val="4C4F073F"/>
    <w:rsid w:val="4C4F3781"/>
    <w:rsid w:val="4C545E87"/>
    <w:rsid w:val="4C561BFF"/>
    <w:rsid w:val="4C6406E4"/>
    <w:rsid w:val="4C6F22E2"/>
    <w:rsid w:val="4C801DE9"/>
    <w:rsid w:val="4C891FD4"/>
    <w:rsid w:val="4C9E5354"/>
    <w:rsid w:val="4CA301C9"/>
    <w:rsid w:val="4CA54934"/>
    <w:rsid w:val="4CB00C05"/>
    <w:rsid w:val="4CC052CA"/>
    <w:rsid w:val="4CCC1F22"/>
    <w:rsid w:val="4CD00247"/>
    <w:rsid w:val="4CDD40CE"/>
    <w:rsid w:val="4CEE62DB"/>
    <w:rsid w:val="4CF80F08"/>
    <w:rsid w:val="4CFB4554"/>
    <w:rsid w:val="4D185106"/>
    <w:rsid w:val="4D2E66D8"/>
    <w:rsid w:val="4D4E0B28"/>
    <w:rsid w:val="4D510618"/>
    <w:rsid w:val="4D5C1497"/>
    <w:rsid w:val="4D64220E"/>
    <w:rsid w:val="4D64784A"/>
    <w:rsid w:val="4D654A1C"/>
    <w:rsid w:val="4D7C38E7"/>
    <w:rsid w:val="4D821820"/>
    <w:rsid w:val="4D926C66"/>
    <w:rsid w:val="4D9C1893"/>
    <w:rsid w:val="4DA031D8"/>
    <w:rsid w:val="4DD0778F"/>
    <w:rsid w:val="4DF07E31"/>
    <w:rsid w:val="4E0B2A9E"/>
    <w:rsid w:val="4E1458CD"/>
    <w:rsid w:val="4E151645"/>
    <w:rsid w:val="4E18413B"/>
    <w:rsid w:val="4E231FB4"/>
    <w:rsid w:val="4E3221F7"/>
    <w:rsid w:val="4E404914"/>
    <w:rsid w:val="4E572490"/>
    <w:rsid w:val="4E577EB0"/>
    <w:rsid w:val="4E5959D6"/>
    <w:rsid w:val="4E600FED"/>
    <w:rsid w:val="4E612ADD"/>
    <w:rsid w:val="4E63351B"/>
    <w:rsid w:val="4E65437B"/>
    <w:rsid w:val="4E6D1482"/>
    <w:rsid w:val="4E7740AE"/>
    <w:rsid w:val="4E7C16C5"/>
    <w:rsid w:val="4E935B36"/>
    <w:rsid w:val="4EAA7FE0"/>
    <w:rsid w:val="4EC217CD"/>
    <w:rsid w:val="4ED748E6"/>
    <w:rsid w:val="4EE03C26"/>
    <w:rsid w:val="4EE80403"/>
    <w:rsid w:val="4EF64B7A"/>
    <w:rsid w:val="4F0040A4"/>
    <w:rsid w:val="4F0C76FA"/>
    <w:rsid w:val="4F1424DD"/>
    <w:rsid w:val="4F363F69"/>
    <w:rsid w:val="4F3B332E"/>
    <w:rsid w:val="4F3F2E1E"/>
    <w:rsid w:val="4F405AE9"/>
    <w:rsid w:val="4F587A3C"/>
    <w:rsid w:val="4F615AA1"/>
    <w:rsid w:val="4F806F93"/>
    <w:rsid w:val="4F8627FB"/>
    <w:rsid w:val="4F9B7506"/>
    <w:rsid w:val="4FA07362"/>
    <w:rsid w:val="4FAB400F"/>
    <w:rsid w:val="4FC04466"/>
    <w:rsid w:val="4FC21359"/>
    <w:rsid w:val="4FC96B8B"/>
    <w:rsid w:val="4FEB08B0"/>
    <w:rsid w:val="4FF82FCD"/>
    <w:rsid w:val="501A2F43"/>
    <w:rsid w:val="501C315F"/>
    <w:rsid w:val="501C6CBB"/>
    <w:rsid w:val="501E2A33"/>
    <w:rsid w:val="50285660"/>
    <w:rsid w:val="50291307"/>
    <w:rsid w:val="502B7796"/>
    <w:rsid w:val="502D6EA4"/>
    <w:rsid w:val="50302767"/>
    <w:rsid w:val="50447FC0"/>
    <w:rsid w:val="504F52E3"/>
    <w:rsid w:val="50577CF3"/>
    <w:rsid w:val="506F14E1"/>
    <w:rsid w:val="50746940"/>
    <w:rsid w:val="5079410E"/>
    <w:rsid w:val="508800B2"/>
    <w:rsid w:val="50A373DC"/>
    <w:rsid w:val="50B27620"/>
    <w:rsid w:val="50BB0282"/>
    <w:rsid w:val="50C51101"/>
    <w:rsid w:val="50D21A70"/>
    <w:rsid w:val="50DB6B76"/>
    <w:rsid w:val="50EC48E0"/>
    <w:rsid w:val="51071719"/>
    <w:rsid w:val="511E4CB5"/>
    <w:rsid w:val="51226553"/>
    <w:rsid w:val="51234079"/>
    <w:rsid w:val="51497F84"/>
    <w:rsid w:val="51586419"/>
    <w:rsid w:val="516C77CE"/>
    <w:rsid w:val="5171202B"/>
    <w:rsid w:val="517D5E7F"/>
    <w:rsid w:val="51826DFB"/>
    <w:rsid w:val="518B234A"/>
    <w:rsid w:val="519B0C71"/>
    <w:rsid w:val="519D5BDA"/>
    <w:rsid w:val="51A76A58"/>
    <w:rsid w:val="51AE6039"/>
    <w:rsid w:val="51AE7DE7"/>
    <w:rsid w:val="51B15013"/>
    <w:rsid w:val="51B318A1"/>
    <w:rsid w:val="51CB2747"/>
    <w:rsid w:val="51F24178"/>
    <w:rsid w:val="51FB1F8F"/>
    <w:rsid w:val="52000822"/>
    <w:rsid w:val="520914C1"/>
    <w:rsid w:val="52195BA8"/>
    <w:rsid w:val="521A6FC1"/>
    <w:rsid w:val="522462FB"/>
    <w:rsid w:val="52304CA0"/>
    <w:rsid w:val="52374280"/>
    <w:rsid w:val="524565F7"/>
    <w:rsid w:val="524A1D0E"/>
    <w:rsid w:val="525268EB"/>
    <w:rsid w:val="52737686"/>
    <w:rsid w:val="528A0854"/>
    <w:rsid w:val="528A2602"/>
    <w:rsid w:val="528C45CC"/>
    <w:rsid w:val="529E7E5B"/>
    <w:rsid w:val="52A33A2B"/>
    <w:rsid w:val="52A41123"/>
    <w:rsid w:val="52CA29FF"/>
    <w:rsid w:val="52E15F9A"/>
    <w:rsid w:val="52F201A7"/>
    <w:rsid w:val="52F43F1F"/>
    <w:rsid w:val="52F92CDD"/>
    <w:rsid w:val="530A54F1"/>
    <w:rsid w:val="53195734"/>
    <w:rsid w:val="531A23E7"/>
    <w:rsid w:val="532365B3"/>
    <w:rsid w:val="532D11DF"/>
    <w:rsid w:val="533B56AA"/>
    <w:rsid w:val="534F73A8"/>
    <w:rsid w:val="53514ECE"/>
    <w:rsid w:val="53552B4A"/>
    <w:rsid w:val="536C7F5A"/>
    <w:rsid w:val="5378019F"/>
    <w:rsid w:val="5382152B"/>
    <w:rsid w:val="538452A3"/>
    <w:rsid w:val="53925529"/>
    <w:rsid w:val="539D0113"/>
    <w:rsid w:val="539E133B"/>
    <w:rsid w:val="53A33245"/>
    <w:rsid w:val="53AC0356"/>
    <w:rsid w:val="53AE2320"/>
    <w:rsid w:val="53B81D20"/>
    <w:rsid w:val="53BD07B5"/>
    <w:rsid w:val="53C120CA"/>
    <w:rsid w:val="53D8739D"/>
    <w:rsid w:val="53E43F94"/>
    <w:rsid w:val="5402441A"/>
    <w:rsid w:val="54124B7D"/>
    <w:rsid w:val="542425E2"/>
    <w:rsid w:val="5426635A"/>
    <w:rsid w:val="542C1497"/>
    <w:rsid w:val="544B5DC1"/>
    <w:rsid w:val="545A4256"/>
    <w:rsid w:val="548067C5"/>
    <w:rsid w:val="54874210"/>
    <w:rsid w:val="548E5CAE"/>
    <w:rsid w:val="54A43880"/>
    <w:rsid w:val="54A656ED"/>
    <w:rsid w:val="54AF45A2"/>
    <w:rsid w:val="54C05528"/>
    <w:rsid w:val="54C343AC"/>
    <w:rsid w:val="54C51BDB"/>
    <w:rsid w:val="54CA318A"/>
    <w:rsid w:val="54DA6B45"/>
    <w:rsid w:val="54E02344"/>
    <w:rsid w:val="54E3424B"/>
    <w:rsid w:val="54E81862"/>
    <w:rsid w:val="54EA55DA"/>
    <w:rsid w:val="54F22289"/>
    <w:rsid w:val="54F226E1"/>
    <w:rsid w:val="54FC530D"/>
    <w:rsid w:val="550B7314"/>
    <w:rsid w:val="550D4D66"/>
    <w:rsid w:val="55204B5E"/>
    <w:rsid w:val="55230AEC"/>
    <w:rsid w:val="55256612"/>
    <w:rsid w:val="553C49CA"/>
    <w:rsid w:val="553D7E00"/>
    <w:rsid w:val="55442ECC"/>
    <w:rsid w:val="554747DA"/>
    <w:rsid w:val="55562C6F"/>
    <w:rsid w:val="556C2493"/>
    <w:rsid w:val="5571253B"/>
    <w:rsid w:val="55911EF9"/>
    <w:rsid w:val="55A0213D"/>
    <w:rsid w:val="55A7171D"/>
    <w:rsid w:val="55B300C2"/>
    <w:rsid w:val="55B61960"/>
    <w:rsid w:val="55D02A22"/>
    <w:rsid w:val="55EA33B8"/>
    <w:rsid w:val="55FA184D"/>
    <w:rsid w:val="55FD30EB"/>
    <w:rsid w:val="56151261"/>
    <w:rsid w:val="56165297"/>
    <w:rsid w:val="562B7C58"/>
    <w:rsid w:val="56494582"/>
    <w:rsid w:val="56570A4D"/>
    <w:rsid w:val="565F3DA6"/>
    <w:rsid w:val="566E223B"/>
    <w:rsid w:val="56714A64"/>
    <w:rsid w:val="568E5A7A"/>
    <w:rsid w:val="56925F29"/>
    <w:rsid w:val="56927CD7"/>
    <w:rsid w:val="569466E3"/>
    <w:rsid w:val="56AB6FEB"/>
    <w:rsid w:val="56BA5480"/>
    <w:rsid w:val="56C80241"/>
    <w:rsid w:val="56F049FE"/>
    <w:rsid w:val="56FB1D20"/>
    <w:rsid w:val="57030BD5"/>
    <w:rsid w:val="57064221"/>
    <w:rsid w:val="570C5CDB"/>
    <w:rsid w:val="571F6D7F"/>
    <w:rsid w:val="57256D9D"/>
    <w:rsid w:val="572D5C52"/>
    <w:rsid w:val="57376AD1"/>
    <w:rsid w:val="57454278"/>
    <w:rsid w:val="57623B4D"/>
    <w:rsid w:val="576D604E"/>
    <w:rsid w:val="577E6D98"/>
    <w:rsid w:val="578730E0"/>
    <w:rsid w:val="578E68B6"/>
    <w:rsid w:val="578F2469"/>
    <w:rsid w:val="579B5EA8"/>
    <w:rsid w:val="57AE3D5F"/>
    <w:rsid w:val="57C71C02"/>
    <w:rsid w:val="57D24F51"/>
    <w:rsid w:val="57E74053"/>
    <w:rsid w:val="57EA58F1"/>
    <w:rsid w:val="58091A66"/>
    <w:rsid w:val="581035A9"/>
    <w:rsid w:val="58131D55"/>
    <w:rsid w:val="583A6878"/>
    <w:rsid w:val="584274DB"/>
    <w:rsid w:val="588418A2"/>
    <w:rsid w:val="58896EB8"/>
    <w:rsid w:val="588B70D4"/>
    <w:rsid w:val="58A423FE"/>
    <w:rsid w:val="58B23F52"/>
    <w:rsid w:val="58B53004"/>
    <w:rsid w:val="58C779E0"/>
    <w:rsid w:val="58CD75D8"/>
    <w:rsid w:val="58D97E3F"/>
    <w:rsid w:val="58EB2F47"/>
    <w:rsid w:val="58EF1411"/>
    <w:rsid w:val="58F20481"/>
    <w:rsid w:val="58F5279F"/>
    <w:rsid w:val="58FE1654"/>
    <w:rsid w:val="5906675A"/>
    <w:rsid w:val="59140E77"/>
    <w:rsid w:val="591510CF"/>
    <w:rsid w:val="59227FCE"/>
    <w:rsid w:val="592D1F39"/>
    <w:rsid w:val="592D3CE7"/>
    <w:rsid w:val="59374B66"/>
    <w:rsid w:val="59480B21"/>
    <w:rsid w:val="59545718"/>
    <w:rsid w:val="597775F5"/>
    <w:rsid w:val="598F4BC6"/>
    <w:rsid w:val="59BE7035"/>
    <w:rsid w:val="59C77C98"/>
    <w:rsid w:val="59DD74BB"/>
    <w:rsid w:val="59F34F31"/>
    <w:rsid w:val="5A102BB5"/>
    <w:rsid w:val="5A1C58FC"/>
    <w:rsid w:val="5A1D5B0A"/>
    <w:rsid w:val="5A290952"/>
    <w:rsid w:val="5A2F44D7"/>
    <w:rsid w:val="5A4E49B8"/>
    <w:rsid w:val="5A533C21"/>
    <w:rsid w:val="5A5A4FB0"/>
    <w:rsid w:val="5A715E56"/>
    <w:rsid w:val="5A836C53"/>
    <w:rsid w:val="5A882BDD"/>
    <w:rsid w:val="5AB81CD6"/>
    <w:rsid w:val="5ABA77FD"/>
    <w:rsid w:val="5AD563E4"/>
    <w:rsid w:val="5AD7215D"/>
    <w:rsid w:val="5ADD173D"/>
    <w:rsid w:val="5AE92129"/>
    <w:rsid w:val="5AFF70F5"/>
    <w:rsid w:val="5B127639"/>
    <w:rsid w:val="5B411CCC"/>
    <w:rsid w:val="5B4A5B54"/>
    <w:rsid w:val="5B5C595B"/>
    <w:rsid w:val="5B5C6B06"/>
    <w:rsid w:val="5B5F7F9D"/>
    <w:rsid w:val="5B6F0312"/>
    <w:rsid w:val="5B773940"/>
    <w:rsid w:val="5B8B1199"/>
    <w:rsid w:val="5B8D3163"/>
    <w:rsid w:val="5B9135D7"/>
    <w:rsid w:val="5B9E0ECC"/>
    <w:rsid w:val="5BA1276A"/>
    <w:rsid w:val="5BB10BFF"/>
    <w:rsid w:val="5BE17EDB"/>
    <w:rsid w:val="5BEA5EBF"/>
    <w:rsid w:val="5BFE2D91"/>
    <w:rsid w:val="5C036F81"/>
    <w:rsid w:val="5C0D7E00"/>
    <w:rsid w:val="5C142F3C"/>
    <w:rsid w:val="5C1E3DBB"/>
    <w:rsid w:val="5C367B48"/>
    <w:rsid w:val="5C49419B"/>
    <w:rsid w:val="5C662A50"/>
    <w:rsid w:val="5C817AB3"/>
    <w:rsid w:val="5C8261A6"/>
    <w:rsid w:val="5CBA7F88"/>
    <w:rsid w:val="5CDA23D8"/>
    <w:rsid w:val="5CE13766"/>
    <w:rsid w:val="5CED3EB9"/>
    <w:rsid w:val="5CFD7E74"/>
    <w:rsid w:val="5D172CE4"/>
    <w:rsid w:val="5D192F00"/>
    <w:rsid w:val="5D1D7DBD"/>
    <w:rsid w:val="5D2B49E2"/>
    <w:rsid w:val="5D3813BC"/>
    <w:rsid w:val="5D5A6507"/>
    <w:rsid w:val="5D5E0913"/>
    <w:rsid w:val="5D677EDE"/>
    <w:rsid w:val="5D695134"/>
    <w:rsid w:val="5D6A41D1"/>
    <w:rsid w:val="5D7243BE"/>
    <w:rsid w:val="5D753EAF"/>
    <w:rsid w:val="5D855AD0"/>
    <w:rsid w:val="5D9E3405"/>
    <w:rsid w:val="5DA12EF6"/>
    <w:rsid w:val="5DAF75FB"/>
    <w:rsid w:val="5DB42C29"/>
    <w:rsid w:val="5DB9023F"/>
    <w:rsid w:val="5DC664B8"/>
    <w:rsid w:val="5DC7295C"/>
    <w:rsid w:val="5DCA41FA"/>
    <w:rsid w:val="5DD40B68"/>
    <w:rsid w:val="5DD46E27"/>
    <w:rsid w:val="5DDB1F64"/>
    <w:rsid w:val="5DDD390F"/>
    <w:rsid w:val="5DEA51A3"/>
    <w:rsid w:val="5DEC637B"/>
    <w:rsid w:val="5DEF7705"/>
    <w:rsid w:val="5DF72B16"/>
    <w:rsid w:val="5E062D59"/>
    <w:rsid w:val="5E0771FD"/>
    <w:rsid w:val="5E317DD6"/>
    <w:rsid w:val="5E381A8A"/>
    <w:rsid w:val="5E435D5B"/>
    <w:rsid w:val="5E5341F0"/>
    <w:rsid w:val="5E580EA3"/>
    <w:rsid w:val="5E8E347A"/>
    <w:rsid w:val="5E9071F2"/>
    <w:rsid w:val="5E9F11E3"/>
    <w:rsid w:val="5EA20CD3"/>
    <w:rsid w:val="5EBF433C"/>
    <w:rsid w:val="5EC23124"/>
    <w:rsid w:val="5EC450EE"/>
    <w:rsid w:val="5ED13367"/>
    <w:rsid w:val="5EF414B4"/>
    <w:rsid w:val="5EF41AEB"/>
    <w:rsid w:val="5F13397F"/>
    <w:rsid w:val="5F182D44"/>
    <w:rsid w:val="5F1A693A"/>
    <w:rsid w:val="5F27742B"/>
    <w:rsid w:val="5F2E07B9"/>
    <w:rsid w:val="5F542CA1"/>
    <w:rsid w:val="5F555D46"/>
    <w:rsid w:val="5F5D3D29"/>
    <w:rsid w:val="5F6661A5"/>
    <w:rsid w:val="5F681F1D"/>
    <w:rsid w:val="5F904FD0"/>
    <w:rsid w:val="5F9F3465"/>
    <w:rsid w:val="5FA50A46"/>
    <w:rsid w:val="5FB567E4"/>
    <w:rsid w:val="5FBB029F"/>
    <w:rsid w:val="5FBD4480"/>
    <w:rsid w:val="5FDC58EE"/>
    <w:rsid w:val="5FE11A5B"/>
    <w:rsid w:val="5FE65EE3"/>
    <w:rsid w:val="5FF4730D"/>
    <w:rsid w:val="600C7D2D"/>
    <w:rsid w:val="602970B6"/>
    <w:rsid w:val="60367925"/>
    <w:rsid w:val="605424A1"/>
    <w:rsid w:val="605660D3"/>
    <w:rsid w:val="60654232"/>
    <w:rsid w:val="606C1599"/>
    <w:rsid w:val="60732927"/>
    <w:rsid w:val="60793CB6"/>
    <w:rsid w:val="60795A64"/>
    <w:rsid w:val="60934D78"/>
    <w:rsid w:val="60A96349"/>
    <w:rsid w:val="60DE4400"/>
    <w:rsid w:val="60DF1BA4"/>
    <w:rsid w:val="60E47381"/>
    <w:rsid w:val="60F872D1"/>
    <w:rsid w:val="61046874"/>
    <w:rsid w:val="610B191F"/>
    <w:rsid w:val="61167757"/>
    <w:rsid w:val="61202383"/>
    <w:rsid w:val="613434EE"/>
    <w:rsid w:val="614F0214"/>
    <w:rsid w:val="61614E7D"/>
    <w:rsid w:val="61625A1B"/>
    <w:rsid w:val="61891CD7"/>
    <w:rsid w:val="618D7A19"/>
    <w:rsid w:val="619C1A0A"/>
    <w:rsid w:val="61BA27D8"/>
    <w:rsid w:val="61BC4533"/>
    <w:rsid w:val="61CF0031"/>
    <w:rsid w:val="61D05B58"/>
    <w:rsid w:val="61DF3FED"/>
    <w:rsid w:val="62127610"/>
    <w:rsid w:val="622639C9"/>
    <w:rsid w:val="62287742"/>
    <w:rsid w:val="623D288E"/>
    <w:rsid w:val="62441E42"/>
    <w:rsid w:val="625E3163"/>
    <w:rsid w:val="6260512D"/>
    <w:rsid w:val="627209BD"/>
    <w:rsid w:val="627A52C8"/>
    <w:rsid w:val="629B43B7"/>
    <w:rsid w:val="62BF638B"/>
    <w:rsid w:val="62CC631F"/>
    <w:rsid w:val="62CE653B"/>
    <w:rsid w:val="62E07F82"/>
    <w:rsid w:val="62E17A7F"/>
    <w:rsid w:val="62E713AB"/>
    <w:rsid w:val="62F12229"/>
    <w:rsid w:val="62F7456C"/>
    <w:rsid w:val="62FC765F"/>
    <w:rsid w:val="6300421A"/>
    <w:rsid w:val="630F26B0"/>
    <w:rsid w:val="63220635"/>
    <w:rsid w:val="632C5010"/>
    <w:rsid w:val="633A04D8"/>
    <w:rsid w:val="63495BC1"/>
    <w:rsid w:val="634E4618"/>
    <w:rsid w:val="63526AAF"/>
    <w:rsid w:val="635B17DB"/>
    <w:rsid w:val="636724EC"/>
    <w:rsid w:val="638135AD"/>
    <w:rsid w:val="638B6FDE"/>
    <w:rsid w:val="638E5F67"/>
    <w:rsid w:val="639C3F43"/>
    <w:rsid w:val="63A64C5E"/>
    <w:rsid w:val="63A70B3A"/>
    <w:rsid w:val="63A948B2"/>
    <w:rsid w:val="63B75221"/>
    <w:rsid w:val="63CE0D4C"/>
    <w:rsid w:val="63D25BB7"/>
    <w:rsid w:val="63F07540"/>
    <w:rsid w:val="63F25242"/>
    <w:rsid w:val="63FA510E"/>
    <w:rsid w:val="642B176B"/>
    <w:rsid w:val="643248A8"/>
    <w:rsid w:val="643B7C00"/>
    <w:rsid w:val="644F0FB6"/>
    <w:rsid w:val="64540CC2"/>
    <w:rsid w:val="64542A70"/>
    <w:rsid w:val="646B1B68"/>
    <w:rsid w:val="646C600B"/>
    <w:rsid w:val="649B14A7"/>
    <w:rsid w:val="64A4332E"/>
    <w:rsid w:val="64B74DAD"/>
    <w:rsid w:val="64C5571C"/>
    <w:rsid w:val="64CA1330"/>
    <w:rsid w:val="64D37E39"/>
    <w:rsid w:val="64D8544F"/>
    <w:rsid w:val="64E9765C"/>
    <w:rsid w:val="64EB3602"/>
    <w:rsid w:val="6504672A"/>
    <w:rsid w:val="650C2823"/>
    <w:rsid w:val="651248C9"/>
    <w:rsid w:val="652561BA"/>
    <w:rsid w:val="653916EC"/>
    <w:rsid w:val="653B2BC7"/>
    <w:rsid w:val="653D3504"/>
    <w:rsid w:val="653F54CE"/>
    <w:rsid w:val="65420B1A"/>
    <w:rsid w:val="656E7B61"/>
    <w:rsid w:val="65BA4B55"/>
    <w:rsid w:val="65CD2ADA"/>
    <w:rsid w:val="65D06126"/>
    <w:rsid w:val="65D42400"/>
    <w:rsid w:val="65D8147F"/>
    <w:rsid w:val="65D976D1"/>
    <w:rsid w:val="65DB39D9"/>
    <w:rsid w:val="65E074E4"/>
    <w:rsid w:val="65FE0EE5"/>
    <w:rsid w:val="660202AA"/>
    <w:rsid w:val="660B3602"/>
    <w:rsid w:val="66107265"/>
    <w:rsid w:val="66344907"/>
    <w:rsid w:val="6663343E"/>
    <w:rsid w:val="66660838"/>
    <w:rsid w:val="666B22F3"/>
    <w:rsid w:val="66810413"/>
    <w:rsid w:val="668F2DA6"/>
    <w:rsid w:val="66990C0E"/>
    <w:rsid w:val="66AB26EF"/>
    <w:rsid w:val="66B6356E"/>
    <w:rsid w:val="66B71094"/>
    <w:rsid w:val="66D47E98"/>
    <w:rsid w:val="66E55E11"/>
    <w:rsid w:val="66E75856"/>
    <w:rsid w:val="66F3668F"/>
    <w:rsid w:val="66F422E8"/>
    <w:rsid w:val="66FC5B55"/>
    <w:rsid w:val="67211A19"/>
    <w:rsid w:val="672F3320"/>
    <w:rsid w:val="674F751F"/>
    <w:rsid w:val="67584625"/>
    <w:rsid w:val="675D7E8D"/>
    <w:rsid w:val="67662C42"/>
    <w:rsid w:val="67670D0C"/>
    <w:rsid w:val="676C5425"/>
    <w:rsid w:val="676E209B"/>
    <w:rsid w:val="67806F5E"/>
    <w:rsid w:val="67A4786A"/>
    <w:rsid w:val="67AB5824"/>
    <w:rsid w:val="67B40EDC"/>
    <w:rsid w:val="67B66B8D"/>
    <w:rsid w:val="67D143D7"/>
    <w:rsid w:val="67DE73E1"/>
    <w:rsid w:val="67E1565F"/>
    <w:rsid w:val="68105548"/>
    <w:rsid w:val="6832131A"/>
    <w:rsid w:val="684B23DC"/>
    <w:rsid w:val="684D3A5E"/>
    <w:rsid w:val="68523A33"/>
    <w:rsid w:val="685C6397"/>
    <w:rsid w:val="68662D72"/>
    <w:rsid w:val="68693658"/>
    <w:rsid w:val="686B482C"/>
    <w:rsid w:val="6881195A"/>
    <w:rsid w:val="68923B67"/>
    <w:rsid w:val="68A45648"/>
    <w:rsid w:val="68B735CD"/>
    <w:rsid w:val="68C33D20"/>
    <w:rsid w:val="68CB020A"/>
    <w:rsid w:val="68D4417F"/>
    <w:rsid w:val="68D777CC"/>
    <w:rsid w:val="68E54AE2"/>
    <w:rsid w:val="68F62348"/>
    <w:rsid w:val="68FE7934"/>
    <w:rsid w:val="690C1B6B"/>
    <w:rsid w:val="691E189E"/>
    <w:rsid w:val="692F585A"/>
    <w:rsid w:val="694677C3"/>
    <w:rsid w:val="69603C65"/>
    <w:rsid w:val="69821E2D"/>
    <w:rsid w:val="699102C2"/>
    <w:rsid w:val="699851AD"/>
    <w:rsid w:val="69A1096B"/>
    <w:rsid w:val="69B83AA1"/>
    <w:rsid w:val="69B8584F"/>
    <w:rsid w:val="69D02B99"/>
    <w:rsid w:val="69E93C5A"/>
    <w:rsid w:val="69EA352F"/>
    <w:rsid w:val="6A0B0806"/>
    <w:rsid w:val="6A1A02B8"/>
    <w:rsid w:val="6A37294F"/>
    <w:rsid w:val="6A440E91"/>
    <w:rsid w:val="6A441C65"/>
    <w:rsid w:val="6A7259FE"/>
    <w:rsid w:val="6A794FDE"/>
    <w:rsid w:val="6A7F45BF"/>
    <w:rsid w:val="6A876FCF"/>
    <w:rsid w:val="6A96708A"/>
    <w:rsid w:val="6A9736B6"/>
    <w:rsid w:val="6A9739A1"/>
    <w:rsid w:val="6A995DBF"/>
    <w:rsid w:val="6A99742E"/>
    <w:rsid w:val="6A9E67F3"/>
    <w:rsid w:val="6AB73D58"/>
    <w:rsid w:val="6ABC642B"/>
    <w:rsid w:val="6ACF10A2"/>
    <w:rsid w:val="6AE10DD5"/>
    <w:rsid w:val="6AEB57B0"/>
    <w:rsid w:val="6B051D5D"/>
    <w:rsid w:val="6B160A7F"/>
    <w:rsid w:val="6B3F6E6C"/>
    <w:rsid w:val="6B594E10"/>
    <w:rsid w:val="6B7632CC"/>
    <w:rsid w:val="6B96396E"/>
    <w:rsid w:val="6BC02799"/>
    <w:rsid w:val="6BEE5558"/>
    <w:rsid w:val="6BFB7C75"/>
    <w:rsid w:val="6BFF7765"/>
    <w:rsid w:val="6C1A3DE9"/>
    <w:rsid w:val="6C2076DB"/>
    <w:rsid w:val="6C3311BD"/>
    <w:rsid w:val="6C3F0C0A"/>
    <w:rsid w:val="6C3F5DB4"/>
    <w:rsid w:val="6C4542BA"/>
    <w:rsid w:val="6C5630FD"/>
    <w:rsid w:val="6C663340"/>
    <w:rsid w:val="6C685592"/>
    <w:rsid w:val="6C6E48EB"/>
    <w:rsid w:val="6C8163CC"/>
    <w:rsid w:val="6C8A31F3"/>
    <w:rsid w:val="6C971FC4"/>
    <w:rsid w:val="6C9A748E"/>
    <w:rsid w:val="6CA1577E"/>
    <w:rsid w:val="6CB542C8"/>
    <w:rsid w:val="6CBF6EF4"/>
    <w:rsid w:val="6CC16DF8"/>
    <w:rsid w:val="6CC17318"/>
    <w:rsid w:val="6CD04C5E"/>
    <w:rsid w:val="6CD3474E"/>
    <w:rsid w:val="6CD6029A"/>
    <w:rsid w:val="6CDA788A"/>
    <w:rsid w:val="6CDB65B5"/>
    <w:rsid w:val="6CE30E35"/>
    <w:rsid w:val="6CE547B7"/>
    <w:rsid w:val="6CEC6C65"/>
    <w:rsid w:val="6CEE4DA1"/>
    <w:rsid w:val="6CF90658"/>
    <w:rsid w:val="6CFA1963"/>
    <w:rsid w:val="6CFC7A9E"/>
    <w:rsid w:val="6D042B59"/>
    <w:rsid w:val="6D064B23"/>
    <w:rsid w:val="6D0D35D4"/>
    <w:rsid w:val="6D1C7EA3"/>
    <w:rsid w:val="6D4312CD"/>
    <w:rsid w:val="6D4547D0"/>
    <w:rsid w:val="6D592BC0"/>
    <w:rsid w:val="6D604233"/>
    <w:rsid w:val="6D7777CF"/>
    <w:rsid w:val="6D9B1326"/>
    <w:rsid w:val="6D9E3E83"/>
    <w:rsid w:val="6DA5648F"/>
    <w:rsid w:val="6DC36570"/>
    <w:rsid w:val="6DCF13B9"/>
    <w:rsid w:val="6DD662A4"/>
    <w:rsid w:val="6DDE33AA"/>
    <w:rsid w:val="6DDF784E"/>
    <w:rsid w:val="6DE45B61"/>
    <w:rsid w:val="6DEA7FA1"/>
    <w:rsid w:val="6E030604"/>
    <w:rsid w:val="6E237BE1"/>
    <w:rsid w:val="6E35746E"/>
    <w:rsid w:val="6E600263"/>
    <w:rsid w:val="6E7F693B"/>
    <w:rsid w:val="6E804461"/>
    <w:rsid w:val="6E84731C"/>
    <w:rsid w:val="6E9879FD"/>
    <w:rsid w:val="6EA6211A"/>
    <w:rsid w:val="6EB760D5"/>
    <w:rsid w:val="6EC32CCC"/>
    <w:rsid w:val="6EDE7B06"/>
    <w:rsid w:val="6EF8049C"/>
    <w:rsid w:val="6EF94940"/>
    <w:rsid w:val="6F103A37"/>
    <w:rsid w:val="6F15104E"/>
    <w:rsid w:val="6F1E6154"/>
    <w:rsid w:val="6F26325B"/>
    <w:rsid w:val="6F3C482C"/>
    <w:rsid w:val="6F6B0C0B"/>
    <w:rsid w:val="6FA04DBB"/>
    <w:rsid w:val="6FA26D85"/>
    <w:rsid w:val="6FCC795E"/>
    <w:rsid w:val="6FD74555"/>
    <w:rsid w:val="6FD827A7"/>
    <w:rsid w:val="6FE078AE"/>
    <w:rsid w:val="6FEB684D"/>
    <w:rsid w:val="6FEC6252"/>
    <w:rsid w:val="6FFE49C9"/>
    <w:rsid w:val="700370F8"/>
    <w:rsid w:val="70057314"/>
    <w:rsid w:val="701D28B0"/>
    <w:rsid w:val="702C48A1"/>
    <w:rsid w:val="70310109"/>
    <w:rsid w:val="703379DD"/>
    <w:rsid w:val="70390D6C"/>
    <w:rsid w:val="703B0F88"/>
    <w:rsid w:val="704B11CB"/>
    <w:rsid w:val="7053007F"/>
    <w:rsid w:val="705D4A5A"/>
    <w:rsid w:val="706B5E85"/>
    <w:rsid w:val="707C1D5D"/>
    <w:rsid w:val="70822713"/>
    <w:rsid w:val="708C3591"/>
    <w:rsid w:val="70A254D7"/>
    <w:rsid w:val="70A51CDF"/>
    <w:rsid w:val="70A73F27"/>
    <w:rsid w:val="70B30B1E"/>
    <w:rsid w:val="70BA3C5B"/>
    <w:rsid w:val="70BF5715"/>
    <w:rsid w:val="70C90342"/>
    <w:rsid w:val="70D30931"/>
    <w:rsid w:val="70DC62C7"/>
    <w:rsid w:val="70E12961"/>
    <w:rsid w:val="70EE2D4A"/>
    <w:rsid w:val="70F0003F"/>
    <w:rsid w:val="70F61FEA"/>
    <w:rsid w:val="70F74EAF"/>
    <w:rsid w:val="70FD7FEB"/>
    <w:rsid w:val="710E3FA6"/>
    <w:rsid w:val="71150AC6"/>
    <w:rsid w:val="71155335"/>
    <w:rsid w:val="711710AD"/>
    <w:rsid w:val="71290DE0"/>
    <w:rsid w:val="712B6906"/>
    <w:rsid w:val="712D267F"/>
    <w:rsid w:val="714479C8"/>
    <w:rsid w:val="715045BF"/>
    <w:rsid w:val="71663DE2"/>
    <w:rsid w:val="716D5171"/>
    <w:rsid w:val="717A5889"/>
    <w:rsid w:val="718957D5"/>
    <w:rsid w:val="71D15700"/>
    <w:rsid w:val="71DA1A49"/>
    <w:rsid w:val="71EF5B86"/>
    <w:rsid w:val="71F87130"/>
    <w:rsid w:val="721815DF"/>
    <w:rsid w:val="723932A5"/>
    <w:rsid w:val="723F4683"/>
    <w:rsid w:val="725956F5"/>
    <w:rsid w:val="72616F8F"/>
    <w:rsid w:val="727942C6"/>
    <w:rsid w:val="7298446F"/>
    <w:rsid w:val="729B7ABC"/>
    <w:rsid w:val="729F75AC"/>
    <w:rsid w:val="72A21144"/>
    <w:rsid w:val="72A5093A"/>
    <w:rsid w:val="72B017B9"/>
    <w:rsid w:val="72C76B03"/>
    <w:rsid w:val="72E6342D"/>
    <w:rsid w:val="72F07E08"/>
    <w:rsid w:val="72F53670"/>
    <w:rsid w:val="72FA0C86"/>
    <w:rsid w:val="73153CEA"/>
    <w:rsid w:val="732144AE"/>
    <w:rsid w:val="732E0DD3"/>
    <w:rsid w:val="73306456"/>
    <w:rsid w:val="734939BC"/>
    <w:rsid w:val="7358775B"/>
    <w:rsid w:val="73634A7D"/>
    <w:rsid w:val="73634DF7"/>
    <w:rsid w:val="736A4C25"/>
    <w:rsid w:val="73726A6F"/>
    <w:rsid w:val="737E5413"/>
    <w:rsid w:val="73893DB8"/>
    <w:rsid w:val="73970283"/>
    <w:rsid w:val="739A7D73"/>
    <w:rsid w:val="73A17354"/>
    <w:rsid w:val="73A62BBC"/>
    <w:rsid w:val="73B40E35"/>
    <w:rsid w:val="73CC2623"/>
    <w:rsid w:val="73CC7847"/>
    <w:rsid w:val="73E01C2A"/>
    <w:rsid w:val="73EA0CFB"/>
    <w:rsid w:val="73EF00BF"/>
    <w:rsid w:val="73FB4CB6"/>
    <w:rsid w:val="73FC19D6"/>
    <w:rsid w:val="74116287"/>
    <w:rsid w:val="7420471D"/>
    <w:rsid w:val="74212243"/>
    <w:rsid w:val="74226CCE"/>
    <w:rsid w:val="7423420D"/>
    <w:rsid w:val="742C1313"/>
    <w:rsid w:val="744523D5"/>
    <w:rsid w:val="744C5512"/>
    <w:rsid w:val="744D68B6"/>
    <w:rsid w:val="74547650"/>
    <w:rsid w:val="746C5BB4"/>
    <w:rsid w:val="7496678D"/>
    <w:rsid w:val="74B3733F"/>
    <w:rsid w:val="74B82BA7"/>
    <w:rsid w:val="74F3598D"/>
    <w:rsid w:val="74FD680C"/>
    <w:rsid w:val="75045DEC"/>
    <w:rsid w:val="75232716"/>
    <w:rsid w:val="75265D63"/>
    <w:rsid w:val="752913AF"/>
    <w:rsid w:val="75355FA6"/>
    <w:rsid w:val="7544268D"/>
    <w:rsid w:val="755E374E"/>
    <w:rsid w:val="756248C1"/>
    <w:rsid w:val="756A3232"/>
    <w:rsid w:val="757C028F"/>
    <w:rsid w:val="75812F99"/>
    <w:rsid w:val="7583021F"/>
    <w:rsid w:val="758F1B5A"/>
    <w:rsid w:val="759727BC"/>
    <w:rsid w:val="759E1D9D"/>
    <w:rsid w:val="75A629FF"/>
    <w:rsid w:val="75B3511C"/>
    <w:rsid w:val="75C5557C"/>
    <w:rsid w:val="75CA466E"/>
    <w:rsid w:val="75D73DE6"/>
    <w:rsid w:val="75D94B83"/>
    <w:rsid w:val="75E02D6E"/>
    <w:rsid w:val="75E21C07"/>
    <w:rsid w:val="760011A7"/>
    <w:rsid w:val="760B4F58"/>
    <w:rsid w:val="76147094"/>
    <w:rsid w:val="7621477C"/>
    <w:rsid w:val="762D4ECF"/>
    <w:rsid w:val="76397D18"/>
    <w:rsid w:val="764A5A81"/>
    <w:rsid w:val="767A2C9B"/>
    <w:rsid w:val="768E74FF"/>
    <w:rsid w:val="769A41F3"/>
    <w:rsid w:val="76A10290"/>
    <w:rsid w:val="76DA5057"/>
    <w:rsid w:val="76E41B1C"/>
    <w:rsid w:val="77084C62"/>
    <w:rsid w:val="774C58CD"/>
    <w:rsid w:val="77562203"/>
    <w:rsid w:val="776C1A27"/>
    <w:rsid w:val="77762349"/>
    <w:rsid w:val="777803CC"/>
    <w:rsid w:val="777F79AC"/>
    <w:rsid w:val="778B3020"/>
    <w:rsid w:val="778C06AA"/>
    <w:rsid w:val="778C10EB"/>
    <w:rsid w:val="77A17922"/>
    <w:rsid w:val="77B04009"/>
    <w:rsid w:val="77B92EBE"/>
    <w:rsid w:val="77BA39FB"/>
    <w:rsid w:val="77BC475C"/>
    <w:rsid w:val="77C3667E"/>
    <w:rsid w:val="77CD6969"/>
    <w:rsid w:val="77D54204"/>
    <w:rsid w:val="77D5581E"/>
    <w:rsid w:val="77EA18BC"/>
    <w:rsid w:val="78000AED"/>
    <w:rsid w:val="780A371A"/>
    <w:rsid w:val="781508DB"/>
    <w:rsid w:val="781E6FB1"/>
    <w:rsid w:val="7826607A"/>
    <w:rsid w:val="782A5B6A"/>
    <w:rsid w:val="784309DA"/>
    <w:rsid w:val="784B788E"/>
    <w:rsid w:val="785C1A9B"/>
    <w:rsid w:val="785D4C93"/>
    <w:rsid w:val="7879089F"/>
    <w:rsid w:val="787E7C64"/>
    <w:rsid w:val="788039DC"/>
    <w:rsid w:val="7880578A"/>
    <w:rsid w:val="7883171E"/>
    <w:rsid w:val="7892370F"/>
    <w:rsid w:val="789B0816"/>
    <w:rsid w:val="78A0407E"/>
    <w:rsid w:val="78AC657F"/>
    <w:rsid w:val="78B10039"/>
    <w:rsid w:val="78C57641"/>
    <w:rsid w:val="78D83818"/>
    <w:rsid w:val="78E026CC"/>
    <w:rsid w:val="78EE6B97"/>
    <w:rsid w:val="78F85C68"/>
    <w:rsid w:val="78FD6115"/>
    <w:rsid w:val="79112886"/>
    <w:rsid w:val="7911545B"/>
    <w:rsid w:val="791344A9"/>
    <w:rsid w:val="79142376"/>
    <w:rsid w:val="791A5BDE"/>
    <w:rsid w:val="793D18CD"/>
    <w:rsid w:val="794744F9"/>
    <w:rsid w:val="794A5748"/>
    <w:rsid w:val="79537E36"/>
    <w:rsid w:val="796B643A"/>
    <w:rsid w:val="796D2246"/>
    <w:rsid w:val="797057FE"/>
    <w:rsid w:val="79773031"/>
    <w:rsid w:val="79780B57"/>
    <w:rsid w:val="798B16F8"/>
    <w:rsid w:val="79B778D1"/>
    <w:rsid w:val="79BF22E2"/>
    <w:rsid w:val="79C30024"/>
    <w:rsid w:val="79C76F0B"/>
    <w:rsid w:val="79C773E8"/>
    <w:rsid w:val="79CC49FF"/>
    <w:rsid w:val="79CD600B"/>
    <w:rsid w:val="79D12EC5"/>
    <w:rsid w:val="79FF3026"/>
    <w:rsid w:val="7A010B4C"/>
    <w:rsid w:val="7A083C89"/>
    <w:rsid w:val="7A0C2F4B"/>
    <w:rsid w:val="7A0F3269"/>
    <w:rsid w:val="7A167BDB"/>
    <w:rsid w:val="7A223EAD"/>
    <w:rsid w:val="7A24483B"/>
    <w:rsid w:val="7A4F7B0A"/>
    <w:rsid w:val="7A57076C"/>
    <w:rsid w:val="7A677765"/>
    <w:rsid w:val="7A770E0E"/>
    <w:rsid w:val="7A835A05"/>
    <w:rsid w:val="7AAD65DE"/>
    <w:rsid w:val="7AC53928"/>
    <w:rsid w:val="7ADF3CDD"/>
    <w:rsid w:val="7AE21CA9"/>
    <w:rsid w:val="7AE55D78"/>
    <w:rsid w:val="7AF62CB5"/>
    <w:rsid w:val="7B0408F4"/>
    <w:rsid w:val="7B0E3521"/>
    <w:rsid w:val="7B166879"/>
    <w:rsid w:val="7B18439F"/>
    <w:rsid w:val="7B2014A6"/>
    <w:rsid w:val="7B31720F"/>
    <w:rsid w:val="7B51340D"/>
    <w:rsid w:val="7B686DA8"/>
    <w:rsid w:val="7B7315D6"/>
    <w:rsid w:val="7B735A7A"/>
    <w:rsid w:val="7B876E2F"/>
    <w:rsid w:val="7B917CAE"/>
    <w:rsid w:val="7BAC4AE8"/>
    <w:rsid w:val="7BAE260E"/>
    <w:rsid w:val="7BBA648F"/>
    <w:rsid w:val="7BCA466F"/>
    <w:rsid w:val="7BD85CD2"/>
    <w:rsid w:val="7BE91898"/>
    <w:rsid w:val="7BED7BDD"/>
    <w:rsid w:val="7BF87D2D"/>
    <w:rsid w:val="7C01328E"/>
    <w:rsid w:val="7C02295A"/>
    <w:rsid w:val="7C042B76"/>
    <w:rsid w:val="7C0D1A2A"/>
    <w:rsid w:val="7C18217D"/>
    <w:rsid w:val="7C2A3F10"/>
    <w:rsid w:val="7C374CF9"/>
    <w:rsid w:val="7C460A98"/>
    <w:rsid w:val="7C671AA5"/>
    <w:rsid w:val="7C6F2938"/>
    <w:rsid w:val="7C86358B"/>
    <w:rsid w:val="7C945CA8"/>
    <w:rsid w:val="7C961A20"/>
    <w:rsid w:val="7CA629AA"/>
    <w:rsid w:val="7CAB2FF1"/>
    <w:rsid w:val="7CC12815"/>
    <w:rsid w:val="7CF16C56"/>
    <w:rsid w:val="7D034BDB"/>
    <w:rsid w:val="7D3905FD"/>
    <w:rsid w:val="7D3D633F"/>
    <w:rsid w:val="7D4274B2"/>
    <w:rsid w:val="7D5A0C9F"/>
    <w:rsid w:val="7D5D253D"/>
    <w:rsid w:val="7D701344"/>
    <w:rsid w:val="7D717D97"/>
    <w:rsid w:val="7D8555F0"/>
    <w:rsid w:val="7D885400"/>
    <w:rsid w:val="7D896705"/>
    <w:rsid w:val="7D9A0B9D"/>
    <w:rsid w:val="7DAA32A9"/>
    <w:rsid w:val="7DAC1D4F"/>
    <w:rsid w:val="7DB17B6D"/>
    <w:rsid w:val="7DBB1012"/>
    <w:rsid w:val="7DC06BDF"/>
    <w:rsid w:val="7DC66335"/>
    <w:rsid w:val="7DCA585F"/>
    <w:rsid w:val="7DD32B96"/>
    <w:rsid w:val="7DEA6806"/>
    <w:rsid w:val="7DF2712A"/>
    <w:rsid w:val="7DFD162B"/>
    <w:rsid w:val="7E01736D"/>
    <w:rsid w:val="7E132BFC"/>
    <w:rsid w:val="7E187F6B"/>
    <w:rsid w:val="7E1E7F1F"/>
    <w:rsid w:val="7E2968C4"/>
    <w:rsid w:val="7E3643BE"/>
    <w:rsid w:val="7E3808B5"/>
    <w:rsid w:val="7E407D7D"/>
    <w:rsid w:val="7E4F6BCE"/>
    <w:rsid w:val="7E5F5463"/>
    <w:rsid w:val="7E6B47E6"/>
    <w:rsid w:val="7E6E42D6"/>
    <w:rsid w:val="7E976222"/>
    <w:rsid w:val="7E98158A"/>
    <w:rsid w:val="7EB96DF7"/>
    <w:rsid w:val="7EC860DC"/>
    <w:rsid w:val="7ECD724F"/>
    <w:rsid w:val="7ED71E7C"/>
    <w:rsid w:val="7EE222CA"/>
    <w:rsid w:val="7EE750D0"/>
    <w:rsid w:val="7EF0012A"/>
    <w:rsid w:val="7F160BF6"/>
    <w:rsid w:val="7F2005B6"/>
    <w:rsid w:val="7F262D4F"/>
    <w:rsid w:val="7F271055"/>
    <w:rsid w:val="7F4E65E2"/>
    <w:rsid w:val="7F5636E8"/>
    <w:rsid w:val="7F800765"/>
    <w:rsid w:val="7FB1091F"/>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6"/>
    <w:next w:val="1"/>
    <w:autoRedefine/>
    <w:qFormat/>
    <w:uiPriority w:val="0"/>
    <w:pPr>
      <w:spacing w:before="340" w:after="330" w:line="360" w:lineRule="auto"/>
      <w:jc w:val="center"/>
      <w:outlineLvl w:val="0"/>
    </w:pPr>
    <w:rPr>
      <w:kern w:val="44"/>
      <w:szCs w:val="44"/>
    </w:rPr>
  </w:style>
  <w:style w:type="paragraph" w:styleId="8">
    <w:name w:val="heading 2"/>
    <w:basedOn w:val="6"/>
    <w:next w:val="7"/>
    <w:autoRedefine/>
    <w:qFormat/>
    <w:uiPriority w:val="0"/>
    <w:pPr>
      <w:adjustRightInd w:val="0"/>
      <w:jc w:val="center"/>
      <w:textAlignment w:val="baseline"/>
      <w:outlineLvl w:val="1"/>
    </w:pPr>
    <w:rPr>
      <w:kern w:val="0"/>
      <w:sz w:val="24"/>
      <w:szCs w:val="20"/>
    </w:rPr>
  </w:style>
  <w:style w:type="paragraph" w:styleId="6">
    <w:name w:val="heading 3"/>
    <w:basedOn w:val="7"/>
    <w:next w:val="1"/>
    <w:autoRedefine/>
    <w:qFormat/>
    <w:uiPriority w:val="9"/>
    <w:pPr>
      <w:spacing w:before="260" w:after="260"/>
      <w:outlineLvl w:val="2"/>
    </w:pPr>
    <w:rPr>
      <w:rFonts w:ascii="宋体" w:hAnsi="宋体"/>
      <w:szCs w:val="32"/>
    </w:rPr>
  </w:style>
  <w:style w:type="paragraph" w:styleId="7">
    <w:name w:val="heading 4"/>
    <w:basedOn w:val="1"/>
    <w:next w:val="1"/>
    <w:autoRedefine/>
    <w:qFormat/>
    <w:uiPriority w:val="9"/>
    <w:pPr>
      <w:keepNext/>
      <w:keepLines/>
      <w:spacing w:before="280" w:after="290" w:line="376" w:lineRule="auto"/>
      <w:outlineLvl w:val="3"/>
    </w:pPr>
    <w:rPr>
      <w:rFonts w:ascii="Arial" w:hAnsi="Arial" w:eastAsia="黑体"/>
      <w:b/>
      <w:bCs/>
      <w:sz w:val="28"/>
      <w:szCs w:val="28"/>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tabs>
        <w:tab w:val="left" w:pos="5372"/>
      </w:tabs>
    </w:pPr>
  </w:style>
  <w:style w:type="paragraph" w:styleId="3">
    <w:name w:val="Body Text Indent"/>
    <w:basedOn w:val="1"/>
    <w:next w:val="4"/>
    <w:autoRedefine/>
    <w:qFormat/>
    <w:uiPriority w:val="0"/>
    <w:pPr>
      <w:spacing w:line="360" w:lineRule="auto"/>
      <w:ind w:firstLine="420" w:firstLineChars="200"/>
    </w:pPr>
  </w:style>
  <w:style w:type="paragraph" w:styleId="4">
    <w:name w:val="envelope return"/>
    <w:basedOn w:val="1"/>
    <w:autoRedefine/>
    <w:unhideWhenUsed/>
    <w:qFormat/>
    <w:uiPriority w:val="99"/>
    <w:pPr>
      <w:snapToGrid w:val="0"/>
    </w:pPr>
    <w:rPr>
      <w:rFonts w:ascii="Arial" w:hAnsi="Arial"/>
    </w:rPr>
  </w:style>
  <w:style w:type="paragraph" w:styleId="9">
    <w:name w:val="Normal Indent"/>
    <w:basedOn w:val="1"/>
    <w:next w:val="10"/>
    <w:autoRedefine/>
    <w:qFormat/>
    <w:uiPriority w:val="0"/>
    <w:pPr>
      <w:ind w:firstLine="420"/>
    </w:pPr>
    <w:rPr>
      <w:szCs w:val="20"/>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annotation text"/>
    <w:basedOn w:val="1"/>
    <w:link w:val="53"/>
    <w:autoRedefine/>
    <w:qFormat/>
    <w:uiPriority w:val="99"/>
    <w:pPr>
      <w:autoSpaceDE w:val="0"/>
      <w:autoSpaceDN w:val="0"/>
      <w:adjustRightInd w:val="0"/>
      <w:jc w:val="left"/>
      <w:textAlignment w:val="baseline"/>
    </w:pPr>
    <w:rPr>
      <w:rFonts w:ascii="宋体"/>
      <w:kern w:val="0"/>
      <w:sz w:val="34"/>
      <w:szCs w:val="20"/>
    </w:rPr>
  </w:style>
  <w:style w:type="paragraph" w:styleId="12">
    <w:name w:val="Body Text"/>
    <w:basedOn w:val="1"/>
    <w:next w:val="13"/>
    <w:autoRedefine/>
    <w:qFormat/>
    <w:uiPriority w:val="0"/>
    <w:pPr>
      <w:spacing w:line="360" w:lineRule="auto"/>
    </w:pPr>
    <w:rPr>
      <w:b/>
      <w:bCs/>
      <w:sz w:val="24"/>
    </w:rPr>
  </w:style>
  <w:style w:type="paragraph" w:styleId="13">
    <w:name w:val="Body Text 2"/>
    <w:basedOn w:val="1"/>
    <w:autoRedefine/>
    <w:qFormat/>
    <w:uiPriority w:val="0"/>
    <w:pPr>
      <w:spacing w:line="360" w:lineRule="auto"/>
    </w:pPr>
    <w:rPr>
      <w:sz w:val="24"/>
    </w:rPr>
  </w:style>
  <w:style w:type="paragraph" w:styleId="14">
    <w:name w:val="toc 5"/>
    <w:basedOn w:val="1"/>
    <w:next w:val="1"/>
    <w:autoRedefine/>
    <w:semiHidden/>
    <w:qFormat/>
    <w:uiPriority w:val="0"/>
    <w:pPr>
      <w:ind w:left="840"/>
      <w:jc w:val="left"/>
    </w:pPr>
    <w:rPr>
      <w:szCs w:val="21"/>
    </w:rPr>
  </w:style>
  <w:style w:type="paragraph" w:styleId="15">
    <w:name w:val="Balloon Text"/>
    <w:basedOn w:val="1"/>
    <w:link w:val="45"/>
    <w:autoRedefine/>
    <w:qFormat/>
    <w:uiPriority w:val="0"/>
    <w:rPr>
      <w:sz w:val="18"/>
      <w:szCs w:val="18"/>
    </w:rPr>
  </w:style>
  <w:style w:type="paragraph" w:styleId="16">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autoRedefine/>
    <w:qFormat/>
    <w:uiPriority w:val="99"/>
    <w:pPr>
      <w:spacing w:beforeAutospacing="1" w:afterAutospacing="1"/>
      <w:jc w:val="left"/>
    </w:pPr>
    <w:rPr>
      <w:kern w:val="0"/>
      <w:sz w:val="24"/>
    </w:rPr>
  </w:style>
  <w:style w:type="paragraph" w:styleId="18">
    <w:name w:val="Title"/>
    <w:basedOn w:val="1"/>
    <w:next w:val="1"/>
    <w:autoRedefine/>
    <w:qFormat/>
    <w:uiPriority w:val="0"/>
    <w:pPr>
      <w:spacing w:before="240" w:after="60"/>
      <w:jc w:val="center"/>
      <w:outlineLvl w:val="0"/>
    </w:pPr>
    <w:rPr>
      <w:rFonts w:ascii="Arial" w:hAnsi="Arial" w:eastAsia="隶书" w:cs="Arial"/>
      <w:b/>
      <w:bCs/>
      <w:sz w:val="32"/>
      <w:szCs w:val="32"/>
    </w:rPr>
  </w:style>
  <w:style w:type="paragraph" w:styleId="19">
    <w:name w:val="annotation subject"/>
    <w:basedOn w:val="11"/>
    <w:next w:val="11"/>
    <w:link w:val="54"/>
    <w:autoRedefine/>
    <w:qFormat/>
    <w:uiPriority w:val="0"/>
    <w:pPr>
      <w:autoSpaceDE/>
      <w:autoSpaceDN/>
      <w:adjustRightInd/>
      <w:textAlignment w:val="auto"/>
    </w:pPr>
    <w:rPr>
      <w:rFonts w:ascii="Times New Roman"/>
      <w:b/>
      <w:bCs/>
      <w:kern w:val="2"/>
      <w:sz w:val="21"/>
      <w:szCs w:val="24"/>
    </w:rPr>
  </w:style>
  <w:style w:type="paragraph" w:styleId="20">
    <w:name w:val="Body Text First Indent"/>
    <w:basedOn w:val="12"/>
    <w:autoRedefine/>
    <w:qFormat/>
    <w:uiPriority w:val="0"/>
    <w:pPr>
      <w:tabs>
        <w:tab w:val="left" w:pos="567"/>
      </w:tabs>
      <w:spacing w:after="120" w:line="240" w:lineRule="auto"/>
      <w:ind w:firstLine="420" w:firstLineChars="100"/>
    </w:pPr>
    <w:rPr>
      <w:sz w:val="21"/>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bCs/>
    </w:rPr>
  </w:style>
  <w:style w:type="character" w:styleId="25">
    <w:name w:val="page number"/>
    <w:basedOn w:val="23"/>
    <w:autoRedefine/>
    <w:qFormat/>
    <w:uiPriority w:val="0"/>
  </w:style>
  <w:style w:type="character" w:styleId="26">
    <w:name w:val="FollowedHyperlink"/>
    <w:basedOn w:val="23"/>
    <w:autoRedefine/>
    <w:qFormat/>
    <w:uiPriority w:val="0"/>
    <w:rPr>
      <w:color w:val="5C5C5C"/>
      <w:u w:val="none"/>
    </w:rPr>
  </w:style>
  <w:style w:type="character" w:styleId="27">
    <w:name w:val="Emphasis"/>
    <w:basedOn w:val="23"/>
    <w:autoRedefine/>
    <w:qFormat/>
    <w:uiPriority w:val="0"/>
    <w:rPr>
      <w:b/>
      <w:bCs/>
    </w:rPr>
  </w:style>
  <w:style w:type="character" w:styleId="28">
    <w:name w:val="HTML Definition"/>
    <w:basedOn w:val="23"/>
    <w:autoRedefine/>
    <w:qFormat/>
    <w:uiPriority w:val="0"/>
  </w:style>
  <w:style w:type="character" w:styleId="29">
    <w:name w:val="HTML Typewriter"/>
    <w:basedOn w:val="23"/>
    <w:autoRedefine/>
    <w:qFormat/>
    <w:uiPriority w:val="0"/>
    <w:rPr>
      <w:rFonts w:hint="default" w:ascii="monospace" w:hAnsi="monospace" w:eastAsia="monospace" w:cs="monospace"/>
      <w:sz w:val="20"/>
    </w:rPr>
  </w:style>
  <w:style w:type="character" w:styleId="30">
    <w:name w:val="HTML Acronym"/>
    <w:basedOn w:val="23"/>
    <w:autoRedefine/>
    <w:qFormat/>
    <w:uiPriority w:val="0"/>
    <w:rPr>
      <w:color w:val="5C5C5C"/>
      <w:sz w:val="16"/>
      <w:szCs w:val="16"/>
    </w:rPr>
  </w:style>
  <w:style w:type="character" w:styleId="31">
    <w:name w:val="HTML Variable"/>
    <w:basedOn w:val="23"/>
    <w:autoRedefine/>
    <w:qFormat/>
    <w:uiPriority w:val="0"/>
  </w:style>
  <w:style w:type="character" w:styleId="32">
    <w:name w:val="Hyperlink"/>
    <w:basedOn w:val="23"/>
    <w:autoRedefine/>
    <w:qFormat/>
    <w:uiPriority w:val="0"/>
    <w:rPr>
      <w:color w:val="5C5C5C"/>
      <w:u w:val="none"/>
    </w:rPr>
  </w:style>
  <w:style w:type="character" w:styleId="33">
    <w:name w:val="HTML Code"/>
    <w:basedOn w:val="23"/>
    <w:autoRedefine/>
    <w:qFormat/>
    <w:uiPriority w:val="0"/>
    <w:rPr>
      <w:rFonts w:hint="default" w:ascii="monospace" w:hAnsi="monospace" w:eastAsia="monospace" w:cs="monospace"/>
      <w:sz w:val="20"/>
    </w:rPr>
  </w:style>
  <w:style w:type="character" w:styleId="34">
    <w:name w:val="annotation reference"/>
    <w:basedOn w:val="23"/>
    <w:autoRedefine/>
    <w:qFormat/>
    <w:uiPriority w:val="0"/>
    <w:rPr>
      <w:sz w:val="21"/>
      <w:szCs w:val="21"/>
    </w:rPr>
  </w:style>
  <w:style w:type="character" w:styleId="35">
    <w:name w:val="HTML Cite"/>
    <w:basedOn w:val="23"/>
    <w:autoRedefine/>
    <w:qFormat/>
    <w:uiPriority w:val="0"/>
  </w:style>
  <w:style w:type="character" w:styleId="36">
    <w:name w:val="HTML Keyboard"/>
    <w:basedOn w:val="23"/>
    <w:autoRedefine/>
    <w:qFormat/>
    <w:uiPriority w:val="0"/>
    <w:rPr>
      <w:rFonts w:ascii="monospace" w:hAnsi="monospace" w:eastAsia="monospace" w:cs="monospace"/>
      <w:sz w:val="20"/>
    </w:rPr>
  </w:style>
  <w:style w:type="character" w:styleId="37">
    <w:name w:val="HTML Sample"/>
    <w:basedOn w:val="23"/>
    <w:autoRedefine/>
    <w:qFormat/>
    <w:uiPriority w:val="0"/>
    <w:rPr>
      <w:rFonts w:hint="default" w:ascii="monospace" w:hAnsi="monospace" w:eastAsia="monospace" w:cs="monospace"/>
    </w:rPr>
  </w:style>
  <w:style w:type="paragraph" w:customStyle="1" w:styleId="38">
    <w:name w:val="标准正文 Char Char Char Char"/>
    <w:basedOn w:val="1"/>
    <w:next w:val="1"/>
    <w:autoRedefine/>
    <w:qFormat/>
    <w:uiPriority w:val="0"/>
    <w:pPr>
      <w:spacing w:after="60"/>
      <w:ind w:firstLine="482"/>
    </w:pPr>
    <w:rPr>
      <w:kern w:val="0"/>
      <w:sz w:val="20"/>
      <w:szCs w:val="20"/>
    </w:rPr>
  </w:style>
  <w:style w:type="paragraph" w:styleId="39">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styleId="40">
    <w:name w:val="List Paragraph"/>
    <w:basedOn w:val="1"/>
    <w:autoRedefine/>
    <w:qFormat/>
    <w:uiPriority w:val="0"/>
    <w:pPr>
      <w:ind w:firstLine="420" w:firstLineChars="200"/>
    </w:pPr>
    <w:rPr>
      <w:rFonts w:ascii="Calibri" w:hAnsi="Calibri"/>
      <w:szCs w:val="22"/>
    </w:rPr>
  </w:style>
  <w:style w:type="paragraph" w:customStyle="1" w:styleId="41">
    <w:name w:val="List Paragraph1"/>
    <w:basedOn w:val="1"/>
    <w:autoRedefine/>
    <w:qFormat/>
    <w:uiPriority w:val="0"/>
    <w:pPr>
      <w:ind w:firstLine="420" w:firstLineChars="200"/>
    </w:pPr>
    <w:rPr>
      <w:szCs w:val="22"/>
    </w:rPr>
  </w:style>
  <w:style w:type="paragraph" w:customStyle="1" w:styleId="42">
    <w:name w:val="p1"/>
    <w:basedOn w:val="1"/>
    <w:autoRedefine/>
    <w:qFormat/>
    <w:uiPriority w:val="0"/>
    <w:pPr>
      <w:jc w:val="left"/>
    </w:pPr>
    <w:rPr>
      <w:rFonts w:ascii="Helvetica Neue" w:hAnsi="Helvetica Neue" w:eastAsia="Helvetica Neue"/>
      <w:kern w:val="0"/>
      <w:sz w:val="26"/>
      <w:szCs w:val="26"/>
    </w:rPr>
  </w:style>
  <w:style w:type="character" w:customStyle="1" w:styleId="43">
    <w:name w:val="标题 3 Char"/>
    <w:autoRedefine/>
    <w:qFormat/>
    <w:uiPriority w:val="9"/>
    <w:rPr>
      <w:rFonts w:ascii="黑体" w:eastAsia="黑体"/>
      <w:bCs/>
      <w:sz w:val="30"/>
    </w:rPr>
  </w:style>
  <w:style w:type="table" w:customStyle="1" w:styleId="44">
    <w:name w:val="网格型1"/>
    <w:basedOn w:val="21"/>
    <w:autoRedefine/>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5">
    <w:name w:val="批注框文本 字符"/>
    <w:basedOn w:val="23"/>
    <w:link w:val="15"/>
    <w:autoRedefine/>
    <w:qFormat/>
    <w:uiPriority w:val="0"/>
    <w:rPr>
      <w:kern w:val="2"/>
      <w:sz w:val="18"/>
      <w:szCs w:val="18"/>
    </w:rPr>
  </w:style>
  <w:style w:type="character" w:customStyle="1" w:styleId="46">
    <w:name w:val="hover"/>
    <w:basedOn w:val="23"/>
    <w:autoRedefine/>
    <w:qFormat/>
    <w:uiPriority w:val="0"/>
    <w:rPr>
      <w:color w:val="2590EB"/>
    </w:rPr>
  </w:style>
  <w:style w:type="character" w:customStyle="1" w:styleId="47">
    <w:name w:val="hover1"/>
    <w:basedOn w:val="23"/>
    <w:autoRedefine/>
    <w:qFormat/>
    <w:uiPriority w:val="0"/>
    <w:rPr>
      <w:color w:val="2590EB"/>
    </w:rPr>
  </w:style>
  <w:style w:type="character" w:customStyle="1" w:styleId="48">
    <w:name w:val="hover2"/>
    <w:basedOn w:val="23"/>
    <w:autoRedefine/>
    <w:qFormat/>
    <w:uiPriority w:val="0"/>
  </w:style>
  <w:style w:type="character" w:customStyle="1" w:styleId="49">
    <w:name w:val="hover3"/>
    <w:basedOn w:val="23"/>
    <w:autoRedefine/>
    <w:qFormat/>
    <w:uiPriority w:val="0"/>
    <w:rPr>
      <w:color w:val="2590EB"/>
      <w:shd w:val="clear" w:color="auto" w:fill="E9F4FD"/>
    </w:rPr>
  </w:style>
  <w:style w:type="character" w:customStyle="1" w:styleId="50">
    <w:name w:val="mini-outputtext1"/>
    <w:basedOn w:val="23"/>
    <w:autoRedefine/>
    <w:qFormat/>
    <w:uiPriority w:val="0"/>
  </w:style>
  <w:style w:type="character" w:customStyle="1" w:styleId="51">
    <w:name w:val="hover4"/>
    <w:basedOn w:val="23"/>
    <w:autoRedefine/>
    <w:qFormat/>
    <w:uiPriority w:val="0"/>
    <w:rPr>
      <w:color w:val="2590EB"/>
      <w:shd w:val="clear" w:color="auto" w:fill="E9F4FD"/>
    </w:rPr>
  </w:style>
  <w:style w:type="paragraph" w:customStyle="1" w:styleId="52">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53">
    <w:name w:val="批注文字 字符"/>
    <w:basedOn w:val="23"/>
    <w:link w:val="11"/>
    <w:autoRedefine/>
    <w:qFormat/>
    <w:uiPriority w:val="99"/>
    <w:rPr>
      <w:rFonts w:ascii="宋体"/>
      <w:sz w:val="34"/>
    </w:rPr>
  </w:style>
  <w:style w:type="character" w:customStyle="1" w:styleId="54">
    <w:name w:val="批注主题 字符"/>
    <w:basedOn w:val="53"/>
    <w:link w:val="19"/>
    <w:autoRedefine/>
    <w:qFormat/>
    <w:uiPriority w:val="0"/>
    <w:rPr>
      <w:rFonts w:ascii="宋体"/>
      <w:b/>
      <w:bCs/>
      <w:kern w:val="2"/>
      <w:sz w:val="21"/>
      <w:szCs w:val="24"/>
    </w:rPr>
  </w:style>
  <w:style w:type="paragraph" w:customStyle="1" w:styleId="55">
    <w:name w:val="修订2"/>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56">
    <w:name w:val="font31"/>
    <w:basedOn w:val="23"/>
    <w:autoRedefine/>
    <w:qFormat/>
    <w:uiPriority w:val="0"/>
    <w:rPr>
      <w:rFonts w:hint="eastAsia" w:ascii="新宋体" w:hAnsi="新宋体" w:eastAsia="新宋体" w:cs="新宋体"/>
      <w:color w:val="000000"/>
      <w:sz w:val="20"/>
      <w:szCs w:val="20"/>
      <w:u w:val="none"/>
    </w:rPr>
  </w:style>
  <w:style w:type="paragraph" w:customStyle="1" w:styleId="57">
    <w:name w:val="_Style 3"/>
    <w:basedOn w:val="1"/>
    <w:autoRedefine/>
    <w:qFormat/>
    <w:uiPriority w:val="0"/>
    <w:rPr>
      <w:rFonts w:ascii="Calibri" w:hAnsi="Calibri"/>
      <w:szCs w:val="21"/>
    </w:rPr>
  </w:style>
  <w:style w:type="paragraph" w:customStyle="1" w:styleId="58">
    <w:name w:val="Table Paragraph"/>
    <w:basedOn w:val="1"/>
    <w:autoRedefine/>
    <w:qFormat/>
    <w:uiPriority w:val="1"/>
    <w:rPr>
      <w:rFonts w:ascii="宋体" w:hAnsi="宋体" w:cs="宋体"/>
      <w:lang w:val="zh-CN" w:bidi="zh-CN"/>
    </w:rPr>
  </w:style>
  <w:style w:type="paragraph" w:customStyle="1" w:styleId="59">
    <w:name w:val="Revision"/>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60">
    <w:name w:val="font51"/>
    <w:basedOn w:val="23"/>
    <w:autoRedefine/>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96</Pages>
  <Words>11581</Words>
  <Characters>11996</Characters>
  <Lines>720</Lines>
  <Paragraphs>202</Paragraphs>
  <TotalTime>27</TotalTime>
  <ScaleCrop>false</ScaleCrop>
  <LinksUpToDate>false</LinksUpToDate>
  <CharactersWithSpaces>12096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2026-03-20T08:37:00Z</dcterms:created>
  <dc:creator>xxzx</dc:creator>
  <cp:lastModifiedBy>中正--李工</cp:lastModifiedBy>
  <cp:lastPrinted>2026-02-02T01:47:00Z</cp:lastPrinted>
  <dcterms:modified xsi:type="dcterms:W3CDTF">2026-07-13T08:24:37Z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eyJoZGlkIjoiMzNiN2JjZGQwODQzNTVmMDg4ZGNmNzRhYmJlZDY2YTUiLCJ1c2VySWQiOiI0NjMwNjU1NzcifQ==</vt:lpwstr>
  </property>
  <property fmtid="{D5CDD505-2E9C-101B-9397-08002B2CF9AE}" pid="4" name="ICV">
    <vt:lpwstr>A8ECBB184D6D4619A8D7BE123C9CD184_13</vt:lpwstr>
  </property>
</Properties>
</file>