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9E071F4">
      <w:pPr>
        <w:keepNext w:val="0"/>
        <w:keepLines w:val="0"/>
        <w:pageBreakBefore w:val="0"/>
        <w:widowControl w:val="0"/>
        <w:kinsoku/>
        <w:wordWrap/>
        <w:overflowPunct/>
        <w:topLinePunct w:val="0"/>
        <w:autoSpaceDE/>
        <w:autoSpaceDN/>
        <w:bidi w:val="0"/>
        <w:spacing w:line="360" w:lineRule="auto"/>
        <w:ind w:left="0"/>
        <w:jc w:val="center"/>
        <w:textAlignment w:val="auto"/>
        <w:rPr>
          <w:rFonts w:hint="eastAsia" w:ascii="宋体" w:hAnsi="宋体" w:eastAsia="宋体" w:cs="宋体"/>
          <w:b/>
          <w:color w:val="auto"/>
          <w:sz w:val="36"/>
          <w:szCs w:val="36"/>
        </w:rPr>
      </w:pPr>
      <w:r>
        <w:rPr>
          <w:rFonts w:hint="eastAsia" w:ascii="宋体" w:hAnsi="宋体" w:eastAsia="宋体" w:cs="宋体"/>
          <w:b/>
          <w:color w:val="auto"/>
          <w:sz w:val="36"/>
          <w:szCs w:val="36"/>
        </w:rPr>
        <w:t>项目需求</w:t>
      </w:r>
    </w:p>
    <w:p w14:paraId="5BE53BA8">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
          <w:color w:val="auto"/>
          <w:sz w:val="28"/>
          <w:szCs w:val="28"/>
        </w:rPr>
      </w:pPr>
      <w:r>
        <w:rPr>
          <w:rFonts w:hint="eastAsia" w:ascii="宋体" w:hAnsi="宋体" w:eastAsia="宋体" w:cs="宋体"/>
          <w:b/>
          <w:color w:val="auto"/>
          <w:sz w:val="28"/>
          <w:szCs w:val="28"/>
        </w:rPr>
        <w:t>一、项目清单</w:t>
      </w:r>
    </w:p>
    <w:tbl>
      <w:tblPr>
        <w:tblStyle w:val="22"/>
        <w:tblW w:w="86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2"/>
        <w:gridCol w:w="3825"/>
        <w:gridCol w:w="975"/>
        <w:gridCol w:w="975"/>
        <w:gridCol w:w="2160"/>
      </w:tblGrid>
      <w:tr w14:paraId="7D3351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722" w:type="dxa"/>
            <w:noWrap w:val="0"/>
            <w:vAlign w:val="center"/>
          </w:tcPr>
          <w:p w14:paraId="594EE763">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
                <w:color w:val="auto"/>
                <w:sz w:val="22"/>
              </w:rPr>
            </w:pPr>
            <w:r>
              <w:rPr>
                <w:rFonts w:hint="eastAsia" w:ascii="宋体" w:hAnsi="宋体" w:eastAsia="宋体" w:cs="宋体"/>
                <w:b/>
                <w:color w:val="auto"/>
                <w:sz w:val="22"/>
              </w:rPr>
              <w:t>序号</w:t>
            </w:r>
          </w:p>
        </w:tc>
        <w:tc>
          <w:tcPr>
            <w:tcW w:w="3825" w:type="dxa"/>
            <w:noWrap w:val="0"/>
            <w:vAlign w:val="center"/>
          </w:tcPr>
          <w:p w14:paraId="5C489569">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
                <w:color w:val="auto"/>
                <w:sz w:val="22"/>
              </w:rPr>
            </w:pPr>
            <w:r>
              <w:rPr>
                <w:rFonts w:hint="eastAsia" w:ascii="宋体" w:hAnsi="宋体" w:eastAsia="宋体" w:cs="宋体"/>
                <w:b/>
                <w:color w:val="auto"/>
                <w:sz w:val="22"/>
                <w:lang w:val="en-US" w:eastAsia="zh-CN"/>
              </w:rPr>
              <w:t>采购</w:t>
            </w:r>
            <w:r>
              <w:rPr>
                <w:rFonts w:hint="eastAsia" w:ascii="宋体" w:hAnsi="宋体" w:eastAsia="宋体" w:cs="宋体"/>
                <w:b/>
                <w:color w:val="auto"/>
                <w:sz w:val="22"/>
              </w:rPr>
              <w:t>内容</w:t>
            </w:r>
          </w:p>
        </w:tc>
        <w:tc>
          <w:tcPr>
            <w:tcW w:w="975" w:type="dxa"/>
            <w:noWrap w:val="0"/>
            <w:vAlign w:val="center"/>
          </w:tcPr>
          <w:p w14:paraId="665FF04A">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
                <w:color w:val="auto"/>
                <w:sz w:val="22"/>
              </w:rPr>
            </w:pPr>
            <w:r>
              <w:rPr>
                <w:rFonts w:hint="eastAsia" w:ascii="宋体" w:hAnsi="宋体" w:eastAsia="宋体" w:cs="宋体"/>
                <w:b/>
                <w:color w:val="auto"/>
                <w:sz w:val="22"/>
              </w:rPr>
              <w:t>单位</w:t>
            </w:r>
          </w:p>
        </w:tc>
        <w:tc>
          <w:tcPr>
            <w:tcW w:w="975" w:type="dxa"/>
            <w:noWrap w:val="0"/>
            <w:vAlign w:val="center"/>
          </w:tcPr>
          <w:p w14:paraId="186D285E">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
                <w:color w:val="auto"/>
                <w:sz w:val="22"/>
              </w:rPr>
            </w:pPr>
            <w:r>
              <w:rPr>
                <w:rFonts w:hint="eastAsia" w:ascii="宋体" w:hAnsi="宋体" w:eastAsia="宋体" w:cs="宋体"/>
                <w:b/>
                <w:color w:val="auto"/>
                <w:sz w:val="22"/>
              </w:rPr>
              <w:t>数量</w:t>
            </w:r>
          </w:p>
        </w:tc>
        <w:tc>
          <w:tcPr>
            <w:tcW w:w="2160" w:type="dxa"/>
            <w:noWrap w:val="0"/>
            <w:vAlign w:val="center"/>
          </w:tcPr>
          <w:p w14:paraId="58739109">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
                <w:color w:val="auto"/>
                <w:sz w:val="22"/>
              </w:rPr>
            </w:pPr>
            <w:r>
              <w:rPr>
                <w:rFonts w:hint="eastAsia" w:ascii="宋体" w:hAnsi="宋体" w:eastAsia="宋体" w:cs="宋体"/>
                <w:b/>
                <w:color w:val="auto"/>
                <w:sz w:val="22"/>
              </w:rPr>
              <w:t>财政预算金额（元）</w:t>
            </w:r>
          </w:p>
        </w:tc>
      </w:tr>
      <w:tr w14:paraId="1AA71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jc w:val="center"/>
        </w:trPr>
        <w:tc>
          <w:tcPr>
            <w:tcW w:w="722" w:type="dxa"/>
            <w:noWrap w:val="0"/>
            <w:vAlign w:val="center"/>
          </w:tcPr>
          <w:p w14:paraId="3143CD86">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bCs/>
                <w:color w:val="auto"/>
                <w:sz w:val="21"/>
                <w:szCs w:val="21"/>
              </w:rPr>
            </w:pPr>
            <w:r>
              <w:rPr>
                <w:rFonts w:hint="eastAsia" w:ascii="宋体" w:hAnsi="宋体" w:eastAsia="宋体" w:cs="宋体"/>
                <w:bCs/>
                <w:color w:val="auto"/>
                <w:sz w:val="21"/>
                <w:szCs w:val="21"/>
              </w:rPr>
              <w:t>1</w:t>
            </w:r>
          </w:p>
        </w:tc>
        <w:tc>
          <w:tcPr>
            <w:tcW w:w="3825" w:type="dxa"/>
            <w:noWrap w:val="0"/>
            <w:vAlign w:val="center"/>
          </w:tcPr>
          <w:p w14:paraId="2343C32E">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color w:val="auto"/>
                <w:sz w:val="21"/>
                <w:szCs w:val="21"/>
                <w:lang w:eastAsia="zh-CN"/>
              </w:rPr>
            </w:pPr>
            <w:r>
              <w:rPr>
                <w:rFonts w:hint="eastAsia" w:ascii="宋体" w:hAnsi="宋体" w:eastAsia="宋体" w:cs="宋体"/>
                <w:color w:val="auto"/>
                <w:sz w:val="21"/>
                <w:szCs w:val="21"/>
                <w:lang w:eastAsia="zh-CN"/>
              </w:rPr>
              <w:t>深圳市第三人民医院有害生物防制服务项目</w:t>
            </w:r>
          </w:p>
        </w:tc>
        <w:tc>
          <w:tcPr>
            <w:tcW w:w="975" w:type="dxa"/>
            <w:noWrap w:val="0"/>
            <w:vAlign w:val="center"/>
          </w:tcPr>
          <w:p w14:paraId="3041CEBB">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bCs/>
                <w:color w:val="auto"/>
                <w:sz w:val="21"/>
                <w:szCs w:val="21"/>
                <w:lang w:val="en-US" w:eastAsia="zh-CN"/>
              </w:rPr>
              <w:t>项</w:t>
            </w:r>
          </w:p>
        </w:tc>
        <w:tc>
          <w:tcPr>
            <w:tcW w:w="975" w:type="dxa"/>
            <w:noWrap w:val="0"/>
            <w:vAlign w:val="center"/>
          </w:tcPr>
          <w:p w14:paraId="1FCE30B2">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w:t>
            </w:r>
          </w:p>
        </w:tc>
        <w:tc>
          <w:tcPr>
            <w:tcW w:w="2160" w:type="dxa"/>
            <w:noWrap w:val="0"/>
            <w:vAlign w:val="center"/>
          </w:tcPr>
          <w:p w14:paraId="434D57D5">
            <w:pPr>
              <w:keepNext w:val="0"/>
              <w:keepLines w:val="0"/>
              <w:pageBreakBefore w:val="0"/>
              <w:widowControl w:val="0"/>
              <w:kinsoku/>
              <w:wordWrap/>
              <w:overflowPunct/>
              <w:topLinePunct w:val="0"/>
              <w:autoSpaceDE/>
              <w:autoSpaceDN/>
              <w:bidi w:val="0"/>
              <w:adjustRightInd/>
              <w:snapToGrid/>
              <w:spacing w:line="360" w:lineRule="auto"/>
              <w:ind w:left="0"/>
              <w:jc w:val="center"/>
              <w:textAlignment w:val="auto"/>
              <w:rPr>
                <w:rFonts w:hint="eastAsia" w:ascii="宋体" w:hAnsi="宋体" w:eastAsia="宋体" w:cs="宋体"/>
                <w:color w:val="auto"/>
                <w:sz w:val="21"/>
                <w:szCs w:val="21"/>
              </w:rPr>
            </w:pPr>
            <w:r>
              <w:rPr>
                <w:rFonts w:hint="eastAsia" w:ascii="宋体" w:hAnsi="宋体" w:eastAsia="宋体" w:cs="宋体"/>
                <w:color w:val="auto"/>
                <w:sz w:val="21"/>
                <w:szCs w:val="21"/>
              </w:rPr>
              <w:t>3</w:t>
            </w:r>
            <w:r>
              <w:rPr>
                <w:rFonts w:hint="eastAsia" w:ascii="宋体" w:hAnsi="宋体" w:eastAsia="宋体" w:cs="宋体"/>
                <w:color w:val="auto"/>
                <w:sz w:val="21"/>
                <w:szCs w:val="21"/>
                <w:lang w:val="en-US" w:eastAsia="zh-CN"/>
              </w:rPr>
              <w:t>5</w:t>
            </w:r>
            <w:r>
              <w:rPr>
                <w:rFonts w:hint="eastAsia" w:ascii="宋体" w:hAnsi="宋体" w:eastAsia="宋体" w:cs="宋体"/>
                <w:color w:val="auto"/>
                <w:sz w:val="21"/>
                <w:szCs w:val="21"/>
              </w:rPr>
              <w:t>0,000.00</w:t>
            </w:r>
          </w:p>
        </w:tc>
      </w:tr>
    </w:tbl>
    <w:p w14:paraId="6FCB4A35">
      <w:pPr>
        <w:pStyle w:val="7"/>
        <w:keepNext w:val="0"/>
        <w:keepLines w:val="0"/>
        <w:pageBreakBefore w:val="0"/>
        <w:widowControl w:val="0"/>
        <w:kinsoku/>
        <w:wordWrap/>
        <w:overflowPunct/>
        <w:topLinePunct w:val="0"/>
        <w:autoSpaceDE/>
        <w:autoSpaceDN/>
        <w:bidi w:val="0"/>
        <w:adjustRightInd/>
        <w:snapToGrid/>
        <w:spacing w:after="0" w:line="360" w:lineRule="auto"/>
        <w:ind w:left="0"/>
        <w:textAlignment w:val="auto"/>
        <w:rPr>
          <w:rFonts w:hint="eastAsia" w:ascii="宋体" w:hAnsi="宋体" w:eastAsia="宋体" w:cs="宋体"/>
          <w:color w:val="auto"/>
        </w:rPr>
      </w:pPr>
    </w:p>
    <w:p w14:paraId="5EEE7038">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二、项目背景</w:t>
      </w:r>
    </w:p>
    <w:p w14:paraId="40B1EA2D">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b w:val="0"/>
          <w:bCs/>
          <w:color w:val="auto"/>
          <w:sz w:val="21"/>
          <w:szCs w:val="21"/>
          <w:lang w:val="en-US" w:eastAsia="zh-CN"/>
        </w:rPr>
      </w:pPr>
      <w:r>
        <w:rPr>
          <w:rFonts w:hint="eastAsia" w:ascii="宋体" w:hAnsi="宋体" w:eastAsia="宋体" w:cs="宋体"/>
          <w:b/>
          <w:bCs w:val="0"/>
          <w:color w:val="auto"/>
          <w:sz w:val="21"/>
          <w:szCs w:val="21"/>
          <w:lang w:val="en-US" w:eastAsia="zh-CN"/>
        </w:rPr>
        <w:t>（一）项目概况</w:t>
      </w:r>
      <w:r>
        <w:rPr>
          <w:rFonts w:hint="eastAsia" w:ascii="宋体" w:hAnsi="宋体" w:cs="宋体"/>
          <w:b/>
          <w:bCs w:val="0"/>
          <w:color w:val="auto"/>
          <w:sz w:val="21"/>
          <w:szCs w:val="21"/>
          <w:lang w:val="en-US" w:eastAsia="zh-CN"/>
        </w:rPr>
        <w:t>：</w:t>
      </w:r>
    </w:p>
    <w:p w14:paraId="0015E4F8">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eastAsia="宋体" w:cs="宋体"/>
          <w:b w:val="0"/>
          <w:bCs/>
          <w:color w:val="auto"/>
          <w:sz w:val="21"/>
          <w:szCs w:val="21"/>
          <w:lang w:val="en-US" w:eastAsia="zh-CN"/>
        </w:rPr>
      </w:pPr>
      <w:r>
        <w:rPr>
          <w:rFonts w:hint="eastAsia" w:ascii="宋体" w:hAnsi="宋体" w:eastAsia="宋体" w:cs="宋体"/>
          <w:b w:val="0"/>
          <w:bCs/>
          <w:color w:val="auto"/>
          <w:sz w:val="21"/>
          <w:szCs w:val="21"/>
          <w:lang w:val="en-US" w:eastAsia="zh-CN"/>
        </w:rPr>
        <w:t>深圳市第三人民医院，总占地19.84万平方米，建筑面积约52万平方米，现有地上建筑包括：西院区、国研中心、门诊楼、医技楼、住院A、B、C、D、E、F、G、皮肤眼科楼、职工宿舍楼（含职工食堂、行政办公）、学术报告厅、P3实验室（含动物房）、医疗废物中转站、污水处理站、氧气站、太平间等；在建建筑包括：H栋、J栋、应急院区配套宿舍。院区位于水官高速旁，有绿化带间隔。后有圣山公园及小山、水库。院区周边比较复杂，卫生环境比较复杂，遇到下雨天积水后容易孳生蚊蝇。</w:t>
      </w:r>
    </w:p>
    <w:p w14:paraId="6D21ABF9">
      <w:pPr>
        <w:keepNext w:val="0"/>
        <w:keepLines w:val="0"/>
        <w:pageBreakBefore w:val="0"/>
        <w:widowControl w:val="0"/>
        <w:kinsoku/>
        <w:wordWrap/>
        <w:overflowPunct/>
        <w:topLinePunct w:val="0"/>
        <w:autoSpaceDE/>
        <w:autoSpaceDN/>
        <w:bidi w:val="0"/>
        <w:adjustRightInd/>
        <w:snapToGrid/>
        <w:spacing w:line="360" w:lineRule="auto"/>
        <w:ind w:left="0" w:firstLine="0" w:firstLineChars="0"/>
        <w:jc w:val="left"/>
        <w:textAlignment w:val="auto"/>
        <w:rPr>
          <w:rFonts w:hint="eastAsia" w:ascii="宋体" w:hAnsi="宋体" w:eastAsia="宋体" w:cs="宋体"/>
          <w:b w:val="0"/>
          <w:bCs/>
          <w:color w:val="auto"/>
          <w:sz w:val="21"/>
          <w:szCs w:val="21"/>
          <w:lang w:val="en-US" w:eastAsia="zh-CN"/>
        </w:rPr>
      </w:pPr>
      <w:r>
        <w:rPr>
          <w:rFonts w:hint="eastAsia" w:ascii="宋体" w:hAnsi="宋体" w:eastAsia="宋体" w:cs="宋体"/>
          <w:b/>
          <w:bCs w:val="0"/>
          <w:color w:val="auto"/>
          <w:sz w:val="21"/>
          <w:szCs w:val="21"/>
          <w:lang w:val="en-US" w:eastAsia="zh-CN"/>
        </w:rPr>
        <w:t>（二）项目范围及服务内容</w:t>
      </w:r>
      <w:r>
        <w:rPr>
          <w:rFonts w:hint="eastAsia" w:ascii="宋体" w:hAnsi="宋体" w:cs="宋体"/>
          <w:b/>
          <w:bCs w:val="0"/>
          <w:color w:val="auto"/>
          <w:sz w:val="21"/>
          <w:szCs w:val="21"/>
          <w:lang w:val="en-US" w:eastAsia="zh-CN"/>
        </w:rPr>
        <w:t>：</w:t>
      </w:r>
    </w:p>
    <w:p w14:paraId="60DFD910">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eastAsia="宋体" w:cs="宋体"/>
          <w:b w:val="0"/>
          <w:bCs/>
          <w:color w:val="auto"/>
          <w:sz w:val="21"/>
          <w:szCs w:val="21"/>
          <w:lang w:val="en-US" w:eastAsia="zh-CN"/>
        </w:rPr>
      </w:pPr>
      <w:r>
        <w:rPr>
          <w:rFonts w:hint="eastAsia" w:ascii="宋体" w:hAnsi="宋体" w:eastAsia="宋体" w:cs="宋体"/>
          <w:b w:val="0"/>
          <w:bCs/>
          <w:color w:val="auto"/>
          <w:sz w:val="21"/>
          <w:szCs w:val="21"/>
          <w:lang w:val="en-US" w:eastAsia="zh-CN"/>
        </w:rPr>
        <w:t>1.项目范围：</w:t>
      </w:r>
    </w:p>
    <w:p w14:paraId="3391F291">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eastAsia="宋体" w:cs="宋体"/>
          <w:b w:val="0"/>
          <w:bCs/>
          <w:color w:val="auto"/>
          <w:sz w:val="21"/>
          <w:szCs w:val="21"/>
          <w:lang w:val="en-US" w:eastAsia="zh-CN"/>
        </w:rPr>
      </w:pPr>
      <w:r>
        <w:rPr>
          <w:rFonts w:hint="eastAsia" w:ascii="宋体" w:hAnsi="宋体" w:eastAsia="宋体" w:cs="宋体"/>
          <w:b w:val="0"/>
          <w:bCs/>
          <w:color w:val="auto"/>
          <w:sz w:val="21"/>
          <w:szCs w:val="21"/>
          <w:lang w:val="en-US" w:eastAsia="zh-CN"/>
        </w:rPr>
        <w:t>有害生物主要包括：鼠、蚊、蝇、蜚蠊、蛇、蚂蚁、跳蚤、虱、臭虫、蜱、螨、白蚁及其他一切对人类的生活、生产甚至生存产生危害的生物。</w:t>
      </w:r>
    </w:p>
    <w:p w14:paraId="212B970C">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eastAsia="宋体" w:cs="宋体"/>
          <w:b w:val="0"/>
          <w:bCs/>
          <w:color w:val="auto"/>
          <w:sz w:val="21"/>
          <w:szCs w:val="21"/>
          <w:lang w:val="en-US" w:eastAsia="zh-CN"/>
        </w:rPr>
      </w:pPr>
      <w:r>
        <w:rPr>
          <w:rFonts w:hint="eastAsia" w:ascii="宋体" w:hAnsi="宋体" w:eastAsia="宋体" w:cs="宋体"/>
          <w:b w:val="0"/>
          <w:bCs/>
          <w:color w:val="auto"/>
          <w:sz w:val="21"/>
          <w:szCs w:val="21"/>
          <w:lang w:val="en-US" w:eastAsia="zh-CN"/>
        </w:rPr>
        <w:t>2.服务内容</w:t>
      </w:r>
    </w:p>
    <w:p w14:paraId="3D990E9D">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eastAsia="宋体" w:cs="宋体"/>
          <w:b w:val="0"/>
          <w:bCs/>
          <w:color w:val="auto"/>
          <w:sz w:val="21"/>
          <w:szCs w:val="21"/>
          <w:lang w:val="en-US" w:eastAsia="zh-CN"/>
        </w:rPr>
      </w:pPr>
      <w:r>
        <w:rPr>
          <w:rFonts w:hint="eastAsia" w:ascii="宋体" w:hAnsi="宋体" w:eastAsia="宋体" w:cs="宋体"/>
          <w:b w:val="0"/>
          <w:bCs/>
          <w:color w:val="auto"/>
          <w:sz w:val="21"/>
          <w:szCs w:val="21"/>
          <w:lang w:val="en-US" w:eastAsia="zh-CN"/>
        </w:rPr>
        <w:t>对院区内及其周边10米范围内有害生物活动情况进行调查、监测、制定防控计划，进行防制工作。</w:t>
      </w:r>
    </w:p>
    <w:p w14:paraId="4628C762">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
          <w:color w:val="auto"/>
          <w:sz w:val="28"/>
          <w:szCs w:val="28"/>
          <w:lang w:val="en-US" w:eastAsia="zh-CN"/>
        </w:rPr>
      </w:pPr>
    </w:p>
    <w:p w14:paraId="5EBF993B">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
          <w:color w:val="auto"/>
          <w:sz w:val="28"/>
          <w:szCs w:val="28"/>
          <w:lang w:val="en-US" w:eastAsia="zh-CN"/>
        </w:rPr>
      </w:pPr>
      <w:r>
        <w:rPr>
          <w:rFonts w:hint="eastAsia" w:ascii="宋体" w:hAnsi="宋体" w:eastAsia="宋体" w:cs="宋体"/>
          <w:b/>
          <w:color w:val="auto"/>
          <w:sz w:val="28"/>
          <w:szCs w:val="28"/>
          <w:lang w:val="en-US" w:eastAsia="zh-CN"/>
        </w:rPr>
        <w:t>三、技术要求</w:t>
      </w:r>
    </w:p>
    <w:p w14:paraId="7C6F0A8E">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baseline"/>
        <w:rPr>
          <w:rStyle w:val="60"/>
          <w:rFonts w:hint="eastAsia" w:ascii="宋体" w:hAnsi="宋体" w:eastAsia="宋体" w:cs="宋体"/>
          <w:sz w:val="21"/>
          <w:szCs w:val="21"/>
        </w:rPr>
      </w:pPr>
      <w:r>
        <w:rPr>
          <w:rStyle w:val="60"/>
          <w:rFonts w:hint="eastAsia" w:ascii="宋体" w:hAnsi="宋体" w:eastAsia="宋体" w:cs="宋体"/>
          <w:b/>
          <w:bCs/>
          <w:sz w:val="21"/>
          <w:szCs w:val="21"/>
        </w:rPr>
        <w:t>（</w:t>
      </w:r>
      <w:r>
        <w:rPr>
          <w:rStyle w:val="60"/>
          <w:rFonts w:hint="eastAsia" w:ascii="宋体" w:hAnsi="宋体" w:eastAsia="宋体" w:cs="宋体"/>
          <w:b/>
          <w:bCs/>
          <w:sz w:val="21"/>
          <w:szCs w:val="21"/>
          <w:lang w:val="en-US" w:eastAsia="zh-CN"/>
        </w:rPr>
        <w:t>一</w:t>
      </w:r>
      <w:r>
        <w:rPr>
          <w:rStyle w:val="60"/>
          <w:rFonts w:hint="eastAsia" w:ascii="宋体" w:hAnsi="宋体" w:eastAsia="宋体" w:cs="宋体"/>
          <w:b/>
          <w:bCs/>
          <w:sz w:val="21"/>
          <w:szCs w:val="21"/>
        </w:rPr>
        <w:t>）项目要求：</w:t>
      </w:r>
    </w:p>
    <w:p w14:paraId="26388D1B">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Style w:val="60"/>
          <w:rFonts w:hint="eastAsia" w:ascii="宋体" w:hAnsi="宋体" w:eastAsia="宋体" w:cs="宋体"/>
          <w:sz w:val="21"/>
          <w:szCs w:val="21"/>
        </w:rPr>
      </w:pPr>
      <w:r>
        <w:rPr>
          <w:rStyle w:val="60"/>
          <w:rFonts w:hint="eastAsia" w:ascii="宋体" w:hAnsi="宋体" w:eastAsia="宋体" w:cs="宋体"/>
          <w:sz w:val="21"/>
          <w:szCs w:val="21"/>
        </w:rPr>
        <w:t>1、人员配备</w:t>
      </w:r>
    </w:p>
    <w:p w14:paraId="0DD9AD30">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Style w:val="60"/>
          <w:rFonts w:hint="eastAsia" w:ascii="宋体" w:hAnsi="宋体" w:eastAsia="宋体" w:cs="宋体"/>
          <w:sz w:val="21"/>
          <w:szCs w:val="21"/>
        </w:rPr>
      </w:pPr>
      <w:r>
        <w:rPr>
          <w:rStyle w:val="60"/>
          <w:rFonts w:hint="eastAsia" w:ascii="宋体" w:hAnsi="宋体" w:eastAsia="宋体" w:cs="宋体"/>
          <w:sz w:val="21"/>
          <w:szCs w:val="21"/>
        </w:rPr>
        <w:t>（1）项目负责人1人，进行项目的全面管理协调和安全保障(包括日常作业安全、突发事件的预防与及救援善后工作)；</w:t>
      </w:r>
    </w:p>
    <w:p w14:paraId="0EB69C3C">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Fonts w:hint="eastAsia" w:ascii="宋体" w:hAnsi="宋体" w:eastAsia="宋体" w:cs="宋体"/>
          <w:sz w:val="21"/>
          <w:szCs w:val="21"/>
        </w:rPr>
      </w:pPr>
      <w:r>
        <w:rPr>
          <w:rStyle w:val="60"/>
          <w:rFonts w:hint="eastAsia" w:ascii="宋体" w:hAnsi="宋体" w:eastAsia="宋体" w:cs="宋体"/>
          <w:sz w:val="21"/>
          <w:szCs w:val="21"/>
        </w:rPr>
        <w:t>（2）消杀人员至少4人，每月至少进行两次大面积消杀工作；</w:t>
      </w:r>
    </w:p>
    <w:p w14:paraId="256B0C81">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Style w:val="60"/>
          <w:rFonts w:hint="eastAsia" w:ascii="宋体" w:hAnsi="宋体" w:eastAsia="宋体" w:cs="宋体"/>
          <w:sz w:val="21"/>
          <w:szCs w:val="21"/>
        </w:rPr>
      </w:pPr>
      <w:r>
        <w:rPr>
          <w:rStyle w:val="60"/>
          <w:rFonts w:hint="eastAsia" w:ascii="宋体" w:hAnsi="宋体" w:eastAsia="宋体" w:cs="宋体"/>
          <w:sz w:val="21"/>
          <w:szCs w:val="21"/>
        </w:rPr>
        <w:t xml:space="preserve">（3）驻点防治人员至少1人，确保每天均有人员在岗。工作内容主要是掌握院内有害生物活动情况，按计划进行防制处理工作，并对院内突发情况进行处理。 </w:t>
      </w:r>
    </w:p>
    <w:p w14:paraId="68B4E998">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Style w:val="60"/>
          <w:rFonts w:hint="eastAsia" w:ascii="宋体" w:hAnsi="宋体" w:eastAsia="宋体" w:cs="宋体"/>
          <w:sz w:val="21"/>
          <w:szCs w:val="21"/>
        </w:rPr>
      </w:pPr>
      <w:r>
        <w:rPr>
          <w:rStyle w:val="60"/>
          <w:rFonts w:hint="eastAsia" w:ascii="宋体" w:hAnsi="宋体" w:eastAsia="宋体" w:cs="宋体"/>
          <w:sz w:val="21"/>
          <w:szCs w:val="21"/>
        </w:rPr>
        <w:t>2、技术标准</w:t>
      </w:r>
    </w:p>
    <w:p w14:paraId="78FA2366">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“四害”防治、灭治技术标准及实施依据严格按照国家标准：</w:t>
      </w:r>
    </w:p>
    <w:p w14:paraId="72B3D32A">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（1）GB/T 27770-2011病媒生物密度控制水平鼠类；</w:t>
      </w:r>
    </w:p>
    <w:p w14:paraId="6CFFD138">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（2）GB/T 27771-2011病媒生物密度控制水平蚊虫；</w:t>
      </w:r>
    </w:p>
    <w:p w14:paraId="293B1348">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（3）GB/T 27772-2011病媒生物密度控制水平蝇类；</w:t>
      </w:r>
    </w:p>
    <w:p w14:paraId="7560E9DC">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（4）GB/T 27773-2011病媒生物密度控制水平蜚蠊；</w:t>
      </w:r>
    </w:p>
    <w:p w14:paraId="5472C38F">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 xml:space="preserve">（5）DBJ/T15-26-2000 广东省新建房屋白蚁预防技术规程; </w:t>
      </w:r>
    </w:p>
    <w:p w14:paraId="694CADAF">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（6）JGJ/T373-2016 白蚁防治工职业技能标准;</w:t>
      </w:r>
    </w:p>
    <w:p w14:paraId="0FCB3557">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（7）GB/T 23626-2009 红火蚁疫情监测规程。</w:t>
      </w:r>
    </w:p>
    <w:p w14:paraId="7AD75658">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Fonts w:hint="eastAsia" w:ascii="宋体" w:hAnsi="宋体" w:eastAsia="宋体" w:cs="宋体"/>
          <w:sz w:val="21"/>
          <w:szCs w:val="21"/>
        </w:rPr>
      </w:pPr>
      <w:r>
        <w:rPr>
          <w:rFonts w:hint="eastAsia" w:ascii="宋体" w:hAnsi="宋体" w:eastAsia="宋体" w:cs="宋体"/>
          <w:sz w:val="21"/>
          <w:szCs w:val="21"/>
        </w:rPr>
        <w:t>3、服务标准</w:t>
      </w:r>
    </w:p>
    <w:p w14:paraId="48D2C151">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Fonts w:hint="eastAsia" w:ascii="宋体" w:hAnsi="宋体" w:eastAsia="宋体" w:cs="宋体"/>
          <w:color w:val="000000"/>
          <w:kern w:val="0"/>
          <w:sz w:val="21"/>
          <w:szCs w:val="21"/>
          <w:lang w:bidi="ar"/>
        </w:rPr>
      </w:pPr>
      <w:r>
        <w:rPr>
          <w:rFonts w:hint="eastAsia" w:ascii="宋体" w:hAnsi="宋体" w:eastAsia="宋体" w:cs="宋体"/>
          <w:sz w:val="21"/>
          <w:szCs w:val="21"/>
        </w:rPr>
        <w:t>每月对</w:t>
      </w:r>
      <w:r>
        <w:rPr>
          <w:rFonts w:hint="eastAsia" w:ascii="宋体" w:hAnsi="宋体" w:eastAsia="宋体" w:cs="宋体"/>
          <w:color w:val="000000"/>
          <w:kern w:val="0"/>
          <w:sz w:val="21"/>
          <w:szCs w:val="21"/>
          <w:lang w:bidi="ar"/>
        </w:rPr>
        <w:t>服务区域内实施除“四害”及各类飞虫消杀2次，同时需满足所有临时性除“四害”及其他有害生物需求，并不得要求增加费用。</w:t>
      </w:r>
    </w:p>
    <w:p w14:paraId="376A3467">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 xml:space="preserve">(1)灭鼠标准：服务区域不同类型外环境累计 2000 米，鼠迹不超过 5 处;15 平方米标准房间布防 20×20 厘米滑石粉块两块，一夜后阳性粉块不超过 3%;有鼠洞、鼠粪、鼠咬痕迹的房间不超过 2%;防鼠设施不合格处不超过 5%。 </w:t>
      </w:r>
    </w:p>
    <w:p w14:paraId="6417FDB5">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(2)灭蚊标准：各类水体用500m1收集勺采集水体中的蚊幼虫或蛹阳性率不超过3%，阳性勺内幼虫或蛹的平均数不超过5只;内、外环境各种存水器和积水中，蚊幼虫及蛹的阳性率不超过 3%;白天人诱蚊 30 分钟，平均每人次获成蚊数不超过 1 只。</w:t>
      </w:r>
    </w:p>
    <w:p w14:paraId="3A30DB2F">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Fonts w:hint="eastAsia" w:ascii="宋体" w:hAnsi="宋体" w:eastAsia="宋体" w:cs="宋体"/>
          <w:color w:val="000000"/>
          <w:kern w:val="0"/>
          <w:sz w:val="21"/>
          <w:szCs w:val="21"/>
          <w:lang w:bidi="ar"/>
        </w:rPr>
      </w:pPr>
      <w:r>
        <w:rPr>
          <w:rStyle w:val="61"/>
          <w:rFonts w:hint="eastAsia" w:ascii="宋体" w:hAnsi="宋体" w:eastAsia="宋体" w:cs="宋体"/>
          <w:sz w:val="21"/>
          <w:szCs w:val="21"/>
          <w:lang w:bidi="ar"/>
        </w:rPr>
        <w:t>(3)</w:t>
      </w:r>
      <w:r>
        <w:rPr>
          <w:rFonts w:hint="eastAsia" w:ascii="宋体" w:hAnsi="宋体" w:eastAsia="宋体" w:cs="宋体"/>
          <w:color w:val="000000"/>
          <w:kern w:val="0"/>
          <w:sz w:val="21"/>
          <w:szCs w:val="21"/>
          <w:lang w:bidi="ar"/>
        </w:rPr>
        <w:t xml:space="preserve">灭蝇标准：服务区域外环境累计 2000 米蝇类孳生地不超过 3 处，垃圾收集点(箱、车、房)等处蝇幼及蛹的检出率不超过 3%;阳性房间不超过 3%。平均每阳性房间不超过 5 只。 </w:t>
      </w:r>
    </w:p>
    <w:p w14:paraId="6D04C83B">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center"/>
        <w:rPr>
          <w:rFonts w:hint="eastAsia" w:ascii="宋体" w:hAnsi="宋体" w:eastAsia="宋体" w:cs="宋体"/>
          <w:color w:val="000000"/>
          <w:kern w:val="0"/>
          <w:sz w:val="21"/>
          <w:szCs w:val="21"/>
          <w:lang w:bidi="ar"/>
        </w:rPr>
      </w:pPr>
      <w:r>
        <w:rPr>
          <w:rStyle w:val="61"/>
          <w:rFonts w:hint="eastAsia" w:ascii="宋体" w:hAnsi="宋体" w:eastAsia="宋体" w:cs="宋体"/>
          <w:sz w:val="21"/>
          <w:szCs w:val="21"/>
          <w:lang w:bidi="ar"/>
        </w:rPr>
        <w:t>(4)灭蟑标准：</w:t>
      </w:r>
      <w:r>
        <w:rPr>
          <w:rFonts w:hint="eastAsia" w:ascii="宋体" w:hAnsi="宋体" w:eastAsia="宋体" w:cs="宋体"/>
          <w:color w:val="000000"/>
          <w:kern w:val="0"/>
          <w:sz w:val="21"/>
          <w:szCs w:val="21"/>
          <w:lang w:bidi="ar"/>
        </w:rPr>
        <w:t>服务区域内下水道、井等处蟑螂成虫或幼虫阳性率不超过5%，平均每处大蠊不超过5只，小镰不超过10只，此外根据科室需求，重点消杀。</w:t>
      </w:r>
    </w:p>
    <w:p w14:paraId="1D31ECA2">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center"/>
        <w:rPr>
          <w:rStyle w:val="61"/>
          <w:rFonts w:hint="eastAsia" w:ascii="宋体" w:hAnsi="宋体" w:eastAsia="宋体" w:cs="宋体"/>
          <w:sz w:val="21"/>
          <w:szCs w:val="21"/>
          <w:lang w:bidi="ar"/>
        </w:rPr>
      </w:pPr>
      <w:r>
        <w:rPr>
          <w:rStyle w:val="61"/>
          <w:rFonts w:hint="eastAsia" w:ascii="宋体" w:hAnsi="宋体" w:eastAsia="宋体" w:cs="宋体"/>
          <w:sz w:val="21"/>
          <w:szCs w:val="21"/>
          <w:lang w:bidi="ar"/>
        </w:rPr>
        <w:t xml:space="preserve">（5）白蚁防治要求:及时巡查服务区域内外白蚁滋生情况，随时扑灭。对采购人修缮工作需随时跟进进行防治白蚁的工作。对白蚁滋生导致的隐患需随时报告采购人，并提出扑灭及整改意见。 不得另外增加收费。 </w:t>
      </w:r>
    </w:p>
    <w:p w14:paraId="348C177A">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center"/>
        <w:rPr>
          <w:rStyle w:val="61"/>
          <w:rFonts w:hint="eastAsia" w:ascii="宋体" w:hAnsi="宋体" w:eastAsia="宋体" w:cs="宋体"/>
          <w:sz w:val="21"/>
          <w:szCs w:val="21"/>
          <w:lang w:bidi="ar"/>
        </w:rPr>
      </w:pPr>
      <w:r>
        <w:rPr>
          <w:rStyle w:val="61"/>
          <w:rFonts w:hint="eastAsia" w:ascii="宋体" w:hAnsi="宋体" w:eastAsia="宋体" w:cs="宋体"/>
          <w:sz w:val="21"/>
          <w:szCs w:val="21"/>
          <w:lang w:bidi="ar"/>
        </w:rPr>
        <w:t xml:space="preserve">（6）蚂蚁及红火蚁防治要求:及时巡查服务区域内外蚂蚁、红火蚁滋生情况，随时扑灭。服务区域内外无蚂蚁、红火蚁滋生地。 </w:t>
      </w:r>
    </w:p>
    <w:p w14:paraId="1D7A9505">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center"/>
        <w:rPr>
          <w:rStyle w:val="61"/>
          <w:rFonts w:hint="eastAsia" w:ascii="宋体" w:hAnsi="宋体" w:eastAsia="宋体" w:cs="宋体"/>
          <w:sz w:val="21"/>
          <w:szCs w:val="21"/>
          <w:lang w:bidi="ar"/>
        </w:rPr>
      </w:pPr>
      <w:r>
        <w:rPr>
          <w:rStyle w:val="61"/>
          <w:rFonts w:hint="eastAsia" w:ascii="宋体" w:hAnsi="宋体" w:eastAsia="宋体" w:cs="宋体"/>
          <w:sz w:val="21"/>
          <w:szCs w:val="21"/>
          <w:lang w:bidi="ar"/>
        </w:rPr>
        <w:t>（7）临时性疾病预防控制消杀服务要求: 严格遵守《疫源地消毒总则》GB19193-2003。</w:t>
      </w:r>
    </w:p>
    <w:p w14:paraId="66BD2D69">
      <w:pPr>
        <w:keepNext w:val="0"/>
        <w:keepLines w:val="0"/>
        <w:pageBreakBefore w:val="0"/>
        <w:widowControl/>
        <w:kinsoku/>
        <w:wordWrap/>
        <w:overflowPunct/>
        <w:topLinePunct w:val="0"/>
        <w:autoSpaceDE/>
        <w:autoSpaceDN/>
        <w:bidi w:val="0"/>
        <w:adjustRightInd/>
        <w:snapToGrid/>
        <w:spacing w:line="360" w:lineRule="auto"/>
        <w:ind w:firstLine="420" w:firstLineChars="200"/>
        <w:jc w:val="left"/>
        <w:textAlignment w:val="center"/>
        <w:rPr>
          <w:rStyle w:val="61"/>
          <w:rFonts w:hint="eastAsia" w:ascii="宋体" w:hAnsi="宋体" w:eastAsia="宋体" w:cs="宋体"/>
          <w:sz w:val="21"/>
          <w:szCs w:val="21"/>
          <w:lang w:bidi="ar"/>
        </w:rPr>
      </w:pPr>
      <w:r>
        <w:rPr>
          <w:rStyle w:val="61"/>
          <w:rFonts w:hint="eastAsia" w:ascii="宋体" w:hAnsi="宋体" w:eastAsia="宋体" w:cs="宋体"/>
          <w:sz w:val="21"/>
          <w:szCs w:val="21"/>
          <w:lang w:bidi="ar"/>
        </w:rPr>
        <w:t>4、项目用药及配比标准。</w:t>
      </w:r>
    </w:p>
    <w:tbl>
      <w:tblPr>
        <w:tblStyle w:val="22"/>
        <w:tblW w:w="996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511"/>
        <w:gridCol w:w="1103"/>
        <w:gridCol w:w="765"/>
        <w:gridCol w:w="1193"/>
        <w:gridCol w:w="855"/>
        <w:gridCol w:w="942"/>
        <w:gridCol w:w="893"/>
        <w:gridCol w:w="3700"/>
      </w:tblGrid>
      <w:tr w14:paraId="41A3A8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5" w:hRule="atLeast"/>
          <w:jc w:val="center"/>
        </w:trPr>
        <w:tc>
          <w:tcPr>
            <w:tcW w:w="511" w:type="dxa"/>
            <w:noWrap w:val="0"/>
            <w:vAlign w:val="center"/>
          </w:tcPr>
          <w:p w14:paraId="2763DA01">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序号</w:t>
            </w:r>
          </w:p>
        </w:tc>
        <w:tc>
          <w:tcPr>
            <w:tcW w:w="1103" w:type="dxa"/>
            <w:noWrap w:val="0"/>
            <w:vAlign w:val="center"/>
          </w:tcPr>
          <w:p w14:paraId="57C43F1F">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药品名称</w:t>
            </w:r>
          </w:p>
        </w:tc>
        <w:tc>
          <w:tcPr>
            <w:tcW w:w="765" w:type="dxa"/>
            <w:noWrap w:val="0"/>
            <w:vAlign w:val="center"/>
          </w:tcPr>
          <w:p w14:paraId="795EDCEE">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剂型</w:t>
            </w:r>
          </w:p>
        </w:tc>
        <w:tc>
          <w:tcPr>
            <w:tcW w:w="1193" w:type="dxa"/>
            <w:noWrap w:val="0"/>
            <w:vAlign w:val="center"/>
          </w:tcPr>
          <w:p w14:paraId="1EDCCEB4">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生产商</w:t>
            </w:r>
          </w:p>
        </w:tc>
        <w:tc>
          <w:tcPr>
            <w:tcW w:w="855" w:type="dxa"/>
            <w:noWrap w:val="0"/>
            <w:vAlign w:val="center"/>
          </w:tcPr>
          <w:p w14:paraId="2817E688">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用途</w:t>
            </w:r>
          </w:p>
        </w:tc>
        <w:tc>
          <w:tcPr>
            <w:tcW w:w="942" w:type="dxa"/>
            <w:noWrap w:val="0"/>
            <w:vAlign w:val="center"/>
          </w:tcPr>
          <w:p w14:paraId="2019AFD6">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毒性等级</w:t>
            </w:r>
          </w:p>
        </w:tc>
        <w:tc>
          <w:tcPr>
            <w:tcW w:w="893" w:type="dxa"/>
            <w:noWrap w:val="0"/>
            <w:vAlign w:val="center"/>
          </w:tcPr>
          <w:p w14:paraId="433C6EC6">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有效成分及含量</w:t>
            </w:r>
          </w:p>
        </w:tc>
        <w:tc>
          <w:tcPr>
            <w:tcW w:w="3700" w:type="dxa"/>
            <w:noWrap w:val="0"/>
            <w:vAlign w:val="center"/>
          </w:tcPr>
          <w:p w14:paraId="3D8BDBF7">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使用配比</w:t>
            </w:r>
          </w:p>
        </w:tc>
      </w:tr>
      <w:tr w14:paraId="1E8682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9" w:hRule="atLeast"/>
          <w:jc w:val="center"/>
        </w:trPr>
        <w:tc>
          <w:tcPr>
            <w:tcW w:w="511" w:type="dxa"/>
            <w:noWrap w:val="0"/>
            <w:vAlign w:val="center"/>
          </w:tcPr>
          <w:p w14:paraId="3AB612FC">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p>
          <w:p w14:paraId="61F3E076">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1103" w:type="dxa"/>
            <w:noWrap w:val="0"/>
            <w:vAlign w:val="center"/>
          </w:tcPr>
          <w:p w14:paraId="3F73A797">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p>
          <w:p w14:paraId="0124195C">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2%二氯化氯溶液</w:t>
            </w:r>
          </w:p>
        </w:tc>
        <w:tc>
          <w:tcPr>
            <w:tcW w:w="765" w:type="dxa"/>
            <w:noWrap w:val="0"/>
            <w:vAlign w:val="center"/>
          </w:tcPr>
          <w:p w14:paraId="4B8A700B">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p>
          <w:p w14:paraId="754A2DF0">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溶液</w:t>
            </w:r>
          </w:p>
        </w:tc>
        <w:tc>
          <w:tcPr>
            <w:tcW w:w="1193" w:type="dxa"/>
            <w:noWrap w:val="0"/>
            <w:vAlign w:val="center"/>
          </w:tcPr>
          <w:p w14:paraId="229AC56F">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p>
          <w:p w14:paraId="5EB32BB1">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潍坊华实(秀霸)</w:t>
            </w:r>
          </w:p>
        </w:tc>
        <w:tc>
          <w:tcPr>
            <w:tcW w:w="855" w:type="dxa"/>
            <w:noWrap w:val="0"/>
            <w:vAlign w:val="center"/>
          </w:tcPr>
          <w:p w14:paraId="370BEDDE">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p>
          <w:p w14:paraId="28143B00">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消毒</w:t>
            </w:r>
          </w:p>
        </w:tc>
        <w:tc>
          <w:tcPr>
            <w:tcW w:w="942" w:type="dxa"/>
            <w:noWrap w:val="0"/>
            <w:vAlign w:val="center"/>
          </w:tcPr>
          <w:p w14:paraId="0791929F">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p>
          <w:p w14:paraId="51D2B7E9">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低</w:t>
            </w:r>
          </w:p>
        </w:tc>
        <w:tc>
          <w:tcPr>
            <w:tcW w:w="893" w:type="dxa"/>
            <w:noWrap w:val="0"/>
            <w:vAlign w:val="center"/>
          </w:tcPr>
          <w:p w14:paraId="112E8CFA">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p>
          <w:p w14:paraId="4FA88186">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20g/L</w:t>
            </w:r>
          </w:p>
        </w:tc>
        <w:tc>
          <w:tcPr>
            <w:tcW w:w="3700" w:type="dxa"/>
            <w:noWrap w:val="0"/>
            <w:vAlign w:val="center"/>
          </w:tcPr>
          <w:p w14:paraId="530DE5B3">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rPr>
            </w:pPr>
            <w:r>
              <w:rPr>
                <w:rFonts w:hint="eastAsia" w:ascii="宋体" w:hAnsi="宋体" w:eastAsia="宋体" w:cs="宋体"/>
                <w:sz w:val="21"/>
                <w:szCs w:val="21"/>
              </w:rPr>
              <w:t>1、将2%二氯化氯消毒液活化后，按1:40稀释为有效氯含量为500mg/L的消毒剂；</w:t>
            </w:r>
          </w:p>
          <w:p w14:paraId="042DB47A">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rPr>
            </w:pPr>
            <w:r>
              <w:rPr>
                <w:rFonts w:hint="eastAsia" w:ascii="宋体" w:hAnsi="宋体" w:eastAsia="宋体" w:cs="宋体"/>
                <w:sz w:val="21"/>
                <w:szCs w:val="21"/>
              </w:rPr>
              <w:t>2、用500mg/L含氯消毒剂对室内外各种物体表面、墙面、地面及任何可能存在污染的区域等进行喷洒消毒。</w:t>
            </w:r>
          </w:p>
        </w:tc>
      </w:tr>
      <w:tr w14:paraId="76419B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jc w:val="center"/>
        </w:trPr>
        <w:tc>
          <w:tcPr>
            <w:tcW w:w="511" w:type="dxa"/>
            <w:noWrap w:val="0"/>
            <w:vAlign w:val="center"/>
          </w:tcPr>
          <w:p w14:paraId="5FA6E07D">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2</w:t>
            </w:r>
          </w:p>
        </w:tc>
        <w:tc>
          <w:tcPr>
            <w:tcW w:w="1103" w:type="dxa"/>
            <w:noWrap w:val="0"/>
            <w:vAlign w:val="center"/>
          </w:tcPr>
          <w:p w14:paraId="653B7659">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百户秦联苯菊酯</w:t>
            </w:r>
          </w:p>
        </w:tc>
        <w:tc>
          <w:tcPr>
            <w:tcW w:w="765" w:type="dxa"/>
            <w:noWrap w:val="0"/>
            <w:vAlign w:val="center"/>
          </w:tcPr>
          <w:p w14:paraId="5D194C85">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水乳剂</w:t>
            </w:r>
          </w:p>
        </w:tc>
        <w:tc>
          <w:tcPr>
            <w:tcW w:w="1193" w:type="dxa"/>
            <w:noWrap w:val="0"/>
            <w:vAlign w:val="center"/>
          </w:tcPr>
          <w:p w14:paraId="3435AD7B">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苏州富美实</w:t>
            </w:r>
          </w:p>
        </w:tc>
        <w:tc>
          <w:tcPr>
            <w:tcW w:w="855" w:type="dxa"/>
            <w:noWrap w:val="0"/>
            <w:vAlign w:val="center"/>
          </w:tcPr>
          <w:p w14:paraId="2127DB12">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防治白蚁</w:t>
            </w:r>
          </w:p>
        </w:tc>
        <w:tc>
          <w:tcPr>
            <w:tcW w:w="942" w:type="dxa"/>
            <w:noWrap w:val="0"/>
            <w:vAlign w:val="center"/>
          </w:tcPr>
          <w:p w14:paraId="0627F57F">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低</w:t>
            </w:r>
          </w:p>
        </w:tc>
        <w:tc>
          <w:tcPr>
            <w:tcW w:w="893" w:type="dxa"/>
            <w:noWrap w:val="0"/>
            <w:vAlign w:val="center"/>
          </w:tcPr>
          <w:p w14:paraId="234487DC">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25g/L</w:t>
            </w:r>
          </w:p>
        </w:tc>
        <w:tc>
          <w:tcPr>
            <w:tcW w:w="3700" w:type="dxa"/>
            <w:noWrap w:val="0"/>
            <w:vAlign w:val="center"/>
          </w:tcPr>
          <w:p w14:paraId="388B9BCC">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rPr>
            </w:pPr>
            <w:r>
              <w:rPr>
                <w:rFonts w:hint="eastAsia" w:ascii="宋体" w:hAnsi="宋体" w:eastAsia="宋体" w:cs="宋体"/>
                <w:sz w:val="21"/>
                <w:szCs w:val="21"/>
              </w:rPr>
              <w:t>1、对木材等待处理蚁患处按1:100稀释后进行喷洒。</w:t>
            </w:r>
          </w:p>
          <w:p w14:paraId="50FD323F">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rPr>
            </w:pPr>
            <w:r>
              <w:rPr>
                <w:rFonts w:hint="eastAsia" w:ascii="宋体" w:hAnsi="宋体" w:eastAsia="宋体" w:cs="宋体"/>
                <w:sz w:val="21"/>
                <w:szCs w:val="21"/>
              </w:rPr>
              <w:t>2、对土壤120-150mL/平方米进行喷活。</w:t>
            </w:r>
          </w:p>
        </w:tc>
      </w:tr>
      <w:tr w14:paraId="11C2E77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jc w:val="center"/>
        </w:trPr>
        <w:tc>
          <w:tcPr>
            <w:tcW w:w="511" w:type="dxa"/>
            <w:noWrap w:val="0"/>
            <w:vAlign w:val="center"/>
          </w:tcPr>
          <w:p w14:paraId="2F7F8FE3">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3</w:t>
            </w:r>
          </w:p>
        </w:tc>
        <w:tc>
          <w:tcPr>
            <w:tcW w:w="1103" w:type="dxa"/>
            <w:noWrap w:val="0"/>
            <w:vAlign w:val="center"/>
          </w:tcPr>
          <w:p w14:paraId="0CA0451B">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都灭</w:t>
            </w:r>
          </w:p>
        </w:tc>
        <w:tc>
          <w:tcPr>
            <w:tcW w:w="765" w:type="dxa"/>
            <w:noWrap w:val="0"/>
            <w:vAlign w:val="center"/>
          </w:tcPr>
          <w:p w14:paraId="2A9D2D77">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悬浮剂</w:t>
            </w:r>
          </w:p>
        </w:tc>
        <w:tc>
          <w:tcPr>
            <w:tcW w:w="1193" w:type="dxa"/>
            <w:noWrap w:val="0"/>
            <w:vAlign w:val="center"/>
          </w:tcPr>
          <w:p w14:paraId="544F5FBD">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苏州富美实</w:t>
            </w:r>
          </w:p>
        </w:tc>
        <w:tc>
          <w:tcPr>
            <w:tcW w:w="855" w:type="dxa"/>
            <w:noWrap w:val="0"/>
            <w:vAlign w:val="center"/>
          </w:tcPr>
          <w:p w14:paraId="7C773EC2">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除虫</w:t>
            </w:r>
          </w:p>
        </w:tc>
        <w:tc>
          <w:tcPr>
            <w:tcW w:w="942" w:type="dxa"/>
            <w:noWrap w:val="0"/>
            <w:vAlign w:val="center"/>
          </w:tcPr>
          <w:p w14:paraId="75840EB0">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低</w:t>
            </w:r>
          </w:p>
        </w:tc>
        <w:tc>
          <w:tcPr>
            <w:tcW w:w="893" w:type="dxa"/>
            <w:noWrap w:val="0"/>
            <w:vAlign w:val="center"/>
          </w:tcPr>
          <w:p w14:paraId="3518846D">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50g/L</w:t>
            </w:r>
          </w:p>
        </w:tc>
        <w:tc>
          <w:tcPr>
            <w:tcW w:w="3700" w:type="dxa"/>
            <w:noWrap w:val="0"/>
            <w:vAlign w:val="center"/>
          </w:tcPr>
          <w:p w14:paraId="4EDDC65F">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rPr>
            </w:pPr>
            <w:r>
              <w:rPr>
                <w:rFonts w:hint="eastAsia" w:ascii="宋体" w:hAnsi="宋体" w:eastAsia="宋体" w:cs="宋体"/>
                <w:sz w:val="21"/>
                <w:szCs w:val="21"/>
              </w:rPr>
              <w:t>1:100进行稀释，喷洒作业时用药量为每平米20-25mg,稀释后每平米滞留喷洒用药量为50mL。</w:t>
            </w:r>
          </w:p>
        </w:tc>
      </w:tr>
      <w:tr w14:paraId="286EA15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9" w:hRule="atLeast"/>
          <w:jc w:val="center"/>
        </w:trPr>
        <w:tc>
          <w:tcPr>
            <w:tcW w:w="511" w:type="dxa"/>
            <w:noWrap w:val="0"/>
            <w:vAlign w:val="center"/>
          </w:tcPr>
          <w:p w14:paraId="77A5314F">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4</w:t>
            </w:r>
          </w:p>
        </w:tc>
        <w:tc>
          <w:tcPr>
            <w:tcW w:w="1103" w:type="dxa"/>
            <w:noWrap w:val="0"/>
            <w:vAlign w:val="center"/>
          </w:tcPr>
          <w:p w14:paraId="5D0B33B6">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奋斗呐</w:t>
            </w:r>
          </w:p>
        </w:tc>
        <w:tc>
          <w:tcPr>
            <w:tcW w:w="765" w:type="dxa"/>
            <w:noWrap w:val="0"/>
            <w:vAlign w:val="center"/>
          </w:tcPr>
          <w:p w14:paraId="5B83D148">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悬浮剂</w:t>
            </w:r>
          </w:p>
        </w:tc>
        <w:tc>
          <w:tcPr>
            <w:tcW w:w="1193" w:type="dxa"/>
            <w:noWrap w:val="0"/>
            <w:vAlign w:val="center"/>
          </w:tcPr>
          <w:p w14:paraId="1CBEED17">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欧洲巴斯夫</w:t>
            </w:r>
          </w:p>
        </w:tc>
        <w:tc>
          <w:tcPr>
            <w:tcW w:w="855" w:type="dxa"/>
            <w:noWrap w:val="0"/>
            <w:vAlign w:val="center"/>
          </w:tcPr>
          <w:p w14:paraId="45CBF6B8">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除虫</w:t>
            </w:r>
          </w:p>
        </w:tc>
        <w:tc>
          <w:tcPr>
            <w:tcW w:w="942" w:type="dxa"/>
            <w:noWrap w:val="0"/>
            <w:vAlign w:val="center"/>
          </w:tcPr>
          <w:p w14:paraId="7053F389">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低</w:t>
            </w:r>
          </w:p>
        </w:tc>
        <w:tc>
          <w:tcPr>
            <w:tcW w:w="893" w:type="dxa"/>
            <w:noWrap w:val="0"/>
            <w:vAlign w:val="center"/>
          </w:tcPr>
          <w:p w14:paraId="3263833D">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100g/L</w:t>
            </w:r>
          </w:p>
        </w:tc>
        <w:tc>
          <w:tcPr>
            <w:tcW w:w="3700" w:type="dxa"/>
            <w:noWrap w:val="0"/>
            <w:vAlign w:val="center"/>
          </w:tcPr>
          <w:p w14:paraId="272AFD1A">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rPr>
            </w:pPr>
            <w:r>
              <w:rPr>
                <w:rFonts w:hint="eastAsia" w:ascii="宋体" w:hAnsi="宋体" w:eastAsia="宋体" w:cs="宋体"/>
                <w:sz w:val="21"/>
                <w:szCs w:val="21"/>
              </w:rPr>
              <w:t>1:100进行稀释，喷洒作业时用药量为每平米20-30mg,稀释后每平米滞留喷洒用药 量为30mL</w:t>
            </w:r>
          </w:p>
        </w:tc>
      </w:tr>
      <w:tr w14:paraId="08BD56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9" w:hRule="atLeast"/>
          <w:jc w:val="center"/>
        </w:trPr>
        <w:tc>
          <w:tcPr>
            <w:tcW w:w="511" w:type="dxa"/>
            <w:noWrap w:val="0"/>
            <w:vAlign w:val="center"/>
          </w:tcPr>
          <w:p w14:paraId="027E0BE2">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5</w:t>
            </w:r>
          </w:p>
        </w:tc>
        <w:tc>
          <w:tcPr>
            <w:tcW w:w="1103" w:type="dxa"/>
            <w:noWrap w:val="0"/>
            <w:vAlign w:val="center"/>
          </w:tcPr>
          <w:p w14:paraId="1E608A9A">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除敌</w:t>
            </w:r>
          </w:p>
        </w:tc>
        <w:tc>
          <w:tcPr>
            <w:tcW w:w="765" w:type="dxa"/>
            <w:noWrap w:val="0"/>
            <w:vAlign w:val="center"/>
          </w:tcPr>
          <w:p w14:paraId="29215722">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悬浮剂</w:t>
            </w:r>
          </w:p>
        </w:tc>
        <w:tc>
          <w:tcPr>
            <w:tcW w:w="1193" w:type="dxa"/>
            <w:noWrap w:val="0"/>
            <w:vAlign w:val="center"/>
          </w:tcPr>
          <w:p w14:paraId="14E8FFF6">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德国拜耳</w:t>
            </w:r>
          </w:p>
        </w:tc>
        <w:tc>
          <w:tcPr>
            <w:tcW w:w="855" w:type="dxa"/>
            <w:noWrap w:val="0"/>
            <w:vAlign w:val="center"/>
          </w:tcPr>
          <w:p w14:paraId="28B4C520">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除虫</w:t>
            </w:r>
          </w:p>
        </w:tc>
        <w:tc>
          <w:tcPr>
            <w:tcW w:w="942" w:type="dxa"/>
            <w:noWrap w:val="0"/>
            <w:vAlign w:val="center"/>
          </w:tcPr>
          <w:p w14:paraId="7023EDE4">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低</w:t>
            </w:r>
          </w:p>
        </w:tc>
        <w:tc>
          <w:tcPr>
            <w:tcW w:w="893" w:type="dxa"/>
            <w:noWrap w:val="0"/>
            <w:vAlign w:val="center"/>
          </w:tcPr>
          <w:p w14:paraId="0EA02358">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25g/L</w:t>
            </w:r>
          </w:p>
        </w:tc>
        <w:tc>
          <w:tcPr>
            <w:tcW w:w="3700" w:type="dxa"/>
            <w:noWrap w:val="0"/>
            <w:vAlign w:val="center"/>
          </w:tcPr>
          <w:p w14:paraId="32BBC8DB">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rPr>
            </w:pPr>
            <w:r>
              <w:rPr>
                <w:rFonts w:hint="eastAsia" w:ascii="宋体" w:hAnsi="宋体" w:eastAsia="宋体" w:cs="宋体"/>
                <w:sz w:val="21"/>
                <w:szCs w:val="21"/>
              </w:rPr>
              <w:t>1:100进行稀释，喷洒作业时用药量为每平米10-15mg,稀释后每平米滞留喷洒用药量为50mL。</w:t>
            </w:r>
          </w:p>
        </w:tc>
      </w:tr>
      <w:tr w14:paraId="2DF252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jc w:val="center"/>
        </w:trPr>
        <w:tc>
          <w:tcPr>
            <w:tcW w:w="511" w:type="dxa"/>
            <w:noWrap w:val="0"/>
            <w:vAlign w:val="center"/>
          </w:tcPr>
          <w:p w14:paraId="4B820953">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6</w:t>
            </w:r>
          </w:p>
        </w:tc>
        <w:tc>
          <w:tcPr>
            <w:tcW w:w="1103" w:type="dxa"/>
            <w:noWrap w:val="0"/>
            <w:vAlign w:val="center"/>
          </w:tcPr>
          <w:p w14:paraId="54B2FDDB">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列喜镇</w:t>
            </w:r>
          </w:p>
        </w:tc>
        <w:tc>
          <w:tcPr>
            <w:tcW w:w="765" w:type="dxa"/>
            <w:noWrap w:val="0"/>
            <w:vAlign w:val="center"/>
          </w:tcPr>
          <w:p w14:paraId="58A0173D">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水乳剂</w:t>
            </w:r>
          </w:p>
        </w:tc>
        <w:tc>
          <w:tcPr>
            <w:tcW w:w="1193" w:type="dxa"/>
            <w:noWrap w:val="0"/>
            <w:vAlign w:val="center"/>
          </w:tcPr>
          <w:p w14:paraId="2A662F42">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德国拜耳</w:t>
            </w:r>
          </w:p>
        </w:tc>
        <w:tc>
          <w:tcPr>
            <w:tcW w:w="855" w:type="dxa"/>
            <w:noWrap w:val="0"/>
            <w:vAlign w:val="center"/>
          </w:tcPr>
          <w:p w14:paraId="50AA6468">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灭蚊、灭蝇</w:t>
            </w:r>
          </w:p>
        </w:tc>
        <w:tc>
          <w:tcPr>
            <w:tcW w:w="942" w:type="dxa"/>
            <w:noWrap w:val="0"/>
            <w:vAlign w:val="center"/>
          </w:tcPr>
          <w:p w14:paraId="32F68723">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低</w:t>
            </w:r>
          </w:p>
        </w:tc>
        <w:tc>
          <w:tcPr>
            <w:tcW w:w="893" w:type="dxa"/>
            <w:noWrap w:val="0"/>
            <w:vAlign w:val="center"/>
          </w:tcPr>
          <w:p w14:paraId="71A295FA">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104g/L</w:t>
            </w:r>
          </w:p>
        </w:tc>
        <w:tc>
          <w:tcPr>
            <w:tcW w:w="3700" w:type="dxa"/>
            <w:noWrap w:val="0"/>
            <w:vAlign w:val="center"/>
          </w:tcPr>
          <w:p w14:paraId="0DA76C40">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rPr>
            </w:pPr>
            <w:r>
              <w:rPr>
                <w:rFonts w:hint="eastAsia" w:ascii="宋体" w:hAnsi="宋体" w:eastAsia="宋体" w:cs="宋体"/>
                <w:sz w:val="21"/>
                <w:szCs w:val="21"/>
              </w:rPr>
              <w:t>1:1000进行稀释，喷洒作业时用药量为每平方米0.0125-0.025mL,稀释后每平米滞留喷洒用药量为25mL</w:t>
            </w:r>
          </w:p>
        </w:tc>
      </w:tr>
      <w:tr w14:paraId="7B914F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1" w:hRule="atLeast"/>
          <w:jc w:val="center"/>
        </w:trPr>
        <w:tc>
          <w:tcPr>
            <w:tcW w:w="511" w:type="dxa"/>
            <w:noWrap w:val="0"/>
            <w:vAlign w:val="center"/>
          </w:tcPr>
          <w:p w14:paraId="55B86C9D">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7</w:t>
            </w:r>
          </w:p>
        </w:tc>
        <w:tc>
          <w:tcPr>
            <w:tcW w:w="1103" w:type="dxa"/>
            <w:noWrap w:val="0"/>
            <w:vAlign w:val="center"/>
          </w:tcPr>
          <w:p w14:paraId="4DF5EB9A">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杀它仗</w:t>
            </w:r>
          </w:p>
        </w:tc>
        <w:tc>
          <w:tcPr>
            <w:tcW w:w="765" w:type="dxa"/>
            <w:noWrap w:val="0"/>
            <w:vAlign w:val="center"/>
          </w:tcPr>
          <w:p w14:paraId="19F5CB75">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杀鼠剂</w:t>
            </w:r>
          </w:p>
        </w:tc>
        <w:tc>
          <w:tcPr>
            <w:tcW w:w="1193" w:type="dxa"/>
            <w:noWrap w:val="0"/>
            <w:vAlign w:val="center"/>
          </w:tcPr>
          <w:p w14:paraId="1229D44F">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欧渊巴斯夫</w:t>
            </w:r>
          </w:p>
        </w:tc>
        <w:tc>
          <w:tcPr>
            <w:tcW w:w="855" w:type="dxa"/>
            <w:noWrap w:val="0"/>
            <w:vAlign w:val="center"/>
          </w:tcPr>
          <w:p w14:paraId="4E059590">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灭鼠</w:t>
            </w:r>
          </w:p>
        </w:tc>
        <w:tc>
          <w:tcPr>
            <w:tcW w:w="942" w:type="dxa"/>
            <w:noWrap w:val="0"/>
            <w:vAlign w:val="center"/>
          </w:tcPr>
          <w:p w14:paraId="095CC4D0">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低</w:t>
            </w:r>
          </w:p>
        </w:tc>
        <w:tc>
          <w:tcPr>
            <w:tcW w:w="893" w:type="dxa"/>
            <w:noWrap w:val="0"/>
            <w:vAlign w:val="center"/>
          </w:tcPr>
          <w:p w14:paraId="184BACFA">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0.005%</w:t>
            </w:r>
          </w:p>
        </w:tc>
        <w:tc>
          <w:tcPr>
            <w:tcW w:w="3700" w:type="dxa"/>
            <w:noWrap w:val="0"/>
            <w:vAlign w:val="center"/>
          </w:tcPr>
          <w:p w14:paraId="597EFE96">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rPr>
            </w:pPr>
            <w:r>
              <w:rPr>
                <w:rFonts w:hint="eastAsia" w:ascii="宋体" w:hAnsi="宋体" w:eastAsia="宋体" w:cs="宋体"/>
                <w:sz w:val="21"/>
                <w:szCs w:val="21"/>
              </w:rPr>
              <w:t>50g/每房间，堆施。</w:t>
            </w:r>
          </w:p>
        </w:tc>
      </w:tr>
      <w:tr w14:paraId="481267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6" w:hRule="atLeast"/>
          <w:jc w:val="center"/>
        </w:trPr>
        <w:tc>
          <w:tcPr>
            <w:tcW w:w="511" w:type="dxa"/>
            <w:noWrap w:val="0"/>
            <w:vAlign w:val="center"/>
          </w:tcPr>
          <w:p w14:paraId="304B078E">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8</w:t>
            </w:r>
          </w:p>
        </w:tc>
        <w:tc>
          <w:tcPr>
            <w:tcW w:w="1103" w:type="dxa"/>
            <w:noWrap w:val="0"/>
            <w:vAlign w:val="center"/>
          </w:tcPr>
          <w:p w14:paraId="0D115744">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粘鼠板</w:t>
            </w:r>
          </w:p>
        </w:tc>
        <w:tc>
          <w:tcPr>
            <w:tcW w:w="765" w:type="dxa"/>
            <w:noWrap w:val="0"/>
            <w:vAlign w:val="center"/>
          </w:tcPr>
          <w:p w14:paraId="48D29B8D">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块</w:t>
            </w:r>
          </w:p>
        </w:tc>
        <w:tc>
          <w:tcPr>
            <w:tcW w:w="1193" w:type="dxa"/>
            <w:noWrap w:val="0"/>
            <w:vAlign w:val="center"/>
          </w:tcPr>
          <w:p w14:paraId="007D28EB">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上海力诺</w:t>
            </w:r>
          </w:p>
        </w:tc>
        <w:tc>
          <w:tcPr>
            <w:tcW w:w="855" w:type="dxa"/>
            <w:noWrap w:val="0"/>
            <w:vAlign w:val="center"/>
          </w:tcPr>
          <w:p w14:paraId="296324A8">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灭鼠</w:t>
            </w:r>
          </w:p>
        </w:tc>
        <w:tc>
          <w:tcPr>
            <w:tcW w:w="942" w:type="dxa"/>
            <w:noWrap w:val="0"/>
            <w:vAlign w:val="center"/>
          </w:tcPr>
          <w:p w14:paraId="7049EA4D">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低</w:t>
            </w:r>
          </w:p>
        </w:tc>
        <w:tc>
          <w:tcPr>
            <w:tcW w:w="893" w:type="dxa"/>
            <w:noWrap w:val="0"/>
            <w:vAlign w:val="center"/>
          </w:tcPr>
          <w:p w14:paraId="50430352">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w:t>
            </w:r>
          </w:p>
        </w:tc>
        <w:tc>
          <w:tcPr>
            <w:tcW w:w="3700" w:type="dxa"/>
            <w:noWrap w:val="0"/>
            <w:vAlign w:val="center"/>
          </w:tcPr>
          <w:p w14:paraId="38F17AD0">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rPr>
            </w:pPr>
            <w:r>
              <w:rPr>
                <w:rFonts w:hint="eastAsia" w:ascii="宋体" w:hAnsi="宋体" w:eastAsia="宋体" w:cs="宋体"/>
                <w:sz w:val="21"/>
                <w:szCs w:val="21"/>
              </w:rPr>
              <w:t>2-4块/每房间，堆施。</w:t>
            </w:r>
          </w:p>
        </w:tc>
      </w:tr>
      <w:tr w14:paraId="23B87F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511" w:type="dxa"/>
            <w:noWrap w:val="0"/>
            <w:vAlign w:val="center"/>
          </w:tcPr>
          <w:p w14:paraId="7185DF25">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9</w:t>
            </w:r>
          </w:p>
        </w:tc>
        <w:tc>
          <w:tcPr>
            <w:tcW w:w="1103" w:type="dxa"/>
            <w:noWrap w:val="0"/>
            <w:vAlign w:val="center"/>
          </w:tcPr>
          <w:p w14:paraId="23E48E87">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拜灭士</w:t>
            </w:r>
          </w:p>
        </w:tc>
        <w:tc>
          <w:tcPr>
            <w:tcW w:w="765" w:type="dxa"/>
            <w:noWrap w:val="0"/>
            <w:vAlign w:val="center"/>
          </w:tcPr>
          <w:p w14:paraId="7697FEE6">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胶饵</w:t>
            </w:r>
          </w:p>
        </w:tc>
        <w:tc>
          <w:tcPr>
            <w:tcW w:w="1193" w:type="dxa"/>
            <w:noWrap w:val="0"/>
            <w:vAlign w:val="center"/>
          </w:tcPr>
          <w:p w14:paraId="75A40F8D">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德国拜耳</w:t>
            </w:r>
          </w:p>
        </w:tc>
        <w:tc>
          <w:tcPr>
            <w:tcW w:w="855" w:type="dxa"/>
            <w:noWrap w:val="0"/>
            <w:vAlign w:val="center"/>
          </w:tcPr>
          <w:p w14:paraId="38F0F5F5">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灭蟑</w:t>
            </w:r>
          </w:p>
        </w:tc>
        <w:tc>
          <w:tcPr>
            <w:tcW w:w="942" w:type="dxa"/>
            <w:noWrap w:val="0"/>
            <w:vAlign w:val="center"/>
          </w:tcPr>
          <w:p w14:paraId="2EA9F2DC">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低</w:t>
            </w:r>
          </w:p>
        </w:tc>
        <w:tc>
          <w:tcPr>
            <w:tcW w:w="893" w:type="dxa"/>
            <w:noWrap w:val="0"/>
            <w:vAlign w:val="center"/>
          </w:tcPr>
          <w:p w14:paraId="0580549C">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2%</w:t>
            </w:r>
          </w:p>
        </w:tc>
        <w:tc>
          <w:tcPr>
            <w:tcW w:w="3700" w:type="dxa"/>
            <w:noWrap w:val="0"/>
            <w:vAlign w:val="center"/>
          </w:tcPr>
          <w:p w14:paraId="6E96A49E">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rPr>
            </w:pPr>
            <w:r>
              <w:rPr>
                <w:rFonts w:hint="eastAsia" w:ascii="宋体" w:hAnsi="宋体" w:eastAsia="宋体" w:cs="宋体"/>
                <w:sz w:val="21"/>
                <w:szCs w:val="21"/>
              </w:rPr>
              <w:t>胶饵，按需施放。</w:t>
            </w:r>
          </w:p>
        </w:tc>
      </w:tr>
      <w:tr w14:paraId="6AF31C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1" w:hRule="atLeast"/>
          <w:jc w:val="center"/>
        </w:trPr>
        <w:tc>
          <w:tcPr>
            <w:tcW w:w="511" w:type="dxa"/>
            <w:noWrap w:val="0"/>
            <w:vAlign w:val="center"/>
          </w:tcPr>
          <w:p w14:paraId="486AD602">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10</w:t>
            </w:r>
          </w:p>
        </w:tc>
        <w:tc>
          <w:tcPr>
            <w:tcW w:w="1103" w:type="dxa"/>
            <w:noWrap w:val="0"/>
            <w:vAlign w:val="center"/>
          </w:tcPr>
          <w:p w14:paraId="55A267A6">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三利鼠药</w:t>
            </w:r>
          </w:p>
        </w:tc>
        <w:tc>
          <w:tcPr>
            <w:tcW w:w="765" w:type="dxa"/>
            <w:noWrap w:val="0"/>
            <w:vAlign w:val="center"/>
          </w:tcPr>
          <w:p w14:paraId="5B920D40">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粉剂</w:t>
            </w:r>
          </w:p>
        </w:tc>
        <w:tc>
          <w:tcPr>
            <w:tcW w:w="1193" w:type="dxa"/>
            <w:noWrap w:val="0"/>
            <w:vAlign w:val="center"/>
          </w:tcPr>
          <w:p w14:paraId="66445AE7">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大连三利</w:t>
            </w:r>
          </w:p>
        </w:tc>
        <w:tc>
          <w:tcPr>
            <w:tcW w:w="855" w:type="dxa"/>
            <w:noWrap w:val="0"/>
            <w:vAlign w:val="center"/>
          </w:tcPr>
          <w:p w14:paraId="7530D296">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灭鼠</w:t>
            </w:r>
          </w:p>
        </w:tc>
        <w:tc>
          <w:tcPr>
            <w:tcW w:w="942" w:type="dxa"/>
            <w:noWrap w:val="0"/>
            <w:vAlign w:val="center"/>
          </w:tcPr>
          <w:p w14:paraId="5620D955">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低</w:t>
            </w:r>
          </w:p>
        </w:tc>
        <w:tc>
          <w:tcPr>
            <w:tcW w:w="893" w:type="dxa"/>
            <w:noWrap w:val="0"/>
            <w:vAlign w:val="center"/>
          </w:tcPr>
          <w:p w14:paraId="38FEE6D8">
            <w:pPr>
              <w:keepNext w:val="0"/>
              <w:keepLines w:val="0"/>
              <w:pageBreakBefore w:val="0"/>
              <w:kinsoku/>
              <w:wordWrap/>
              <w:overflowPunct/>
              <w:topLinePunct w:val="0"/>
              <w:autoSpaceDE/>
              <w:autoSpaceDN/>
              <w:bidi w:val="0"/>
              <w:adjustRightInd/>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1%</w:t>
            </w:r>
          </w:p>
        </w:tc>
        <w:tc>
          <w:tcPr>
            <w:tcW w:w="3700" w:type="dxa"/>
            <w:noWrap w:val="0"/>
            <w:vAlign w:val="center"/>
          </w:tcPr>
          <w:p w14:paraId="79527913">
            <w:pPr>
              <w:keepNext w:val="0"/>
              <w:keepLines w:val="0"/>
              <w:pageBreakBefore w:val="0"/>
              <w:kinsoku/>
              <w:wordWrap/>
              <w:overflowPunct/>
              <w:topLinePunct w:val="0"/>
              <w:autoSpaceDE/>
              <w:autoSpaceDN/>
              <w:bidi w:val="0"/>
              <w:adjustRightInd/>
              <w:snapToGrid/>
              <w:spacing w:line="360" w:lineRule="auto"/>
              <w:jc w:val="left"/>
              <w:rPr>
                <w:rFonts w:hint="eastAsia" w:ascii="宋体" w:hAnsi="宋体" w:eastAsia="宋体" w:cs="宋体"/>
                <w:sz w:val="21"/>
                <w:szCs w:val="21"/>
              </w:rPr>
            </w:pPr>
            <w:r>
              <w:rPr>
                <w:rFonts w:hint="eastAsia" w:ascii="宋体" w:hAnsi="宋体" w:eastAsia="宋体" w:cs="宋体"/>
                <w:sz w:val="21"/>
                <w:szCs w:val="21"/>
              </w:rPr>
              <w:t>50g/每房间，堆施。</w:t>
            </w:r>
          </w:p>
        </w:tc>
      </w:tr>
    </w:tbl>
    <w:p w14:paraId="57F9E02C">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Style w:val="60"/>
          <w:rFonts w:hint="eastAsia" w:ascii="宋体" w:hAnsi="宋体" w:eastAsia="宋体" w:cs="宋体"/>
          <w:sz w:val="21"/>
          <w:szCs w:val="21"/>
        </w:rPr>
      </w:pPr>
      <w:r>
        <w:rPr>
          <w:rStyle w:val="60"/>
          <w:rFonts w:hint="eastAsia" w:ascii="宋体" w:hAnsi="宋体" w:eastAsia="宋体" w:cs="宋体"/>
          <w:sz w:val="21"/>
          <w:szCs w:val="21"/>
        </w:rPr>
        <w:t>5、使用药物及器械要求</w:t>
      </w:r>
    </w:p>
    <w:p w14:paraId="793A6522">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Style w:val="60"/>
          <w:rFonts w:hint="eastAsia" w:ascii="宋体" w:hAnsi="宋体" w:eastAsia="宋体" w:cs="宋体"/>
          <w:sz w:val="21"/>
          <w:szCs w:val="21"/>
        </w:rPr>
      </w:pPr>
      <w:r>
        <w:rPr>
          <w:rStyle w:val="60"/>
          <w:rFonts w:hint="eastAsia" w:ascii="宋体" w:hAnsi="宋体" w:eastAsia="宋体" w:cs="宋体"/>
          <w:sz w:val="21"/>
          <w:szCs w:val="21"/>
        </w:rPr>
        <w:t>（1）消杀器械：大型消杀设备（如无人智能消杀车、车载超低容量喷雾器）、机动喷雾器、背负式喷雾器、超低容量喷雾器、烟雾机、填塞鼠洞需用工具等。</w:t>
      </w:r>
    </w:p>
    <w:p w14:paraId="083986C6">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Style w:val="60"/>
          <w:rFonts w:hint="eastAsia" w:ascii="宋体" w:hAnsi="宋体" w:eastAsia="宋体" w:cs="宋体"/>
          <w:sz w:val="21"/>
          <w:szCs w:val="21"/>
        </w:rPr>
      </w:pPr>
      <w:r>
        <w:rPr>
          <w:rStyle w:val="60"/>
          <w:rFonts w:hint="eastAsia" w:ascii="宋体" w:hAnsi="宋体" w:eastAsia="宋体" w:cs="宋体"/>
          <w:sz w:val="21"/>
          <w:szCs w:val="21"/>
        </w:rPr>
        <w:t>（2）使用药剂必须正规厂家生产，三证齐全，在有效期限内，并有厂家授权经营使用许可证明。</w:t>
      </w:r>
    </w:p>
    <w:p w14:paraId="30DBBE5E">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Style w:val="60"/>
          <w:rFonts w:hint="eastAsia" w:ascii="宋体" w:hAnsi="宋体" w:eastAsia="宋体" w:cs="宋体"/>
          <w:sz w:val="21"/>
          <w:szCs w:val="21"/>
        </w:rPr>
      </w:pPr>
      <w:r>
        <w:rPr>
          <w:rStyle w:val="60"/>
          <w:rFonts w:hint="eastAsia" w:ascii="宋体" w:hAnsi="宋体" w:eastAsia="宋体" w:cs="宋体"/>
          <w:sz w:val="21"/>
          <w:szCs w:val="21"/>
        </w:rPr>
        <w:t>（3）防制药物选用：选用低抗药性的卫生杀虫药，高效低毒，对人畜安全。严禁使用违禁药物。</w:t>
      </w:r>
    </w:p>
    <w:p w14:paraId="088B0A19">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Style w:val="60"/>
          <w:rFonts w:hint="eastAsia" w:ascii="宋体" w:hAnsi="宋体" w:eastAsia="宋体" w:cs="宋体"/>
          <w:sz w:val="21"/>
          <w:szCs w:val="21"/>
        </w:rPr>
      </w:pPr>
      <w:r>
        <w:rPr>
          <w:rStyle w:val="60"/>
          <w:rFonts w:hint="eastAsia" w:ascii="宋体" w:hAnsi="宋体" w:eastAsia="宋体" w:cs="宋体"/>
          <w:sz w:val="21"/>
          <w:szCs w:val="21"/>
        </w:rPr>
        <w:t>（4）防护设施：口罩、手套、眼罩、防毒面具、工作服。</w:t>
      </w:r>
    </w:p>
    <w:p w14:paraId="4BE55531">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Style w:val="60"/>
          <w:rFonts w:hint="eastAsia" w:ascii="宋体" w:hAnsi="宋体" w:eastAsia="宋体" w:cs="宋体"/>
          <w:sz w:val="21"/>
          <w:szCs w:val="21"/>
        </w:rPr>
      </w:pPr>
      <w:r>
        <w:rPr>
          <w:rStyle w:val="60"/>
          <w:rFonts w:hint="eastAsia" w:ascii="宋体" w:hAnsi="宋体" w:eastAsia="宋体" w:cs="宋体"/>
          <w:sz w:val="21"/>
          <w:szCs w:val="21"/>
        </w:rPr>
        <w:t>6、环保措施要求</w:t>
      </w:r>
    </w:p>
    <w:p w14:paraId="6CDF717A">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Style w:val="60"/>
          <w:rFonts w:hint="eastAsia" w:ascii="宋体" w:hAnsi="宋体" w:eastAsia="宋体" w:cs="宋体"/>
          <w:sz w:val="21"/>
          <w:szCs w:val="21"/>
        </w:rPr>
      </w:pPr>
      <w:r>
        <w:rPr>
          <w:rStyle w:val="60"/>
          <w:rFonts w:hint="eastAsia" w:ascii="宋体" w:hAnsi="宋体" w:eastAsia="宋体" w:cs="宋体"/>
          <w:sz w:val="21"/>
          <w:szCs w:val="21"/>
        </w:rPr>
        <w:t>对于有害生物综合治理，应本着对环境无害的原则，因地制宜对有害生物采用环境防制、物理防制、生物防制及其他有效的手段，从而组成一套环境保护防制措施。</w:t>
      </w:r>
    </w:p>
    <w:p w14:paraId="53DA92B5">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Style w:val="60"/>
          <w:rFonts w:hint="eastAsia" w:ascii="宋体" w:hAnsi="宋体" w:eastAsia="宋体" w:cs="宋体"/>
          <w:sz w:val="21"/>
          <w:szCs w:val="21"/>
        </w:rPr>
      </w:pPr>
      <w:r>
        <w:rPr>
          <w:rStyle w:val="60"/>
          <w:rFonts w:hint="eastAsia" w:ascii="宋体" w:hAnsi="宋体" w:eastAsia="宋体" w:cs="宋体"/>
          <w:sz w:val="21"/>
          <w:szCs w:val="21"/>
        </w:rPr>
        <w:t>（1）防制之前进行具体环境的监测，找到有害生物的孳生地，用对环境无害的药品和器械进行虫害处理，尽量减少大范围的药物施用，实现精准用药。</w:t>
      </w:r>
    </w:p>
    <w:p w14:paraId="2F6B5440">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Style w:val="60"/>
          <w:rFonts w:hint="eastAsia" w:ascii="宋体" w:hAnsi="宋体" w:eastAsia="宋体" w:cs="宋体"/>
          <w:sz w:val="21"/>
          <w:szCs w:val="21"/>
        </w:rPr>
      </w:pPr>
      <w:r>
        <w:rPr>
          <w:rStyle w:val="60"/>
          <w:rFonts w:hint="eastAsia" w:ascii="宋体" w:hAnsi="宋体" w:eastAsia="宋体" w:cs="宋体"/>
          <w:sz w:val="21"/>
          <w:szCs w:val="21"/>
        </w:rPr>
        <w:t>（2）使用药品全部为低毒药品，降解快、低残留，对环境友好。</w:t>
      </w:r>
    </w:p>
    <w:p w14:paraId="552CE3F3">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Style w:val="60"/>
          <w:rFonts w:hint="eastAsia" w:ascii="宋体" w:hAnsi="宋体" w:eastAsia="宋体" w:cs="宋体"/>
          <w:sz w:val="21"/>
          <w:szCs w:val="21"/>
        </w:rPr>
      </w:pPr>
      <w:r>
        <w:rPr>
          <w:rStyle w:val="60"/>
          <w:rFonts w:hint="eastAsia" w:ascii="宋体" w:hAnsi="宋体" w:eastAsia="宋体" w:cs="宋体"/>
          <w:sz w:val="21"/>
          <w:szCs w:val="21"/>
        </w:rPr>
        <w:t>（3）在操作过程中，不随意加减药品的用量，引入减少废弃物排放的手段。采用优秀的施药器械，提高药物效率，降低药品使用量。</w:t>
      </w:r>
    </w:p>
    <w:p w14:paraId="087F9ECE">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Style w:val="60"/>
          <w:rFonts w:hint="eastAsia" w:ascii="宋体" w:hAnsi="宋体" w:eastAsia="宋体" w:cs="宋体"/>
          <w:sz w:val="21"/>
          <w:szCs w:val="21"/>
        </w:rPr>
      </w:pPr>
      <w:r>
        <w:rPr>
          <w:rStyle w:val="60"/>
          <w:rFonts w:hint="eastAsia" w:ascii="宋体" w:hAnsi="宋体" w:eastAsia="宋体" w:cs="宋体"/>
          <w:sz w:val="21"/>
          <w:szCs w:val="21"/>
        </w:rPr>
        <w:t>（4）保持车辆、器械的良好状况，降低能源消耗量。</w:t>
      </w:r>
    </w:p>
    <w:p w14:paraId="3CEAB58D">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Style w:val="60"/>
          <w:rFonts w:hint="eastAsia" w:ascii="宋体" w:hAnsi="宋体" w:eastAsia="宋体" w:cs="宋体"/>
          <w:sz w:val="21"/>
          <w:szCs w:val="21"/>
        </w:rPr>
      </w:pPr>
      <w:r>
        <w:rPr>
          <w:rStyle w:val="60"/>
          <w:rFonts w:hint="eastAsia" w:ascii="宋体" w:hAnsi="宋体" w:eastAsia="宋体" w:cs="宋体"/>
          <w:sz w:val="21"/>
          <w:szCs w:val="21"/>
        </w:rPr>
        <w:t>（5）防制处理完毕后，按照当地环境法规处理，将药品包装带离现场，剩余药品原液及配制好的未使用完的药液必须全部封存，带离施工现场。</w:t>
      </w:r>
    </w:p>
    <w:p w14:paraId="2D6CC98E">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Style w:val="60"/>
          <w:rFonts w:hint="eastAsia" w:ascii="宋体" w:hAnsi="宋体" w:eastAsia="宋体" w:cs="宋体"/>
          <w:sz w:val="21"/>
          <w:szCs w:val="21"/>
        </w:rPr>
      </w:pPr>
      <w:r>
        <w:rPr>
          <w:rStyle w:val="60"/>
          <w:rFonts w:hint="eastAsia" w:ascii="宋体" w:hAnsi="宋体" w:eastAsia="宋体" w:cs="宋体"/>
          <w:sz w:val="21"/>
          <w:szCs w:val="21"/>
        </w:rPr>
        <w:t>（6）处理杀灭的鼠尸应按相关安全处理规程做好尸表消毒和环境终末消毒后密封带离现场并进行</w:t>
      </w:r>
      <w:r>
        <w:rPr>
          <w:rStyle w:val="60"/>
          <w:rFonts w:hint="eastAsia" w:ascii="宋体" w:hAnsi="宋体" w:eastAsia="宋体" w:cs="宋体"/>
          <w:bCs/>
          <w:sz w:val="21"/>
          <w:szCs w:val="21"/>
        </w:rPr>
        <w:t>无害化处理。</w:t>
      </w:r>
    </w:p>
    <w:p w14:paraId="6F388654">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baseline"/>
        <w:rPr>
          <w:rStyle w:val="60"/>
          <w:rFonts w:hint="eastAsia" w:ascii="宋体" w:hAnsi="宋体" w:eastAsia="宋体" w:cs="宋体"/>
          <w:b/>
          <w:bCs/>
          <w:sz w:val="21"/>
          <w:szCs w:val="21"/>
        </w:rPr>
      </w:pPr>
      <w:r>
        <w:rPr>
          <w:rStyle w:val="60"/>
          <w:rFonts w:hint="eastAsia" w:ascii="宋体" w:hAnsi="宋体" w:eastAsia="宋体" w:cs="宋体"/>
          <w:b/>
          <w:bCs/>
          <w:sz w:val="21"/>
          <w:szCs w:val="21"/>
        </w:rPr>
        <w:t>（</w:t>
      </w:r>
      <w:r>
        <w:rPr>
          <w:rStyle w:val="60"/>
          <w:rFonts w:hint="eastAsia" w:ascii="宋体" w:hAnsi="宋体" w:eastAsia="宋体" w:cs="宋体"/>
          <w:b/>
          <w:bCs/>
          <w:sz w:val="21"/>
          <w:szCs w:val="21"/>
          <w:lang w:val="en-US"/>
        </w:rPr>
        <w:t>二</w:t>
      </w:r>
      <w:r>
        <w:rPr>
          <w:rStyle w:val="60"/>
          <w:rFonts w:hint="eastAsia" w:ascii="宋体" w:hAnsi="宋体" w:eastAsia="宋体" w:cs="宋体"/>
          <w:b/>
          <w:bCs/>
          <w:sz w:val="21"/>
          <w:szCs w:val="21"/>
        </w:rPr>
        <w:t>）服务要求：</w:t>
      </w:r>
    </w:p>
    <w:p w14:paraId="2582D86C">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Style w:val="60"/>
          <w:rFonts w:hint="eastAsia" w:ascii="宋体" w:hAnsi="宋体" w:eastAsia="宋体" w:cs="宋体"/>
          <w:sz w:val="21"/>
          <w:szCs w:val="21"/>
        </w:rPr>
      </w:pPr>
      <w:r>
        <w:rPr>
          <w:rStyle w:val="60"/>
          <w:rFonts w:hint="eastAsia" w:ascii="宋体" w:hAnsi="宋体" w:eastAsia="宋体" w:cs="宋体"/>
          <w:sz w:val="21"/>
          <w:szCs w:val="21"/>
        </w:rPr>
        <w:t>1.完善消杀方案</w:t>
      </w:r>
    </w:p>
    <w:p w14:paraId="32A2B5E1">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Style w:val="60"/>
          <w:rFonts w:hint="eastAsia" w:ascii="宋体" w:hAnsi="宋体" w:eastAsia="宋体" w:cs="宋体"/>
          <w:sz w:val="21"/>
          <w:szCs w:val="21"/>
        </w:rPr>
      </w:pPr>
      <w:r>
        <w:rPr>
          <w:rStyle w:val="60"/>
          <w:rFonts w:hint="eastAsia" w:ascii="宋体" w:hAnsi="宋体" w:eastAsia="宋体" w:cs="宋体"/>
          <w:sz w:val="21"/>
          <w:szCs w:val="21"/>
        </w:rPr>
        <w:t>经过反复的现场考察，对环境状况掌握较全面的数据，以此为基础，根据实际情况及存在的问题，逐步完善服务方案，如根据现有的天气变化实施预防性消杀，将虫害隐患提前预处理；根据现有的消杀数据及时调整消杀药品，避免产生抗药性；根据消杀行业的新技术、新药品，及时调整消杀方案，使我院的消杀工作达到良好的状态，以提高病患的满意度。</w:t>
      </w:r>
    </w:p>
    <w:p w14:paraId="2F785467">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Style w:val="60"/>
          <w:rFonts w:hint="eastAsia" w:ascii="宋体" w:hAnsi="宋体" w:eastAsia="宋体" w:cs="宋体"/>
          <w:sz w:val="21"/>
          <w:szCs w:val="21"/>
        </w:rPr>
      </w:pPr>
      <w:r>
        <w:rPr>
          <w:rStyle w:val="60"/>
          <w:rFonts w:hint="eastAsia" w:ascii="宋体" w:hAnsi="宋体" w:eastAsia="宋体" w:cs="宋体"/>
          <w:sz w:val="21"/>
          <w:szCs w:val="21"/>
        </w:rPr>
        <w:t>2.做好数据监测</w:t>
      </w:r>
    </w:p>
    <w:p w14:paraId="21C3A5D4">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Style w:val="60"/>
          <w:rFonts w:hint="eastAsia" w:ascii="宋体" w:hAnsi="宋体" w:eastAsia="宋体" w:cs="宋体"/>
          <w:sz w:val="21"/>
          <w:szCs w:val="21"/>
        </w:rPr>
      </w:pPr>
      <w:r>
        <w:rPr>
          <w:rStyle w:val="60"/>
          <w:rFonts w:hint="eastAsia" w:ascii="宋体" w:hAnsi="宋体" w:eastAsia="宋体" w:cs="宋体"/>
          <w:sz w:val="21"/>
          <w:szCs w:val="21"/>
        </w:rPr>
        <w:t>每月</w:t>
      </w:r>
      <w:r>
        <w:rPr>
          <w:rStyle w:val="60"/>
          <w:rFonts w:hint="eastAsia" w:ascii="宋体" w:hAnsi="宋体" w:eastAsia="宋体" w:cs="宋体"/>
          <w:sz w:val="21"/>
          <w:szCs w:val="21"/>
          <w:lang w:eastAsia="zh-CN"/>
        </w:rPr>
        <w:t>至少</w:t>
      </w:r>
      <w:r>
        <w:rPr>
          <w:rStyle w:val="60"/>
          <w:rFonts w:hint="eastAsia" w:ascii="宋体" w:hAnsi="宋体" w:eastAsia="宋体" w:cs="宋体"/>
          <w:sz w:val="21"/>
          <w:szCs w:val="21"/>
        </w:rPr>
        <w:t>进行两次密度监测：</w:t>
      </w:r>
      <w:r>
        <w:rPr>
          <w:rFonts w:hint="eastAsia" w:ascii="宋体" w:hAnsi="宋体" w:eastAsia="宋体" w:cs="宋体"/>
          <w:sz w:val="21"/>
          <w:szCs w:val="21"/>
        </w:rPr>
        <w:t>蚊虫密度采用布雷图指数（BI）和人诱停落法（ADI）指数进行监测；</w:t>
      </w:r>
      <w:r>
        <w:rPr>
          <w:rStyle w:val="60"/>
          <w:rFonts w:hint="eastAsia" w:ascii="宋体" w:hAnsi="宋体" w:eastAsia="宋体" w:cs="宋体"/>
          <w:sz w:val="21"/>
          <w:szCs w:val="21"/>
        </w:rPr>
        <w:t>鼠、蝇、蜚蠊控制水平采用路径法进行监测。</w:t>
      </w:r>
    </w:p>
    <w:p w14:paraId="2527279F">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Style w:val="60"/>
          <w:rFonts w:hint="eastAsia" w:ascii="宋体" w:hAnsi="宋体" w:eastAsia="宋体" w:cs="宋体"/>
          <w:sz w:val="21"/>
          <w:szCs w:val="21"/>
        </w:rPr>
      </w:pPr>
      <w:r>
        <w:rPr>
          <w:rStyle w:val="60"/>
          <w:rFonts w:hint="eastAsia" w:ascii="宋体" w:hAnsi="宋体" w:eastAsia="宋体" w:cs="宋体"/>
          <w:sz w:val="21"/>
          <w:szCs w:val="21"/>
        </w:rPr>
        <w:t>3.加强质量监管</w:t>
      </w:r>
    </w:p>
    <w:p w14:paraId="493A5B3D">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Style w:val="60"/>
          <w:rFonts w:hint="eastAsia" w:ascii="宋体" w:hAnsi="宋体" w:eastAsia="宋体" w:cs="宋体"/>
          <w:sz w:val="21"/>
          <w:szCs w:val="21"/>
        </w:rPr>
      </w:pPr>
      <w:r>
        <w:rPr>
          <w:rStyle w:val="60"/>
          <w:rFonts w:hint="eastAsia" w:ascii="宋体" w:hAnsi="宋体" w:eastAsia="宋体" w:cs="宋体"/>
          <w:sz w:val="21"/>
          <w:szCs w:val="21"/>
        </w:rPr>
        <w:t>按调整切实的方案实施有害生物的防制。必须对现场服务加大检查监管力度，完善常规性检查和不定时抽查的相关制度，从而保证消杀人员按照相应的服务规范、标准进行服务。</w:t>
      </w:r>
    </w:p>
    <w:p w14:paraId="3943BEC0">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Style w:val="60"/>
          <w:rFonts w:hint="eastAsia" w:ascii="宋体" w:hAnsi="宋体" w:eastAsia="宋体" w:cs="宋体"/>
          <w:sz w:val="21"/>
          <w:szCs w:val="21"/>
        </w:rPr>
      </w:pPr>
      <w:r>
        <w:rPr>
          <w:rStyle w:val="60"/>
          <w:rFonts w:hint="eastAsia" w:ascii="宋体" w:hAnsi="宋体" w:eastAsia="宋体" w:cs="宋体"/>
          <w:sz w:val="21"/>
          <w:szCs w:val="21"/>
        </w:rPr>
        <w:t>4.按时提交报告</w:t>
      </w:r>
    </w:p>
    <w:p w14:paraId="0B3F6ABA">
      <w:pPr>
        <w:pStyle w:val="7"/>
        <w:keepNext w:val="0"/>
        <w:keepLines w:val="0"/>
        <w:pageBreakBefore w:val="0"/>
        <w:tabs>
          <w:tab w:val="left" w:pos="562"/>
          <w:tab w:val="left" w:pos="3372"/>
          <w:tab w:val="left" w:pos="3653"/>
        </w:tabs>
        <w:kinsoku/>
        <w:wordWrap/>
        <w:overflowPunct/>
        <w:topLinePunct w:val="0"/>
        <w:autoSpaceDE/>
        <w:autoSpaceDN/>
        <w:bidi w:val="0"/>
        <w:adjustRightInd/>
        <w:snapToGrid/>
        <w:spacing w:after="0" w:line="360" w:lineRule="auto"/>
        <w:rPr>
          <w:rFonts w:hint="eastAsia" w:ascii="宋体" w:hAnsi="宋体" w:eastAsia="宋体" w:cs="宋体"/>
          <w:sz w:val="21"/>
          <w:szCs w:val="21"/>
        </w:rPr>
      </w:pPr>
      <w:r>
        <w:rPr>
          <w:rFonts w:hint="eastAsia" w:ascii="宋体" w:hAnsi="宋体" w:eastAsia="宋体" w:cs="宋体"/>
          <w:sz w:val="21"/>
          <w:szCs w:val="21"/>
        </w:rPr>
        <w:t xml:space="preserve">     每月底向医院提供如下书面报告：</w:t>
      </w:r>
    </w:p>
    <w:p w14:paraId="691907BA">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Style w:val="60"/>
          <w:rFonts w:hint="eastAsia" w:ascii="宋体" w:hAnsi="宋体" w:eastAsia="宋体" w:cs="宋体"/>
          <w:sz w:val="21"/>
          <w:szCs w:val="21"/>
        </w:rPr>
      </w:pPr>
      <w:r>
        <w:rPr>
          <w:rStyle w:val="60"/>
          <w:rFonts w:hint="eastAsia" w:ascii="宋体" w:hAnsi="宋体" w:eastAsia="宋体" w:cs="宋体"/>
          <w:sz w:val="21"/>
          <w:szCs w:val="21"/>
        </w:rPr>
        <w:t>（1）月度密度监测报告；</w:t>
      </w:r>
    </w:p>
    <w:p w14:paraId="7DE77D54">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Style w:val="60"/>
          <w:rFonts w:hint="eastAsia" w:ascii="宋体" w:hAnsi="宋体" w:eastAsia="宋体" w:cs="宋体"/>
          <w:sz w:val="21"/>
          <w:szCs w:val="21"/>
        </w:rPr>
      </w:pPr>
      <w:r>
        <w:rPr>
          <w:rStyle w:val="60"/>
          <w:rFonts w:hint="eastAsia" w:ascii="宋体" w:hAnsi="宋体" w:eastAsia="宋体" w:cs="宋体"/>
          <w:sz w:val="21"/>
          <w:szCs w:val="21"/>
        </w:rPr>
        <w:t>（2）下月的消杀作业计划；</w:t>
      </w:r>
    </w:p>
    <w:p w14:paraId="11E4D0A8">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Style w:val="60"/>
          <w:rFonts w:hint="eastAsia" w:ascii="宋体" w:hAnsi="宋体" w:eastAsia="宋体" w:cs="宋体"/>
          <w:sz w:val="21"/>
          <w:szCs w:val="21"/>
        </w:rPr>
      </w:pPr>
      <w:r>
        <w:rPr>
          <w:rStyle w:val="60"/>
          <w:rFonts w:hint="eastAsia" w:ascii="宋体" w:hAnsi="宋体" w:eastAsia="宋体" w:cs="宋体"/>
          <w:sz w:val="21"/>
          <w:szCs w:val="21"/>
        </w:rPr>
        <w:t>（3）当月的提供消杀记录和服务台账；</w:t>
      </w:r>
    </w:p>
    <w:p w14:paraId="01713E55">
      <w:pPr>
        <w:keepNext w:val="0"/>
        <w:keepLines w:val="0"/>
        <w:pageBreakBefore w:val="0"/>
        <w:kinsoku/>
        <w:wordWrap/>
        <w:overflowPunct/>
        <w:topLinePunct w:val="0"/>
        <w:autoSpaceDE/>
        <w:autoSpaceDN/>
        <w:bidi w:val="0"/>
        <w:adjustRightInd/>
        <w:snapToGrid/>
        <w:spacing w:line="360" w:lineRule="auto"/>
        <w:ind w:firstLine="420" w:firstLineChars="200"/>
        <w:textAlignment w:val="baseline"/>
        <w:rPr>
          <w:rStyle w:val="60"/>
          <w:rFonts w:hint="eastAsia" w:ascii="宋体" w:hAnsi="宋体" w:eastAsia="宋体" w:cs="宋体"/>
          <w:sz w:val="21"/>
          <w:szCs w:val="21"/>
        </w:rPr>
      </w:pPr>
      <w:r>
        <w:rPr>
          <w:rStyle w:val="60"/>
          <w:rFonts w:hint="eastAsia" w:ascii="宋体" w:hAnsi="宋体" w:eastAsia="宋体" w:cs="宋体"/>
          <w:sz w:val="21"/>
          <w:szCs w:val="21"/>
        </w:rPr>
        <w:t>（4）所用批次药品的三证。</w:t>
      </w:r>
    </w:p>
    <w:p w14:paraId="2E867660">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baseline"/>
        <w:rPr>
          <w:rStyle w:val="60"/>
          <w:rFonts w:hint="eastAsia" w:ascii="宋体" w:hAnsi="宋体" w:eastAsia="宋体" w:cs="宋体"/>
          <w:b/>
          <w:bCs/>
          <w:sz w:val="21"/>
          <w:szCs w:val="21"/>
        </w:rPr>
      </w:pPr>
      <w:r>
        <w:rPr>
          <w:rStyle w:val="60"/>
          <w:rFonts w:hint="eastAsia" w:ascii="宋体" w:hAnsi="宋体" w:eastAsia="宋体" w:cs="宋体"/>
          <w:b/>
          <w:bCs/>
          <w:sz w:val="21"/>
          <w:szCs w:val="21"/>
        </w:rPr>
        <w:t>（</w:t>
      </w:r>
      <w:r>
        <w:rPr>
          <w:rStyle w:val="60"/>
          <w:rFonts w:hint="eastAsia" w:ascii="宋体" w:hAnsi="宋体" w:eastAsia="宋体" w:cs="宋体"/>
          <w:b/>
          <w:bCs/>
          <w:sz w:val="21"/>
          <w:szCs w:val="21"/>
          <w:lang w:val="en-US"/>
        </w:rPr>
        <w:t>三</w:t>
      </w:r>
      <w:r>
        <w:rPr>
          <w:rStyle w:val="60"/>
          <w:rFonts w:hint="eastAsia" w:ascii="宋体" w:hAnsi="宋体" w:eastAsia="宋体" w:cs="宋体"/>
          <w:b/>
          <w:bCs/>
          <w:sz w:val="21"/>
          <w:szCs w:val="21"/>
        </w:rPr>
        <w:t>）服务标准：</w:t>
      </w:r>
    </w:p>
    <w:p w14:paraId="282A581D">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360" w:lineRule="auto"/>
        <w:ind w:left="0" w:leftChars="0" w:right="0" w:rightChars="0" w:firstLine="420" w:firstLineChars="200"/>
        <w:textAlignment w:val="auto"/>
        <w:rPr>
          <w:rFonts w:hint="eastAsia" w:ascii="宋体" w:hAnsi="宋体" w:eastAsia="宋体" w:cs="宋体"/>
          <w:kern w:val="2"/>
          <w:sz w:val="21"/>
          <w:szCs w:val="21"/>
          <w:lang w:val="en-US" w:eastAsia="zh-CN" w:bidi="ar-SA"/>
        </w:rPr>
      </w:pPr>
      <w:r>
        <w:rPr>
          <w:rStyle w:val="60"/>
          <w:rFonts w:hint="eastAsia" w:ascii="宋体" w:hAnsi="宋体" w:eastAsia="宋体" w:cs="宋体"/>
          <w:sz w:val="21"/>
          <w:szCs w:val="21"/>
        </w:rPr>
        <w:t>若消杀现场发现任何问题或者投诉后，在4小时内，对情况进行调查核实，予以答复并提出处理意见，进行圆满解决。</w:t>
      </w:r>
    </w:p>
    <w:p w14:paraId="6B8F988A">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
          <w:color w:val="auto"/>
          <w:sz w:val="28"/>
          <w:szCs w:val="28"/>
          <w:lang w:val="en-US" w:eastAsia="zh-CN"/>
        </w:rPr>
      </w:pPr>
    </w:p>
    <w:p w14:paraId="321F0FD9">
      <w:pPr>
        <w:keepNext w:val="0"/>
        <w:keepLines w:val="0"/>
        <w:pageBreakBefore w:val="0"/>
        <w:widowControl w:val="0"/>
        <w:kinsoku/>
        <w:wordWrap/>
        <w:overflowPunct/>
        <w:topLinePunct w:val="0"/>
        <w:autoSpaceDE/>
        <w:autoSpaceDN/>
        <w:bidi w:val="0"/>
        <w:adjustRightInd/>
        <w:snapToGrid/>
        <w:spacing w:line="360" w:lineRule="auto"/>
        <w:ind w:left="0"/>
        <w:jc w:val="left"/>
        <w:textAlignment w:val="auto"/>
        <w:rPr>
          <w:rFonts w:hint="eastAsia" w:ascii="宋体" w:hAnsi="宋体" w:eastAsia="宋体" w:cs="宋体"/>
          <w:b/>
          <w:color w:val="auto"/>
          <w:sz w:val="28"/>
          <w:szCs w:val="28"/>
        </w:rPr>
      </w:pPr>
      <w:r>
        <w:rPr>
          <w:rFonts w:hint="eastAsia" w:ascii="宋体" w:hAnsi="宋体" w:eastAsia="宋体" w:cs="宋体"/>
          <w:b/>
          <w:color w:val="auto"/>
          <w:sz w:val="28"/>
          <w:szCs w:val="28"/>
          <w:lang w:val="en-US" w:eastAsia="zh-CN"/>
        </w:rPr>
        <w:t>四</w:t>
      </w:r>
      <w:r>
        <w:rPr>
          <w:rFonts w:hint="eastAsia" w:ascii="宋体" w:hAnsi="宋体" w:eastAsia="宋体" w:cs="宋体"/>
          <w:b/>
          <w:color w:val="auto"/>
          <w:sz w:val="28"/>
          <w:szCs w:val="28"/>
        </w:rPr>
        <w:t>、商务需求</w:t>
      </w:r>
    </w:p>
    <w:p w14:paraId="6F04A54F">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baseline"/>
        <w:rPr>
          <w:rStyle w:val="60"/>
          <w:rFonts w:hint="eastAsia" w:ascii="宋体" w:hAnsi="宋体" w:eastAsia="宋体" w:cs="宋体"/>
          <w:b/>
          <w:bCs/>
          <w:sz w:val="21"/>
          <w:szCs w:val="21"/>
        </w:rPr>
      </w:pPr>
      <w:r>
        <w:rPr>
          <w:rStyle w:val="60"/>
          <w:rFonts w:hint="eastAsia" w:ascii="宋体" w:hAnsi="宋体" w:eastAsia="宋体" w:cs="宋体"/>
          <w:b/>
          <w:bCs/>
          <w:sz w:val="21"/>
          <w:szCs w:val="21"/>
        </w:rPr>
        <w:t>（一）服务期限：</w:t>
      </w:r>
    </w:p>
    <w:p w14:paraId="020048E0">
      <w:pPr>
        <w:keepNext w:val="0"/>
        <w:keepLines w:val="0"/>
        <w:pageBreakBefore w:val="0"/>
        <w:kinsoku/>
        <w:wordWrap/>
        <w:overflowPunct/>
        <w:topLinePunct w:val="0"/>
        <w:bidi w:val="0"/>
        <w:snapToGrid/>
        <w:spacing w:line="360" w:lineRule="auto"/>
        <w:ind w:firstLine="420" w:firstLineChars="200"/>
        <w:textAlignment w:val="baseline"/>
        <w:rPr>
          <w:rStyle w:val="60"/>
          <w:rFonts w:hint="eastAsia" w:ascii="宋体" w:hAnsi="宋体" w:eastAsia="宋体" w:cs="宋体"/>
          <w:sz w:val="21"/>
          <w:szCs w:val="21"/>
        </w:rPr>
      </w:pPr>
      <w:r>
        <w:rPr>
          <w:rStyle w:val="60"/>
          <w:rFonts w:hint="eastAsia" w:ascii="宋体" w:hAnsi="宋体" w:eastAsia="宋体" w:cs="宋体"/>
          <w:sz w:val="21"/>
          <w:szCs w:val="21"/>
        </w:rPr>
        <w:t>项目服务期限为1年，由采购人根据中标人履约情况确定是否延长合同期限，合同每年一签，合同履行期限最长不得超过三十六个月。如采购人对履约情况不满意或者中标人在合同履行期间因违法行为被禁止参与政府采购活动或者存在其他重大违法行为的，采购人不再续约。</w:t>
      </w:r>
    </w:p>
    <w:p w14:paraId="7EE185E5">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0" w:firstLineChars="0"/>
        <w:textAlignment w:val="baseline"/>
        <w:rPr>
          <w:rStyle w:val="60"/>
          <w:rFonts w:hint="default" w:ascii="宋体" w:hAnsi="宋体" w:eastAsia="宋体" w:cs="宋体"/>
          <w:b/>
          <w:bCs/>
          <w:sz w:val="21"/>
          <w:szCs w:val="21"/>
          <w:lang w:val="en-US"/>
        </w:rPr>
      </w:pPr>
      <w:r>
        <w:rPr>
          <w:rFonts w:hint="eastAsia" w:ascii="宋体" w:hAnsi="宋体" w:eastAsia="宋体" w:cs="宋体"/>
          <w:b/>
          <w:bCs/>
          <w:kern w:val="2"/>
          <w:sz w:val="21"/>
          <w:szCs w:val="21"/>
          <w:lang w:val="en-US" w:eastAsia="zh-CN" w:bidi="ar-SA"/>
        </w:rPr>
        <w:t>（二）</w:t>
      </w:r>
      <w:r>
        <w:rPr>
          <w:rStyle w:val="60"/>
          <w:rFonts w:hint="eastAsia" w:ascii="宋体" w:hAnsi="宋体" w:eastAsia="宋体" w:cs="宋体"/>
          <w:b/>
          <w:bCs/>
          <w:sz w:val="21"/>
          <w:szCs w:val="21"/>
          <w:lang w:val="en-US"/>
        </w:rPr>
        <w:t>报价要求：</w:t>
      </w:r>
    </w:p>
    <w:p w14:paraId="39D59C12">
      <w:pPr>
        <w:pStyle w:val="2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投标人报价应以人民币报价</w:t>
      </w:r>
      <w:r>
        <w:rPr>
          <w:rFonts w:hint="eastAsia" w:ascii="宋体" w:hAnsi="宋体" w:eastAsia="宋体" w:cs="宋体"/>
          <w:sz w:val="21"/>
          <w:szCs w:val="21"/>
          <w:highlight w:val="none"/>
          <w:lang w:val="en-US" w:eastAsia="zh-CN"/>
        </w:rPr>
        <w:t>，以总价为准，并提供分项报价表</w:t>
      </w:r>
      <w:r>
        <w:rPr>
          <w:rFonts w:hint="eastAsia" w:ascii="宋体" w:hAnsi="宋体" w:eastAsia="宋体" w:cs="宋体"/>
          <w:sz w:val="21"/>
          <w:szCs w:val="21"/>
          <w:highlight w:val="none"/>
        </w:rPr>
        <w:t>：</w:t>
      </w:r>
    </w:p>
    <w:p w14:paraId="3806AE25">
      <w:pPr>
        <w:pStyle w:val="2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Fonts w:hint="eastAsia" w:ascii="宋体" w:hAnsi="宋体" w:eastAsia="宋体" w:cs="宋体"/>
          <w:sz w:val="21"/>
          <w:szCs w:val="21"/>
          <w:highlight w:val="none"/>
        </w:rPr>
      </w:pPr>
      <w:r>
        <w:rPr>
          <w:rStyle w:val="60"/>
          <w:rFonts w:hint="eastAsia" w:ascii="宋体" w:hAnsi="宋体" w:eastAsia="宋体" w:cs="宋体"/>
          <w:sz w:val="21"/>
          <w:szCs w:val="21"/>
          <w:lang w:val="en-US"/>
        </w:rPr>
        <w:t>1、</w:t>
      </w:r>
      <w:r>
        <w:rPr>
          <w:rStyle w:val="60"/>
          <w:rFonts w:hint="eastAsia" w:ascii="宋体" w:hAnsi="宋体" w:eastAsia="宋体" w:cs="宋体"/>
          <w:sz w:val="21"/>
          <w:szCs w:val="21"/>
        </w:rPr>
        <w:t>本项目服务费应包括服务成本、企业的利润和法定税费。由企业根据招标文件所提供的资料自行测算投标报价；一经中标，投标报价总价作为中标单位与采购单位签定的合同金额，合同期限内不作调整。投标报价总价应包括：人员费用（人员工资、加班费、福利、社保、服装、防护用品等费用）、所需设备设施费用、药剂费用、交通费、各种措</w:t>
      </w:r>
      <w:r>
        <w:rPr>
          <w:rFonts w:hint="eastAsia" w:ascii="宋体" w:hAnsi="宋体" w:eastAsia="宋体" w:cs="宋体"/>
          <w:sz w:val="21"/>
          <w:szCs w:val="21"/>
          <w:highlight w:val="none"/>
        </w:rPr>
        <w:t>施费、完成招标范围服务内容未列示的其它费用、合理利润、法定税费等。</w:t>
      </w:r>
    </w:p>
    <w:p w14:paraId="236BCBF6">
      <w:pPr>
        <w:pStyle w:val="21"/>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20" w:firstLineChars="200"/>
        <w:textAlignment w:val="auto"/>
        <w:rPr>
          <w:rStyle w:val="60"/>
          <w:rFonts w:hint="eastAsia" w:ascii="宋体" w:hAnsi="宋体" w:eastAsia="宋体" w:cs="宋体"/>
          <w:sz w:val="21"/>
          <w:szCs w:val="21"/>
          <w:lang w:val="en-US" w:eastAsia="zh-CN"/>
        </w:rPr>
      </w:pPr>
      <w:r>
        <w:rPr>
          <w:rFonts w:hint="eastAsia" w:ascii="宋体" w:hAnsi="宋体" w:eastAsia="宋体" w:cs="宋体"/>
          <w:sz w:val="21"/>
          <w:szCs w:val="21"/>
          <w:highlight w:val="none"/>
          <w:lang w:val="en-US" w:eastAsia="zh-CN"/>
        </w:rPr>
        <w:t>2、</w:t>
      </w:r>
      <w:r>
        <w:rPr>
          <w:rFonts w:hint="eastAsia" w:ascii="宋体" w:hAnsi="宋体" w:eastAsia="宋体" w:cs="宋体"/>
          <w:sz w:val="21"/>
          <w:szCs w:val="21"/>
          <w:highlight w:val="none"/>
        </w:rPr>
        <w:t>其中</w:t>
      </w:r>
      <w:r>
        <w:rPr>
          <w:rFonts w:hint="eastAsia" w:ascii="宋体" w:hAnsi="宋体" w:eastAsia="宋体" w:cs="宋体"/>
          <w:sz w:val="21"/>
          <w:szCs w:val="21"/>
          <w:highlight w:val="none"/>
          <w:lang w:val="en-US" w:eastAsia="zh-CN"/>
        </w:rPr>
        <w:t>H</w:t>
      </w:r>
      <w:r>
        <w:rPr>
          <w:rFonts w:hint="eastAsia" w:ascii="宋体" w:hAnsi="宋体" w:eastAsia="宋体" w:cs="宋体"/>
          <w:sz w:val="21"/>
          <w:szCs w:val="21"/>
          <w:highlight w:val="none"/>
        </w:rPr>
        <w:t>栋</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J栋</w:t>
      </w:r>
      <w:r>
        <w:rPr>
          <w:rFonts w:hint="eastAsia" w:ascii="宋体" w:hAnsi="宋体" w:eastAsia="宋体" w:cs="宋体"/>
          <w:sz w:val="21"/>
          <w:szCs w:val="21"/>
          <w:highlight w:val="none"/>
        </w:rPr>
        <w:t>的</w:t>
      </w:r>
      <w:r>
        <w:rPr>
          <w:rFonts w:hint="eastAsia" w:ascii="宋体" w:hAnsi="宋体" w:eastAsia="宋体" w:cs="宋体"/>
          <w:sz w:val="21"/>
          <w:szCs w:val="21"/>
          <w:highlight w:val="none"/>
          <w:lang w:eastAsia="zh-CN"/>
        </w:rPr>
        <w:t>纳入有害生物防制的</w:t>
      </w:r>
      <w:r>
        <w:rPr>
          <w:rFonts w:hint="eastAsia" w:ascii="宋体" w:hAnsi="宋体" w:eastAsia="宋体" w:cs="宋体"/>
          <w:sz w:val="21"/>
          <w:szCs w:val="21"/>
          <w:highlight w:val="none"/>
        </w:rPr>
        <w:t>时间视具体情况而定，采购方将另行通知。中标方自接到采购方通知后开始</w:t>
      </w:r>
      <w:r>
        <w:rPr>
          <w:rFonts w:hint="eastAsia" w:ascii="宋体" w:hAnsi="宋体" w:eastAsia="宋体" w:cs="宋体"/>
          <w:sz w:val="21"/>
          <w:szCs w:val="21"/>
          <w:highlight w:val="none"/>
          <w:lang w:eastAsia="zh-CN"/>
        </w:rPr>
        <w:t>对楼栋进行消杀</w:t>
      </w:r>
      <w:r>
        <w:rPr>
          <w:rFonts w:hint="eastAsia" w:ascii="宋体" w:hAnsi="宋体" w:eastAsia="宋体" w:cs="宋体"/>
          <w:sz w:val="21"/>
          <w:szCs w:val="21"/>
          <w:highlight w:val="none"/>
        </w:rPr>
        <w:t>，相关费用按照</w:t>
      </w:r>
      <w:r>
        <w:rPr>
          <w:rFonts w:hint="eastAsia" w:ascii="宋体" w:hAnsi="宋体" w:eastAsia="宋体" w:cs="宋体"/>
          <w:sz w:val="21"/>
          <w:szCs w:val="21"/>
          <w:highlight w:val="none"/>
          <w:lang w:val="en-US" w:eastAsia="zh-CN"/>
        </w:rPr>
        <w:t>H</w:t>
      </w:r>
      <w:r>
        <w:rPr>
          <w:rFonts w:hint="eastAsia" w:ascii="宋体" w:hAnsi="宋体" w:eastAsia="宋体" w:cs="宋体"/>
          <w:sz w:val="21"/>
          <w:szCs w:val="21"/>
          <w:highlight w:val="none"/>
        </w:rPr>
        <w:t>栋</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J栋</w:t>
      </w:r>
      <w:r>
        <w:rPr>
          <w:rFonts w:hint="eastAsia" w:ascii="宋体" w:hAnsi="宋体" w:eastAsia="宋体" w:cs="宋体"/>
          <w:sz w:val="21"/>
          <w:szCs w:val="21"/>
          <w:highlight w:val="none"/>
        </w:rPr>
        <w:t>启用时间</w:t>
      </w:r>
      <w:r>
        <w:rPr>
          <w:rFonts w:hint="eastAsia" w:ascii="宋体" w:hAnsi="宋体" w:eastAsia="宋体" w:cs="宋体"/>
          <w:sz w:val="21"/>
          <w:szCs w:val="21"/>
          <w:highlight w:val="none"/>
          <w:lang w:val="en-US" w:eastAsia="zh-CN"/>
        </w:rPr>
        <w:t>及实际使用面积</w:t>
      </w:r>
      <w:r>
        <w:rPr>
          <w:rFonts w:hint="eastAsia" w:ascii="宋体" w:hAnsi="宋体" w:eastAsia="宋体" w:cs="宋体"/>
          <w:sz w:val="21"/>
          <w:szCs w:val="21"/>
          <w:highlight w:val="none"/>
        </w:rPr>
        <w:t>进行结算</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投标人</w:t>
      </w:r>
      <w:r>
        <w:rPr>
          <w:rFonts w:hint="eastAsia" w:ascii="宋体" w:hAnsi="宋体" w:eastAsia="宋体" w:cs="宋体"/>
          <w:sz w:val="21"/>
          <w:szCs w:val="21"/>
          <w:highlight w:val="none"/>
        </w:rPr>
        <w:t>按一年服务期报总价，</w:t>
      </w:r>
      <w:r>
        <w:rPr>
          <w:rFonts w:hint="eastAsia" w:ascii="宋体" w:hAnsi="宋体" w:eastAsia="宋体" w:cs="宋体"/>
          <w:sz w:val="21"/>
          <w:szCs w:val="21"/>
          <w:highlight w:val="none"/>
          <w:lang w:val="en-US" w:eastAsia="zh-CN"/>
        </w:rPr>
        <w:t>H</w:t>
      </w:r>
      <w:r>
        <w:rPr>
          <w:rFonts w:hint="eastAsia" w:ascii="宋体" w:hAnsi="宋体" w:eastAsia="宋体" w:cs="宋体"/>
          <w:sz w:val="21"/>
          <w:szCs w:val="21"/>
          <w:highlight w:val="none"/>
        </w:rPr>
        <w:t>栋</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J栋</w:t>
      </w:r>
      <w:r>
        <w:rPr>
          <w:rFonts w:hint="eastAsia" w:ascii="宋体" w:hAnsi="宋体" w:eastAsia="宋体" w:cs="宋体"/>
          <w:sz w:val="21"/>
          <w:szCs w:val="21"/>
          <w:highlight w:val="none"/>
        </w:rPr>
        <w:t>服务费用根据实际履约时间按比例核减费用（</w:t>
      </w:r>
      <w:r>
        <w:rPr>
          <w:rFonts w:hint="eastAsia" w:ascii="宋体" w:hAnsi="宋体" w:eastAsia="宋体" w:cs="宋体"/>
          <w:sz w:val="21"/>
          <w:szCs w:val="21"/>
          <w:highlight w:val="none"/>
          <w:lang w:val="en-US" w:eastAsia="zh-CN"/>
        </w:rPr>
        <w:t>H</w:t>
      </w:r>
      <w:r>
        <w:rPr>
          <w:rFonts w:hint="eastAsia" w:ascii="宋体" w:hAnsi="宋体" w:eastAsia="宋体" w:cs="宋体"/>
          <w:sz w:val="21"/>
          <w:szCs w:val="21"/>
          <w:highlight w:val="none"/>
        </w:rPr>
        <w:t>栋</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lang w:val="en-US" w:eastAsia="zh-CN"/>
        </w:rPr>
        <w:t>J栋</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年度服务费用/</w:t>
      </w:r>
      <w:r>
        <w:rPr>
          <w:rFonts w:hint="eastAsia" w:ascii="宋体" w:hAnsi="宋体" w:eastAsia="宋体" w:cs="宋体"/>
          <w:sz w:val="21"/>
          <w:szCs w:val="21"/>
          <w:highlight w:val="none"/>
          <w:lang w:val="en-US" w:eastAsia="zh-CN"/>
        </w:rPr>
        <w:t>12</w:t>
      </w:r>
      <w:r>
        <w:rPr>
          <w:rFonts w:hint="eastAsia" w:ascii="宋体" w:hAnsi="宋体" w:eastAsia="宋体" w:cs="宋体"/>
          <w:sz w:val="21"/>
          <w:szCs w:val="21"/>
          <w:highlight w:val="none"/>
        </w:rPr>
        <w:t>*实际履约</w:t>
      </w:r>
      <w:r>
        <w:rPr>
          <w:rFonts w:hint="eastAsia" w:ascii="宋体" w:hAnsi="宋体" w:eastAsia="宋体" w:cs="宋体"/>
          <w:sz w:val="21"/>
          <w:szCs w:val="21"/>
          <w:highlight w:val="none"/>
          <w:lang w:val="en-US" w:eastAsia="zh-CN"/>
        </w:rPr>
        <w:t>月数。）</w:t>
      </w:r>
    </w:p>
    <w:p w14:paraId="2C2BA8FA">
      <w:pPr>
        <w:keepNext w:val="0"/>
        <w:keepLines w:val="0"/>
        <w:pageBreakBefore w:val="0"/>
        <w:kinsoku/>
        <w:wordWrap/>
        <w:overflowPunct/>
        <w:topLinePunct w:val="0"/>
        <w:bidi w:val="0"/>
        <w:snapToGrid/>
        <w:spacing w:line="360" w:lineRule="auto"/>
        <w:ind w:firstLine="420" w:firstLineChars="200"/>
        <w:textAlignment w:val="baseline"/>
        <w:rPr>
          <w:rFonts w:hint="eastAsia" w:ascii="宋体" w:hAnsi="宋体" w:eastAsia="宋体" w:cs="宋体"/>
          <w:sz w:val="21"/>
          <w:szCs w:val="21"/>
          <w:lang w:val="en-US" w:eastAsia="zh-CN"/>
        </w:rPr>
      </w:pPr>
      <w:r>
        <w:rPr>
          <w:rStyle w:val="60"/>
          <w:rFonts w:hint="eastAsia" w:ascii="宋体" w:hAnsi="宋体" w:eastAsia="宋体" w:cs="宋体"/>
          <w:sz w:val="21"/>
          <w:szCs w:val="21"/>
          <w:lang w:val="en-US" w:eastAsia="zh-CN"/>
        </w:rPr>
        <w:t>附表：深圳市第三人民医院有害生物防制报价表：</w:t>
      </w:r>
    </w:p>
    <w:tbl>
      <w:tblPr>
        <w:tblStyle w:val="22"/>
        <w:tblW w:w="5008"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634"/>
        <w:gridCol w:w="4101"/>
        <w:gridCol w:w="1798"/>
        <w:gridCol w:w="1796"/>
      </w:tblGrid>
      <w:tr w14:paraId="04E82B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30" w:hRule="atLeast"/>
          <w:jc w:val="center"/>
        </w:trPr>
        <w:tc>
          <w:tcPr>
            <w:tcW w:w="381" w:type="pct"/>
            <w:noWrap w:val="0"/>
            <w:vAlign w:val="center"/>
          </w:tcPr>
          <w:p w14:paraId="0E1D20F0">
            <w:pPr>
              <w:pStyle w:val="62"/>
              <w:keepNext w:val="0"/>
              <w:keepLines w:val="0"/>
              <w:pageBreakBefore w:val="0"/>
              <w:widowControl/>
              <w:kinsoku/>
              <w:wordWrap/>
              <w:overflowPunct/>
              <w:topLinePunct w:val="0"/>
              <w:bidi w:val="0"/>
              <w:snapToGrid/>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序号</w:t>
            </w:r>
          </w:p>
        </w:tc>
        <w:tc>
          <w:tcPr>
            <w:tcW w:w="2460" w:type="pct"/>
            <w:noWrap w:val="0"/>
            <w:vAlign w:val="center"/>
          </w:tcPr>
          <w:p w14:paraId="33CA7875">
            <w:pPr>
              <w:pStyle w:val="62"/>
              <w:keepNext w:val="0"/>
              <w:keepLines w:val="0"/>
              <w:pageBreakBefore w:val="0"/>
              <w:widowControl/>
              <w:kinsoku/>
              <w:wordWrap/>
              <w:overflowPunct/>
              <w:topLinePunct w:val="0"/>
              <w:bidi w:val="0"/>
              <w:snapToGrid/>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建筑物名称</w:t>
            </w:r>
          </w:p>
        </w:tc>
        <w:tc>
          <w:tcPr>
            <w:tcW w:w="1079" w:type="pct"/>
            <w:noWrap w:val="0"/>
            <w:vAlign w:val="center"/>
          </w:tcPr>
          <w:p w14:paraId="50175ADC">
            <w:pPr>
              <w:pStyle w:val="62"/>
              <w:keepNext w:val="0"/>
              <w:keepLines w:val="0"/>
              <w:pageBreakBefore w:val="0"/>
              <w:widowControl/>
              <w:kinsoku/>
              <w:wordWrap/>
              <w:overflowPunct/>
              <w:topLinePunct w:val="0"/>
              <w:bidi w:val="0"/>
              <w:snapToGrid/>
              <w:spacing w:line="360" w:lineRule="auto"/>
              <w:jc w:val="center"/>
              <w:rPr>
                <w:rFonts w:hint="eastAsia" w:ascii="宋体" w:hAnsi="宋体" w:eastAsia="宋体" w:cs="宋体"/>
                <w:b/>
                <w:sz w:val="21"/>
                <w:szCs w:val="21"/>
              </w:rPr>
            </w:pPr>
            <w:r>
              <w:rPr>
                <w:rFonts w:hint="eastAsia" w:ascii="宋体" w:hAnsi="宋体" w:eastAsia="宋体" w:cs="宋体"/>
                <w:b/>
                <w:sz w:val="21"/>
                <w:szCs w:val="21"/>
              </w:rPr>
              <w:t>建筑面积(m²)</w:t>
            </w:r>
          </w:p>
        </w:tc>
        <w:tc>
          <w:tcPr>
            <w:tcW w:w="1078" w:type="pct"/>
            <w:noWrap w:val="0"/>
            <w:vAlign w:val="center"/>
          </w:tcPr>
          <w:p w14:paraId="0C7AED37">
            <w:pPr>
              <w:pStyle w:val="62"/>
              <w:keepNext w:val="0"/>
              <w:keepLines w:val="0"/>
              <w:pageBreakBefore w:val="0"/>
              <w:widowControl/>
              <w:kinsoku/>
              <w:wordWrap/>
              <w:overflowPunct/>
              <w:topLinePunct w:val="0"/>
              <w:bidi w:val="0"/>
              <w:snapToGrid/>
              <w:spacing w:line="360" w:lineRule="auto"/>
              <w:jc w:val="center"/>
              <w:rPr>
                <w:rFonts w:hint="eastAsia" w:ascii="宋体" w:hAnsi="宋体" w:eastAsia="宋体" w:cs="宋体"/>
                <w:b/>
                <w:sz w:val="21"/>
                <w:szCs w:val="21"/>
              </w:rPr>
            </w:pPr>
            <w:r>
              <w:rPr>
                <w:rFonts w:hint="eastAsia" w:ascii="宋体" w:hAnsi="宋体" w:eastAsia="宋体" w:cs="宋体"/>
                <w:b/>
                <w:sz w:val="21"/>
                <w:szCs w:val="21"/>
                <w:lang w:val="en-US" w:eastAsia="zh-CN"/>
              </w:rPr>
              <w:t>分项单价最高限价</w:t>
            </w:r>
          </w:p>
        </w:tc>
      </w:tr>
      <w:tr w14:paraId="6150E5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48" w:hRule="atLeast"/>
          <w:jc w:val="center"/>
        </w:trPr>
        <w:tc>
          <w:tcPr>
            <w:tcW w:w="381" w:type="pct"/>
            <w:noWrap w:val="0"/>
            <w:vAlign w:val="center"/>
          </w:tcPr>
          <w:p w14:paraId="5A3FA171">
            <w:pPr>
              <w:pStyle w:val="62"/>
              <w:keepNext w:val="0"/>
              <w:keepLines w:val="0"/>
              <w:pageBreakBefore w:val="0"/>
              <w:widowControl/>
              <w:kinsoku/>
              <w:wordWrap/>
              <w:overflowPunct/>
              <w:topLinePunct w:val="0"/>
              <w:bidi w:val="0"/>
              <w:snapToGrid/>
              <w:spacing w:line="360" w:lineRule="auto"/>
              <w:jc w:val="center"/>
              <w:rPr>
                <w:rFonts w:hint="eastAsia" w:ascii="宋体" w:hAnsi="宋体" w:eastAsia="宋体" w:cs="宋体"/>
                <w:sz w:val="21"/>
                <w:szCs w:val="21"/>
              </w:rPr>
            </w:pPr>
            <w:r>
              <w:rPr>
                <w:rFonts w:hint="eastAsia" w:ascii="宋体" w:hAnsi="宋体" w:eastAsia="宋体" w:cs="宋体"/>
                <w:w w:val="99"/>
                <w:sz w:val="21"/>
                <w:szCs w:val="21"/>
              </w:rPr>
              <w:t>1</w:t>
            </w:r>
          </w:p>
        </w:tc>
        <w:tc>
          <w:tcPr>
            <w:tcW w:w="2460" w:type="pct"/>
            <w:noWrap w:val="0"/>
            <w:vAlign w:val="center"/>
          </w:tcPr>
          <w:p w14:paraId="68C9C168">
            <w:pPr>
              <w:pStyle w:val="62"/>
              <w:keepNext w:val="0"/>
              <w:keepLines w:val="0"/>
              <w:pageBreakBefore w:val="0"/>
              <w:widowControl/>
              <w:kinsoku/>
              <w:wordWrap/>
              <w:overflowPunct/>
              <w:topLinePunct w:val="0"/>
              <w:bidi w:val="0"/>
              <w:snapToGrid/>
              <w:spacing w:line="360" w:lineRule="auto"/>
              <w:jc w:val="left"/>
              <w:rPr>
                <w:rFonts w:hint="eastAsia" w:ascii="宋体" w:hAnsi="宋体" w:eastAsia="宋体" w:cs="宋体"/>
                <w:sz w:val="21"/>
                <w:szCs w:val="21"/>
              </w:rPr>
            </w:pPr>
            <w:r>
              <w:rPr>
                <w:rFonts w:hint="eastAsia" w:ascii="宋体" w:hAnsi="宋体" w:eastAsia="宋体" w:cs="宋体"/>
                <w:sz w:val="21"/>
                <w:szCs w:val="21"/>
              </w:rPr>
              <w:t>院本部（含医技楼</w:t>
            </w:r>
            <w:r>
              <w:rPr>
                <w:rFonts w:hint="eastAsia" w:ascii="宋体" w:hAnsi="宋体" w:eastAsia="宋体" w:cs="宋体"/>
                <w:color w:val="auto"/>
                <w:sz w:val="21"/>
                <w:szCs w:val="21"/>
              </w:rPr>
              <w:t>、</w:t>
            </w:r>
            <w:r>
              <w:rPr>
                <w:rFonts w:hint="eastAsia" w:ascii="宋体" w:hAnsi="宋体" w:eastAsia="宋体" w:cs="宋体"/>
                <w:color w:val="auto"/>
                <w:sz w:val="21"/>
                <w:szCs w:val="21"/>
                <w:lang w:eastAsia="zh-CN"/>
              </w:rPr>
              <w:t>国研中心</w:t>
            </w:r>
            <w:r>
              <w:rPr>
                <w:rFonts w:hint="eastAsia" w:ascii="宋体" w:hAnsi="宋体" w:eastAsia="宋体" w:cs="宋体"/>
                <w:sz w:val="21"/>
                <w:szCs w:val="21"/>
                <w:lang w:eastAsia="zh-CN"/>
              </w:rPr>
              <w:t>、皮肤眼科</w:t>
            </w:r>
            <w:r>
              <w:rPr>
                <w:rFonts w:hint="eastAsia" w:ascii="宋体" w:hAnsi="宋体" w:eastAsia="宋体" w:cs="宋体"/>
                <w:sz w:val="21"/>
                <w:szCs w:val="21"/>
              </w:rPr>
              <w:t>楼、行政楼、住院A、住院B、住院C、住院D、</w:t>
            </w:r>
            <w:r>
              <w:rPr>
                <w:rFonts w:hint="eastAsia" w:ascii="宋体" w:hAnsi="宋体" w:eastAsia="宋体" w:cs="宋体"/>
                <w:sz w:val="21"/>
                <w:szCs w:val="21"/>
                <w:lang w:eastAsia="zh-CN"/>
              </w:rPr>
              <w:t>住院</w:t>
            </w:r>
            <w:r>
              <w:rPr>
                <w:rFonts w:hint="eastAsia" w:ascii="宋体" w:hAnsi="宋体" w:eastAsia="宋体" w:cs="宋体"/>
                <w:sz w:val="21"/>
                <w:szCs w:val="21"/>
                <w:lang w:val="en-US" w:eastAsia="zh-CN"/>
              </w:rPr>
              <w:t>E、住院F、住院G、</w:t>
            </w:r>
            <w:r>
              <w:rPr>
                <w:rFonts w:hint="eastAsia" w:ascii="宋体" w:hAnsi="宋体" w:eastAsia="宋体" w:cs="宋体"/>
                <w:sz w:val="21"/>
                <w:szCs w:val="21"/>
              </w:rPr>
              <w:t>多功能厅、动物房</w:t>
            </w:r>
            <w:r>
              <w:rPr>
                <w:rFonts w:hint="eastAsia" w:ascii="宋体" w:hAnsi="宋体" w:eastAsia="宋体" w:cs="宋体"/>
                <w:sz w:val="21"/>
                <w:szCs w:val="21"/>
                <w:lang w:val="en-US" w:eastAsia="zh-CN"/>
              </w:rPr>
              <w:t>、应急院区配套宿舍</w:t>
            </w:r>
            <w:r>
              <w:rPr>
                <w:rFonts w:hint="eastAsia" w:ascii="宋体" w:hAnsi="宋体" w:eastAsia="宋体" w:cs="宋体"/>
                <w:sz w:val="21"/>
                <w:szCs w:val="21"/>
                <w:lang w:eastAsia="zh-CN"/>
              </w:rPr>
              <w:t>等</w:t>
            </w:r>
            <w:r>
              <w:rPr>
                <w:rFonts w:hint="eastAsia" w:ascii="宋体" w:hAnsi="宋体" w:eastAsia="宋体" w:cs="宋体"/>
                <w:sz w:val="21"/>
                <w:szCs w:val="21"/>
              </w:rPr>
              <w:t>）</w:t>
            </w:r>
          </w:p>
        </w:tc>
        <w:tc>
          <w:tcPr>
            <w:tcW w:w="1079" w:type="pct"/>
            <w:noWrap w:val="0"/>
            <w:vAlign w:val="center"/>
          </w:tcPr>
          <w:p w14:paraId="6376DD25">
            <w:pPr>
              <w:pStyle w:val="62"/>
              <w:keepNext w:val="0"/>
              <w:keepLines w:val="0"/>
              <w:pageBreakBefore w:val="0"/>
              <w:widowControl/>
              <w:kinsoku/>
              <w:wordWrap/>
              <w:overflowPunct/>
              <w:topLinePunct w:val="0"/>
              <w:bidi w:val="0"/>
              <w:snapToGrid/>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340543.92</w:t>
            </w:r>
          </w:p>
        </w:tc>
        <w:tc>
          <w:tcPr>
            <w:tcW w:w="1078" w:type="pct"/>
            <w:noWrap w:val="0"/>
            <w:vAlign w:val="center"/>
          </w:tcPr>
          <w:p w14:paraId="48A6184B">
            <w:pPr>
              <w:pStyle w:val="62"/>
              <w:keepNext w:val="0"/>
              <w:keepLines w:val="0"/>
              <w:pageBreakBefore w:val="0"/>
              <w:widowControl/>
              <w:tabs>
                <w:tab w:val="center" w:pos="1352"/>
                <w:tab w:val="right" w:pos="2480"/>
              </w:tabs>
              <w:kinsoku/>
              <w:wordWrap/>
              <w:overflowPunct/>
              <w:topLinePunct w:val="0"/>
              <w:bidi w:val="0"/>
              <w:snapToGrid/>
              <w:spacing w:line="360" w:lineRule="auto"/>
              <w:jc w:val="center"/>
              <w:rPr>
                <w:rFonts w:hint="default"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240000.00</w:t>
            </w:r>
          </w:p>
        </w:tc>
      </w:tr>
      <w:tr w14:paraId="726EB9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72" w:hRule="atLeast"/>
          <w:jc w:val="center"/>
        </w:trPr>
        <w:tc>
          <w:tcPr>
            <w:tcW w:w="381" w:type="pct"/>
            <w:noWrap w:val="0"/>
            <w:vAlign w:val="center"/>
          </w:tcPr>
          <w:p w14:paraId="1A6FBD2C">
            <w:pPr>
              <w:pStyle w:val="62"/>
              <w:keepNext w:val="0"/>
              <w:keepLines w:val="0"/>
              <w:pageBreakBefore w:val="0"/>
              <w:widowControl/>
              <w:kinsoku/>
              <w:wordWrap/>
              <w:overflowPunct/>
              <w:topLinePunct w:val="0"/>
              <w:bidi w:val="0"/>
              <w:snapToGrid/>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w:t>
            </w:r>
          </w:p>
        </w:tc>
        <w:tc>
          <w:tcPr>
            <w:tcW w:w="2460" w:type="pct"/>
            <w:noWrap w:val="0"/>
            <w:vAlign w:val="center"/>
          </w:tcPr>
          <w:p w14:paraId="1C809C95">
            <w:pPr>
              <w:pStyle w:val="62"/>
              <w:keepNext w:val="0"/>
              <w:keepLines w:val="0"/>
              <w:pageBreakBefore w:val="0"/>
              <w:widowControl/>
              <w:kinsoku/>
              <w:wordWrap/>
              <w:overflowPunct/>
              <w:topLinePunct w:val="0"/>
              <w:bidi w:val="0"/>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西院区</w:t>
            </w:r>
          </w:p>
        </w:tc>
        <w:tc>
          <w:tcPr>
            <w:tcW w:w="1079" w:type="pct"/>
            <w:noWrap w:val="0"/>
            <w:vAlign w:val="center"/>
          </w:tcPr>
          <w:p w14:paraId="08FAA07E">
            <w:pPr>
              <w:pStyle w:val="62"/>
              <w:keepNext w:val="0"/>
              <w:keepLines w:val="0"/>
              <w:pageBreakBefore w:val="0"/>
              <w:widowControl/>
              <w:kinsoku/>
              <w:wordWrap/>
              <w:overflowPunct/>
              <w:topLinePunct w:val="0"/>
              <w:bidi w:val="0"/>
              <w:snapToGrid/>
              <w:spacing w:line="360" w:lineRule="auto"/>
              <w:jc w:val="center"/>
              <w:rPr>
                <w:rFonts w:hint="eastAsia" w:ascii="宋体" w:hAnsi="宋体" w:eastAsia="宋体" w:cs="宋体"/>
                <w:sz w:val="21"/>
                <w:szCs w:val="21"/>
              </w:rPr>
            </w:pPr>
            <w:r>
              <w:rPr>
                <w:rFonts w:hint="eastAsia" w:ascii="宋体" w:hAnsi="宋体" w:eastAsia="宋体" w:cs="宋体"/>
                <w:sz w:val="21"/>
                <w:szCs w:val="21"/>
              </w:rPr>
              <w:t>59000</w:t>
            </w:r>
            <w:r>
              <w:rPr>
                <w:rFonts w:hint="eastAsia" w:ascii="宋体" w:hAnsi="宋体" w:eastAsia="宋体" w:cs="宋体"/>
                <w:color w:val="auto"/>
                <w:sz w:val="21"/>
                <w:szCs w:val="21"/>
                <w:lang w:val="en-US" w:eastAsia="zh-CN"/>
              </w:rPr>
              <w:t>.00</w:t>
            </w:r>
          </w:p>
        </w:tc>
        <w:tc>
          <w:tcPr>
            <w:tcW w:w="1078" w:type="pct"/>
            <w:noWrap w:val="0"/>
            <w:vAlign w:val="center"/>
          </w:tcPr>
          <w:p w14:paraId="58D6DAE4">
            <w:pPr>
              <w:pStyle w:val="62"/>
              <w:keepNext w:val="0"/>
              <w:keepLines w:val="0"/>
              <w:pageBreakBefore w:val="0"/>
              <w:widowControl/>
              <w:kinsoku/>
              <w:wordWrap/>
              <w:overflowPunct/>
              <w:topLinePunct w:val="0"/>
              <w:bidi w:val="0"/>
              <w:snapToGrid/>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26000</w:t>
            </w:r>
            <w:r>
              <w:rPr>
                <w:rFonts w:hint="eastAsia" w:ascii="宋体" w:hAnsi="宋体" w:eastAsia="宋体" w:cs="宋体"/>
                <w:color w:val="auto"/>
                <w:sz w:val="21"/>
                <w:szCs w:val="21"/>
                <w:lang w:val="en-US" w:eastAsia="zh-CN"/>
              </w:rPr>
              <w:t>.00</w:t>
            </w:r>
          </w:p>
        </w:tc>
      </w:tr>
      <w:tr w14:paraId="570A56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7" w:hRule="atLeast"/>
          <w:jc w:val="center"/>
        </w:trPr>
        <w:tc>
          <w:tcPr>
            <w:tcW w:w="381" w:type="pct"/>
            <w:noWrap w:val="0"/>
            <w:vAlign w:val="center"/>
          </w:tcPr>
          <w:p w14:paraId="12BA2554">
            <w:pPr>
              <w:pStyle w:val="62"/>
              <w:keepNext w:val="0"/>
              <w:keepLines w:val="0"/>
              <w:pageBreakBefore w:val="0"/>
              <w:widowControl/>
              <w:kinsoku/>
              <w:wordWrap/>
              <w:overflowPunct/>
              <w:topLinePunct w:val="0"/>
              <w:bidi w:val="0"/>
              <w:snapToGrid/>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w:t>
            </w:r>
          </w:p>
        </w:tc>
        <w:tc>
          <w:tcPr>
            <w:tcW w:w="2460" w:type="pct"/>
            <w:noWrap w:val="0"/>
            <w:vAlign w:val="center"/>
          </w:tcPr>
          <w:p w14:paraId="6370D4FF">
            <w:pPr>
              <w:pStyle w:val="62"/>
              <w:keepNext w:val="0"/>
              <w:keepLines w:val="0"/>
              <w:pageBreakBefore w:val="0"/>
              <w:widowControl/>
              <w:kinsoku/>
              <w:wordWrap/>
              <w:overflowPunct/>
              <w:topLinePunct w:val="0"/>
              <w:bidi w:val="0"/>
              <w:snapToGrid/>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H栋</w:t>
            </w:r>
          </w:p>
        </w:tc>
        <w:tc>
          <w:tcPr>
            <w:tcW w:w="1079" w:type="pct"/>
            <w:noWrap w:val="0"/>
            <w:vAlign w:val="center"/>
          </w:tcPr>
          <w:p w14:paraId="63FDBB2A">
            <w:pPr>
              <w:pStyle w:val="62"/>
              <w:keepNext w:val="0"/>
              <w:keepLines w:val="0"/>
              <w:pageBreakBefore w:val="0"/>
              <w:widowControl/>
              <w:kinsoku/>
              <w:wordWrap/>
              <w:overflowPunct/>
              <w:topLinePunct w:val="0"/>
              <w:bidi w:val="0"/>
              <w:snapToGrid/>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68664</w:t>
            </w:r>
            <w:r>
              <w:rPr>
                <w:rFonts w:hint="eastAsia" w:ascii="宋体" w:hAnsi="宋体" w:eastAsia="宋体" w:cs="宋体"/>
                <w:color w:val="auto"/>
                <w:sz w:val="21"/>
                <w:szCs w:val="21"/>
                <w:lang w:val="en-US" w:eastAsia="zh-CN"/>
              </w:rPr>
              <w:t>.00</w:t>
            </w:r>
          </w:p>
        </w:tc>
        <w:tc>
          <w:tcPr>
            <w:tcW w:w="1078" w:type="pct"/>
            <w:noWrap w:val="0"/>
            <w:vAlign w:val="center"/>
          </w:tcPr>
          <w:p w14:paraId="4E319593">
            <w:pPr>
              <w:pStyle w:val="62"/>
              <w:keepNext w:val="0"/>
              <w:keepLines w:val="0"/>
              <w:pageBreakBefore w:val="0"/>
              <w:widowControl/>
              <w:kinsoku/>
              <w:wordWrap/>
              <w:overflowPunct/>
              <w:topLinePunct w:val="0"/>
              <w:bidi w:val="0"/>
              <w:snapToGrid/>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46000</w:t>
            </w:r>
            <w:r>
              <w:rPr>
                <w:rFonts w:hint="eastAsia" w:ascii="宋体" w:hAnsi="宋体" w:eastAsia="宋体" w:cs="宋体"/>
                <w:color w:val="auto"/>
                <w:sz w:val="21"/>
                <w:szCs w:val="21"/>
                <w:lang w:val="en-US" w:eastAsia="zh-CN"/>
              </w:rPr>
              <w:t>.00</w:t>
            </w:r>
          </w:p>
        </w:tc>
      </w:tr>
      <w:tr w14:paraId="51299B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6" w:hRule="atLeast"/>
          <w:jc w:val="center"/>
        </w:trPr>
        <w:tc>
          <w:tcPr>
            <w:tcW w:w="381" w:type="pct"/>
            <w:noWrap w:val="0"/>
            <w:vAlign w:val="center"/>
          </w:tcPr>
          <w:p w14:paraId="171DFDD8">
            <w:pPr>
              <w:pStyle w:val="62"/>
              <w:keepNext w:val="0"/>
              <w:keepLines w:val="0"/>
              <w:pageBreakBefore w:val="0"/>
              <w:widowControl/>
              <w:kinsoku/>
              <w:wordWrap/>
              <w:overflowPunct/>
              <w:topLinePunct w:val="0"/>
              <w:bidi w:val="0"/>
              <w:snapToGrid/>
              <w:spacing w:line="360" w:lineRule="auto"/>
              <w:jc w:val="center"/>
              <w:rPr>
                <w:rFonts w:hint="eastAsia" w:ascii="宋体" w:hAnsi="宋体" w:eastAsia="宋体" w:cs="宋体"/>
                <w:w w:val="99"/>
                <w:sz w:val="21"/>
                <w:szCs w:val="21"/>
                <w:lang w:val="en-US" w:eastAsia="zh-CN"/>
              </w:rPr>
            </w:pPr>
            <w:r>
              <w:rPr>
                <w:rFonts w:hint="eastAsia" w:ascii="宋体" w:hAnsi="宋体" w:eastAsia="宋体" w:cs="宋体"/>
                <w:w w:val="99"/>
                <w:sz w:val="21"/>
                <w:szCs w:val="21"/>
                <w:lang w:val="en-US" w:eastAsia="zh-CN"/>
              </w:rPr>
              <w:t>4</w:t>
            </w:r>
          </w:p>
        </w:tc>
        <w:tc>
          <w:tcPr>
            <w:tcW w:w="2460" w:type="pct"/>
            <w:noWrap w:val="0"/>
            <w:vAlign w:val="center"/>
          </w:tcPr>
          <w:p w14:paraId="20611326">
            <w:pPr>
              <w:pStyle w:val="62"/>
              <w:keepNext w:val="0"/>
              <w:keepLines w:val="0"/>
              <w:pageBreakBefore w:val="0"/>
              <w:widowControl/>
              <w:kinsoku/>
              <w:wordWrap/>
              <w:overflowPunct/>
              <w:topLinePunct w:val="0"/>
              <w:bidi w:val="0"/>
              <w:snapToGrid/>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J栋</w:t>
            </w:r>
          </w:p>
        </w:tc>
        <w:tc>
          <w:tcPr>
            <w:tcW w:w="1079" w:type="pct"/>
            <w:noWrap w:val="0"/>
            <w:vAlign w:val="center"/>
          </w:tcPr>
          <w:p w14:paraId="506A76EA">
            <w:pPr>
              <w:pStyle w:val="62"/>
              <w:keepNext w:val="0"/>
              <w:keepLines w:val="0"/>
              <w:pageBreakBefore w:val="0"/>
              <w:widowControl/>
              <w:tabs>
                <w:tab w:val="center" w:pos="1352"/>
                <w:tab w:val="right" w:pos="2480"/>
              </w:tabs>
              <w:kinsoku/>
              <w:wordWrap/>
              <w:overflowPunct/>
              <w:topLinePunct w:val="0"/>
              <w:bidi w:val="0"/>
              <w:snapToGrid/>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53163</w:t>
            </w:r>
            <w:r>
              <w:rPr>
                <w:rFonts w:hint="eastAsia" w:ascii="宋体" w:hAnsi="宋体" w:eastAsia="宋体" w:cs="宋体"/>
                <w:color w:val="auto"/>
                <w:sz w:val="21"/>
                <w:szCs w:val="21"/>
                <w:lang w:val="en-US" w:eastAsia="zh-CN"/>
              </w:rPr>
              <w:t>.00</w:t>
            </w:r>
          </w:p>
        </w:tc>
        <w:tc>
          <w:tcPr>
            <w:tcW w:w="1078" w:type="pct"/>
            <w:noWrap w:val="0"/>
            <w:vAlign w:val="center"/>
          </w:tcPr>
          <w:p w14:paraId="559077C5">
            <w:pPr>
              <w:pStyle w:val="62"/>
              <w:keepNext w:val="0"/>
              <w:keepLines w:val="0"/>
              <w:pageBreakBefore w:val="0"/>
              <w:widowControl/>
              <w:tabs>
                <w:tab w:val="center" w:pos="1352"/>
                <w:tab w:val="right" w:pos="2480"/>
              </w:tabs>
              <w:kinsoku/>
              <w:wordWrap/>
              <w:overflowPunct/>
              <w:topLinePunct w:val="0"/>
              <w:bidi w:val="0"/>
              <w:snapToGrid/>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38000</w:t>
            </w:r>
            <w:r>
              <w:rPr>
                <w:rFonts w:hint="eastAsia" w:ascii="宋体" w:hAnsi="宋体" w:eastAsia="宋体" w:cs="宋体"/>
                <w:color w:val="auto"/>
                <w:sz w:val="21"/>
                <w:szCs w:val="21"/>
                <w:lang w:val="en-US" w:eastAsia="zh-CN"/>
              </w:rPr>
              <w:t>.00</w:t>
            </w:r>
          </w:p>
        </w:tc>
      </w:tr>
      <w:tr w14:paraId="142197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4" w:hRule="atLeast"/>
          <w:jc w:val="center"/>
        </w:trPr>
        <w:tc>
          <w:tcPr>
            <w:tcW w:w="2842" w:type="pct"/>
            <w:gridSpan w:val="2"/>
            <w:noWrap w:val="0"/>
            <w:vAlign w:val="center"/>
          </w:tcPr>
          <w:p w14:paraId="48882E15">
            <w:pPr>
              <w:pStyle w:val="62"/>
              <w:keepNext w:val="0"/>
              <w:keepLines w:val="0"/>
              <w:pageBreakBefore w:val="0"/>
              <w:widowControl/>
              <w:kinsoku/>
              <w:wordWrap/>
              <w:overflowPunct/>
              <w:topLinePunct w:val="0"/>
              <w:bidi w:val="0"/>
              <w:snapToGrid/>
              <w:spacing w:line="360" w:lineRule="auto"/>
              <w:jc w:val="center"/>
              <w:rPr>
                <w:rFonts w:hint="eastAsia" w:ascii="宋体" w:hAnsi="宋体" w:eastAsia="宋体" w:cs="宋体"/>
                <w:w w:val="99"/>
                <w:sz w:val="21"/>
                <w:szCs w:val="21"/>
              </w:rPr>
            </w:pPr>
            <w:r>
              <w:rPr>
                <w:rFonts w:hint="eastAsia" w:ascii="宋体" w:hAnsi="宋体" w:eastAsia="宋体" w:cs="宋体"/>
                <w:sz w:val="21"/>
                <w:szCs w:val="21"/>
                <w:lang w:val="en-US" w:eastAsia="zh-CN"/>
              </w:rPr>
              <w:t>合计最高限价</w:t>
            </w:r>
          </w:p>
        </w:tc>
        <w:tc>
          <w:tcPr>
            <w:tcW w:w="1079" w:type="pct"/>
            <w:noWrap w:val="0"/>
            <w:vAlign w:val="center"/>
          </w:tcPr>
          <w:p w14:paraId="75707923">
            <w:pPr>
              <w:pStyle w:val="62"/>
              <w:keepNext w:val="0"/>
              <w:keepLines w:val="0"/>
              <w:pageBreakBefore w:val="0"/>
              <w:widowControl/>
              <w:kinsoku/>
              <w:wordWrap/>
              <w:overflowPunct/>
              <w:topLinePunct w:val="0"/>
              <w:bidi w:val="0"/>
              <w:snapToGrid/>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521370.92</w:t>
            </w:r>
          </w:p>
        </w:tc>
        <w:tc>
          <w:tcPr>
            <w:tcW w:w="1078" w:type="pct"/>
            <w:noWrap w:val="0"/>
            <w:vAlign w:val="center"/>
          </w:tcPr>
          <w:p w14:paraId="65450982">
            <w:pPr>
              <w:pStyle w:val="62"/>
              <w:keepNext w:val="0"/>
              <w:keepLines w:val="0"/>
              <w:pageBreakBefore w:val="0"/>
              <w:widowControl/>
              <w:tabs>
                <w:tab w:val="center" w:pos="1352"/>
                <w:tab w:val="right" w:pos="2480"/>
              </w:tabs>
              <w:kinsoku/>
              <w:wordWrap/>
              <w:overflowPunct/>
              <w:topLinePunct w:val="0"/>
              <w:bidi w:val="0"/>
              <w:snapToGrid/>
              <w:spacing w:line="360" w:lineRule="auto"/>
              <w:jc w:val="center"/>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350000</w:t>
            </w:r>
            <w:r>
              <w:rPr>
                <w:rFonts w:hint="eastAsia" w:ascii="宋体" w:hAnsi="宋体" w:eastAsia="宋体" w:cs="宋体"/>
                <w:color w:val="auto"/>
                <w:sz w:val="21"/>
                <w:szCs w:val="21"/>
                <w:lang w:val="en-US" w:eastAsia="zh-CN"/>
              </w:rPr>
              <w:t>.00</w:t>
            </w:r>
          </w:p>
        </w:tc>
      </w:tr>
    </w:tbl>
    <w:p w14:paraId="4417C7B8">
      <w:pPr>
        <w:pStyle w:val="21"/>
        <w:keepNext w:val="0"/>
        <w:keepLines w:val="0"/>
        <w:pageBreakBefore w:val="0"/>
        <w:kinsoku/>
        <w:wordWrap/>
        <w:overflowPunct/>
        <w:topLinePunct w:val="0"/>
        <w:bidi w:val="0"/>
        <w:snapToGrid/>
        <w:spacing w:after="0" w:line="360" w:lineRule="auto"/>
        <w:ind w:left="0" w:leftChars="0" w:firstLine="422" w:firstLineChars="200"/>
        <w:jc w:val="left"/>
        <w:rPr>
          <w:rFonts w:hint="eastAsia" w:ascii="宋体" w:hAnsi="宋体" w:eastAsia="宋体" w:cs="宋体"/>
          <w:sz w:val="21"/>
          <w:szCs w:val="21"/>
          <w:lang w:val="en-US" w:eastAsia="zh-CN"/>
        </w:rPr>
      </w:pPr>
      <w:r>
        <w:rPr>
          <w:rFonts w:hint="eastAsia" w:ascii="宋体" w:hAnsi="宋体" w:eastAsia="宋体" w:cs="宋体"/>
          <w:b/>
          <w:bCs/>
          <w:sz w:val="21"/>
          <w:szCs w:val="21"/>
          <w:lang w:val="en-US" w:eastAsia="zh-CN"/>
        </w:rPr>
        <w:t>备注</w:t>
      </w:r>
      <w:r>
        <w:rPr>
          <w:rFonts w:hint="eastAsia" w:ascii="宋体" w:hAnsi="宋体" w:eastAsia="宋体" w:cs="宋体"/>
          <w:sz w:val="21"/>
          <w:szCs w:val="21"/>
          <w:lang w:val="en-US" w:eastAsia="zh-CN"/>
        </w:rPr>
        <w:t>：</w:t>
      </w:r>
      <w:r>
        <w:rPr>
          <w:rStyle w:val="60"/>
          <w:rFonts w:hint="eastAsia" w:ascii="宋体" w:hAnsi="宋体" w:eastAsia="宋体" w:cs="宋体"/>
          <w:sz w:val="21"/>
          <w:szCs w:val="21"/>
          <w:lang w:val="en-US" w:eastAsia="zh-CN"/>
        </w:rPr>
        <w:t>消杀费用按目前现有建筑面积按月结算，其中H栋、J栋、应急院区配套宿舍楼为正在建设中的楼</w:t>
      </w:r>
      <w:r>
        <w:rPr>
          <w:rFonts w:hint="eastAsia" w:ascii="宋体" w:hAnsi="宋体" w:eastAsia="宋体" w:cs="宋体"/>
          <w:sz w:val="21"/>
          <w:szCs w:val="21"/>
          <w:lang w:val="en-US" w:eastAsia="zh-CN"/>
        </w:rPr>
        <w:t>栋，乙方须根据甲方通知，按照实际投入使用时支付费用，西院区目前已全部断电，仅存放部分物资，目前该区域消杀频次为每周1次，</w:t>
      </w:r>
      <w:r>
        <w:rPr>
          <w:rStyle w:val="60"/>
          <w:rFonts w:hint="eastAsia" w:ascii="宋体" w:hAnsi="宋体" w:eastAsia="宋体" w:cs="宋体"/>
          <w:sz w:val="21"/>
          <w:szCs w:val="21"/>
          <w:lang w:val="en-US" w:eastAsia="zh-CN"/>
        </w:rPr>
        <w:t>后期若西院区不再使用，此部分消杀费用将不再支付。</w:t>
      </w:r>
    </w:p>
    <w:p w14:paraId="095905D5">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baseline"/>
        <w:rPr>
          <w:rStyle w:val="60"/>
          <w:rFonts w:hint="eastAsia" w:ascii="宋体" w:hAnsi="宋体" w:eastAsia="宋体" w:cs="宋体"/>
          <w:b/>
          <w:bCs/>
          <w:sz w:val="21"/>
          <w:szCs w:val="21"/>
        </w:rPr>
      </w:pPr>
      <w:r>
        <w:rPr>
          <w:rStyle w:val="60"/>
          <w:rFonts w:hint="eastAsia" w:ascii="宋体" w:hAnsi="宋体" w:eastAsia="宋体" w:cs="宋体"/>
          <w:b/>
          <w:bCs/>
          <w:sz w:val="21"/>
          <w:szCs w:val="21"/>
        </w:rPr>
        <w:t>（三）付款方式：</w:t>
      </w:r>
    </w:p>
    <w:p w14:paraId="0BAB9D33">
      <w:pPr>
        <w:keepNext w:val="0"/>
        <w:keepLines w:val="0"/>
        <w:pageBreakBefore w:val="0"/>
        <w:kinsoku/>
        <w:wordWrap/>
        <w:overflowPunct/>
        <w:topLinePunct w:val="0"/>
        <w:bidi w:val="0"/>
        <w:snapToGrid/>
        <w:spacing w:line="360" w:lineRule="auto"/>
        <w:ind w:firstLine="420" w:firstLineChars="200"/>
        <w:textAlignment w:val="baseline"/>
        <w:rPr>
          <w:rStyle w:val="60"/>
          <w:rFonts w:hint="eastAsia" w:ascii="宋体" w:hAnsi="宋体" w:eastAsia="宋体" w:cs="宋体"/>
          <w:sz w:val="21"/>
          <w:szCs w:val="21"/>
        </w:rPr>
      </w:pPr>
      <w:r>
        <w:rPr>
          <w:rStyle w:val="60"/>
          <w:rFonts w:hint="eastAsia" w:ascii="宋体" w:hAnsi="宋体" w:eastAsia="宋体" w:cs="宋体"/>
          <w:sz w:val="21"/>
          <w:szCs w:val="21"/>
        </w:rPr>
        <w:t>凭中标单位完税发票按月付款，院方根据服务满意度调查情况及考评部门考评情况，由院方签署付款凭证后，办理付款手续。服务费与考评情况的联系在合同中作具体规定。</w:t>
      </w:r>
    </w:p>
    <w:p w14:paraId="36786E56">
      <w:pPr>
        <w:keepNext w:val="0"/>
        <w:keepLines w:val="0"/>
        <w:pageBreakBefore w:val="0"/>
        <w:widowControl w:val="0"/>
        <w:kinsoku/>
        <w:wordWrap/>
        <w:overflowPunct/>
        <w:topLinePunct w:val="0"/>
        <w:autoSpaceDE/>
        <w:autoSpaceDN/>
        <w:bidi w:val="0"/>
        <w:adjustRightInd/>
        <w:snapToGrid/>
        <w:spacing w:line="360" w:lineRule="auto"/>
        <w:ind w:firstLine="0" w:firstLineChars="0"/>
        <w:textAlignment w:val="baseline"/>
        <w:rPr>
          <w:rStyle w:val="60"/>
          <w:rFonts w:hint="eastAsia" w:ascii="宋体" w:hAnsi="宋体" w:eastAsia="宋体" w:cs="宋体"/>
          <w:sz w:val="21"/>
          <w:szCs w:val="21"/>
        </w:rPr>
      </w:pPr>
      <w:bookmarkStart w:id="0" w:name="_GoBack"/>
      <w:r>
        <w:rPr>
          <w:rStyle w:val="60"/>
          <w:rFonts w:hint="eastAsia" w:ascii="宋体" w:hAnsi="宋体" w:eastAsia="宋体" w:cs="宋体"/>
          <w:b/>
          <w:bCs/>
          <w:sz w:val="21"/>
          <w:szCs w:val="21"/>
        </w:rPr>
        <w:t>（四）违约责任：</w:t>
      </w:r>
      <w:bookmarkEnd w:id="0"/>
    </w:p>
    <w:p w14:paraId="7029266E">
      <w:pPr>
        <w:keepNext w:val="0"/>
        <w:keepLines w:val="0"/>
        <w:pageBreakBefore w:val="0"/>
        <w:kinsoku/>
        <w:wordWrap/>
        <w:overflowPunct/>
        <w:topLinePunct w:val="0"/>
        <w:bidi w:val="0"/>
        <w:snapToGrid/>
        <w:spacing w:line="360" w:lineRule="auto"/>
        <w:ind w:firstLine="420" w:firstLineChars="200"/>
        <w:textAlignment w:val="baseline"/>
        <w:rPr>
          <w:rStyle w:val="60"/>
          <w:rFonts w:hint="eastAsia" w:ascii="宋体" w:hAnsi="宋体" w:eastAsia="宋体" w:cs="宋体"/>
          <w:sz w:val="21"/>
          <w:szCs w:val="21"/>
        </w:rPr>
      </w:pPr>
      <w:r>
        <w:rPr>
          <w:rStyle w:val="60"/>
          <w:rFonts w:hint="eastAsia" w:ascii="宋体" w:hAnsi="宋体" w:eastAsia="宋体" w:cs="宋体"/>
          <w:sz w:val="21"/>
          <w:szCs w:val="21"/>
        </w:rPr>
        <w:t>1.中标人在合同执行期间，须接受采购单位主管部门和采购单位的监管。服务项目不能达到采购单位要求，可延期支付服务费直至达到要求，项目服务费最终付费与病人及职工满意度、监测情况挂钩（监测不达标或满意度低于80%，应支付违约金。满意度在80%至60之间，按月合同款项10%标椎支付违约金；没有按规定监测或监测不达标或满意度低于60%，按月合同款项20%标椎支付违约金）。如最终不能改进达到院方服务要求，可终止委托管理合同并进行财务审计，由中标单位承担违约和赔偿责任。</w:t>
      </w:r>
    </w:p>
    <w:p w14:paraId="2115D6D3">
      <w:pPr>
        <w:keepNext w:val="0"/>
        <w:keepLines w:val="0"/>
        <w:pageBreakBefore w:val="0"/>
        <w:kinsoku/>
        <w:wordWrap/>
        <w:overflowPunct/>
        <w:topLinePunct w:val="0"/>
        <w:bidi w:val="0"/>
        <w:snapToGrid/>
        <w:spacing w:line="360" w:lineRule="auto"/>
        <w:ind w:firstLine="420" w:firstLineChars="200"/>
        <w:textAlignment w:val="baseline"/>
        <w:rPr>
          <w:rStyle w:val="60"/>
          <w:rFonts w:hint="eastAsia" w:ascii="宋体" w:hAnsi="宋体" w:eastAsia="宋体" w:cs="宋体"/>
          <w:sz w:val="21"/>
          <w:szCs w:val="21"/>
        </w:rPr>
      </w:pPr>
      <w:r>
        <w:rPr>
          <w:rStyle w:val="60"/>
          <w:rFonts w:hint="eastAsia" w:ascii="宋体" w:hAnsi="宋体" w:eastAsia="宋体" w:cs="宋体"/>
          <w:sz w:val="21"/>
          <w:szCs w:val="21"/>
        </w:rPr>
        <w:t>2.中标人不得自行将项目分包给其他单位。</w:t>
      </w:r>
    </w:p>
    <w:p w14:paraId="70D24A62">
      <w:pPr>
        <w:keepNext w:val="0"/>
        <w:keepLines w:val="0"/>
        <w:pageBreakBefore w:val="0"/>
        <w:kinsoku/>
        <w:wordWrap/>
        <w:overflowPunct/>
        <w:topLinePunct w:val="0"/>
        <w:bidi w:val="0"/>
        <w:snapToGrid/>
        <w:spacing w:line="360" w:lineRule="auto"/>
        <w:ind w:firstLine="420" w:firstLineChars="200"/>
        <w:textAlignment w:val="baseline"/>
        <w:rPr>
          <w:rStyle w:val="60"/>
          <w:rFonts w:hint="eastAsia" w:ascii="宋体" w:hAnsi="宋体" w:eastAsia="宋体" w:cs="宋体"/>
          <w:sz w:val="21"/>
          <w:szCs w:val="21"/>
        </w:rPr>
      </w:pPr>
      <w:r>
        <w:rPr>
          <w:rStyle w:val="60"/>
          <w:rFonts w:hint="eastAsia" w:ascii="宋体" w:hAnsi="宋体" w:eastAsia="宋体" w:cs="宋体"/>
          <w:sz w:val="21"/>
          <w:szCs w:val="21"/>
        </w:rPr>
        <w:t>3.中标人需自行为项目人员购买工伤保险或人身意外保险，项目服务人员和车辆在服务期间发生的自身损害，均由中标人自行承担，采购人不负有任何责任。</w:t>
      </w:r>
    </w:p>
    <w:p w14:paraId="6D4F48CF">
      <w:pPr>
        <w:keepNext w:val="0"/>
        <w:keepLines w:val="0"/>
        <w:pageBreakBefore w:val="0"/>
        <w:widowControl w:val="0"/>
        <w:kinsoku/>
        <w:wordWrap/>
        <w:overflowPunct/>
        <w:topLinePunct w:val="0"/>
        <w:autoSpaceDE/>
        <w:autoSpaceDN/>
        <w:bidi w:val="0"/>
        <w:adjustRightInd/>
        <w:snapToGrid/>
        <w:spacing w:line="360" w:lineRule="auto"/>
        <w:ind w:left="0" w:firstLine="420" w:firstLineChars="200"/>
        <w:jc w:val="left"/>
        <w:textAlignment w:val="auto"/>
        <w:rPr>
          <w:rFonts w:hint="eastAsia" w:ascii="宋体" w:hAnsi="宋体" w:eastAsia="宋体" w:cs="宋体"/>
          <w:b w:val="0"/>
          <w:bCs/>
          <w:color w:val="auto"/>
          <w:sz w:val="21"/>
          <w:szCs w:val="21"/>
        </w:rPr>
      </w:pPr>
      <w:r>
        <w:rPr>
          <w:rStyle w:val="60"/>
          <w:rFonts w:hint="eastAsia" w:ascii="宋体" w:hAnsi="宋体" w:eastAsia="宋体" w:cs="宋体"/>
          <w:sz w:val="21"/>
          <w:szCs w:val="21"/>
        </w:rPr>
        <w:t>4.中标人防制作业过程中对医院或其他第三方造成损害的，应承担赔偿责任。</w:t>
      </w:r>
    </w:p>
    <w:sectPr>
      <w:footerReference r:id="rId5" w:type="first"/>
      <w:headerReference r:id="rId3" w:type="default"/>
      <w:footerReference r:id="rId4" w:type="default"/>
      <w:pgSz w:w="11906" w:h="16838"/>
      <w:pgMar w:top="1440" w:right="1800" w:bottom="1440" w:left="1800" w:header="851" w:footer="992" w:gutter="0"/>
      <w:pgBorders>
        <w:top w:val="none" w:sz="0" w:space="0"/>
        <w:left w:val="none" w:sz="0" w:space="0"/>
        <w:bottom w:val="none" w:sz="0" w:space="0"/>
        <w:right w:val="none" w:sz="0" w:space="0"/>
      </w:pgBorders>
      <w:cols w:space="425" w:num="1"/>
      <w:titlePg/>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H Yb 2gj">
    <w:altName w:val="黑体"/>
    <w:panose1 w:val="00000000000000000000"/>
    <w:charset w:val="86"/>
    <w:family w:val="auto"/>
    <w:pitch w:val="default"/>
    <w:sig w:usb0="00000000" w:usb1="00000000" w:usb2="00000010" w:usb3="00000000" w:csb0="00040000" w:csb1="00000000"/>
  </w:font>
  <w:font w:name="Arial Unicode MS">
    <w:altName w:val="宋体"/>
    <w:panose1 w:val="020B0604020202020204"/>
    <w:charset w:val="86"/>
    <w:family w:val="swiss"/>
    <w:pitch w:val="default"/>
    <w:sig w:usb0="00000000" w:usb1="00000000" w:usb2="0000003F" w:usb3="00000000" w:csb0="003F01FF" w:csb1="00000000"/>
  </w:font>
  <w:font w:name="长城仿宋">
    <w:altName w:val="黑体"/>
    <w:panose1 w:val="00000000000000000000"/>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032002"/>
      <w:docPartObj>
        <w:docPartGallery w:val="autotext"/>
      </w:docPartObj>
    </w:sdtPr>
    <w:sdtContent>
      <w:p w14:paraId="6BF5143B">
        <w:pPr>
          <w:pStyle w:val="14"/>
          <w:jc w:val="center"/>
        </w:pPr>
        <w:r>
          <w:fldChar w:fldCharType="begin"/>
        </w:r>
        <w:r>
          <w:instrText xml:space="preserve"> PAGE   \* MERGEFORMAT </w:instrText>
        </w:r>
        <w:r>
          <w:fldChar w:fldCharType="separate"/>
        </w:r>
        <w:r>
          <w:rPr>
            <w:lang w:val="zh-CN"/>
          </w:rPr>
          <w:t>6</w:t>
        </w:r>
        <w:r>
          <w:rPr>
            <w:lang w:val="zh-CN"/>
          </w:rPr>
          <w:fldChar w:fldCharType="end"/>
        </w:r>
      </w:p>
    </w:sdtContent>
  </w:sdt>
  <w:p w14:paraId="04829997">
    <w:pPr>
      <w:pStyle w:val="1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032003"/>
      <w:docPartObj>
        <w:docPartGallery w:val="autotext"/>
      </w:docPartObj>
    </w:sdtPr>
    <w:sdtContent>
      <w:p w14:paraId="34D04A62">
        <w:pPr>
          <w:pStyle w:val="14"/>
          <w:jc w:val="center"/>
        </w:pPr>
      </w:p>
    </w:sdtContent>
  </w:sdt>
  <w:p w14:paraId="7FA61508">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9786B8">
    <w:pPr>
      <w:pStyle w:val="16"/>
      <w:jc w:val="left"/>
      <w:rPr>
        <w:rFonts w:hint="default" w:eastAsia="宋体"/>
        <w:lang w:val="en-US" w:eastAsia="zh-C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2E42CC"/>
    <w:multiLevelType w:val="multilevel"/>
    <w:tmpl w:val="062E42CC"/>
    <w:lvl w:ilvl="0" w:tentative="0">
      <w:start w:val="1"/>
      <w:numFmt w:val="bullet"/>
      <w:pStyle w:val="55"/>
      <w:lvlText w:val=""/>
      <w:lvlJc w:val="left"/>
      <w:pPr>
        <w:tabs>
          <w:tab w:val="left" w:pos="839"/>
        </w:tabs>
        <w:ind w:left="840" w:hanging="420"/>
      </w:pPr>
      <w:rPr>
        <w:rFonts w:hint="default" w:ascii="Wingdings" w:hAnsi="Wingdings"/>
      </w:rPr>
    </w:lvl>
    <w:lvl w:ilvl="1" w:tentative="0">
      <w:start w:val="1"/>
      <w:numFmt w:val="lowerLetter"/>
      <w:lvlText w:val="%2)"/>
      <w:lvlJc w:val="left"/>
      <w:pPr>
        <w:ind w:left="1260" w:hanging="420"/>
      </w:pPr>
      <w:rPr>
        <w:rFonts w:hint="default"/>
      </w:rPr>
    </w:lvl>
    <w:lvl w:ilvl="2" w:tentative="0">
      <w:start w:val="1"/>
      <w:numFmt w:val="lowerRoman"/>
      <w:lvlText w:val="%3."/>
      <w:lvlJc w:val="right"/>
      <w:pPr>
        <w:ind w:left="1680" w:hanging="420"/>
      </w:pPr>
      <w:rPr>
        <w:rFonts w:hint="default"/>
      </w:rPr>
    </w:lvl>
    <w:lvl w:ilvl="3" w:tentative="0">
      <w:start w:val="1"/>
      <w:numFmt w:val="decimal"/>
      <w:lvlText w:val="%4."/>
      <w:lvlJc w:val="left"/>
      <w:pPr>
        <w:ind w:left="2100" w:hanging="420"/>
      </w:pPr>
      <w:rPr>
        <w:rFonts w:hint="default"/>
      </w:rPr>
    </w:lvl>
    <w:lvl w:ilvl="4" w:tentative="0">
      <w:start w:val="1"/>
      <w:numFmt w:val="lowerLetter"/>
      <w:lvlText w:val="%5)"/>
      <w:lvlJc w:val="left"/>
      <w:pPr>
        <w:ind w:left="2520" w:hanging="420"/>
      </w:pPr>
      <w:rPr>
        <w:rFonts w:hint="default"/>
      </w:rPr>
    </w:lvl>
    <w:lvl w:ilvl="5" w:tentative="0">
      <w:start w:val="1"/>
      <w:numFmt w:val="lowerRoman"/>
      <w:lvlText w:val="%6."/>
      <w:lvlJc w:val="right"/>
      <w:pPr>
        <w:ind w:left="2940" w:hanging="420"/>
      </w:pPr>
      <w:rPr>
        <w:rFonts w:hint="default"/>
      </w:rPr>
    </w:lvl>
    <w:lvl w:ilvl="6" w:tentative="0">
      <w:start w:val="1"/>
      <w:numFmt w:val="decimal"/>
      <w:lvlText w:val="%7."/>
      <w:lvlJc w:val="left"/>
      <w:pPr>
        <w:ind w:left="3360" w:hanging="420"/>
      </w:pPr>
      <w:rPr>
        <w:rFonts w:hint="default"/>
      </w:rPr>
    </w:lvl>
    <w:lvl w:ilvl="7" w:tentative="0">
      <w:start w:val="1"/>
      <w:numFmt w:val="lowerLetter"/>
      <w:lvlText w:val="%8)"/>
      <w:lvlJc w:val="left"/>
      <w:pPr>
        <w:ind w:left="3780" w:hanging="420"/>
      </w:pPr>
      <w:rPr>
        <w:rFonts w:hint="default"/>
      </w:rPr>
    </w:lvl>
    <w:lvl w:ilvl="8" w:tentative="0">
      <w:start w:val="1"/>
      <w:numFmt w:val="lowerRoman"/>
      <w:lvlText w:val="%9."/>
      <w:lvlJc w:val="right"/>
      <w:pPr>
        <w:ind w:left="4200" w:hanging="42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2"/>
  </w:compat>
  <w:docVars>
    <w:docVar w:name="commondata" w:val="eyJoZGlkIjoiMzNiN2JjZGQwODQzNTVmMDg4ZGNmNzRhYmJlZDY2YTUifQ=="/>
  </w:docVars>
  <w:rsids>
    <w:rsidRoot w:val="00081812"/>
    <w:rsid w:val="00000DEE"/>
    <w:rsid w:val="00000F62"/>
    <w:rsid w:val="00000FB1"/>
    <w:rsid w:val="0000490F"/>
    <w:rsid w:val="00007ECB"/>
    <w:rsid w:val="00010E98"/>
    <w:rsid w:val="000111D4"/>
    <w:rsid w:val="0001133A"/>
    <w:rsid w:val="000159CF"/>
    <w:rsid w:val="000176BA"/>
    <w:rsid w:val="0002500E"/>
    <w:rsid w:val="0002675A"/>
    <w:rsid w:val="00027833"/>
    <w:rsid w:val="000309C1"/>
    <w:rsid w:val="00031BF4"/>
    <w:rsid w:val="00032DB0"/>
    <w:rsid w:val="0003579A"/>
    <w:rsid w:val="00036165"/>
    <w:rsid w:val="00037412"/>
    <w:rsid w:val="000375B9"/>
    <w:rsid w:val="00037D52"/>
    <w:rsid w:val="00050AB0"/>
    <w:rsid w:val="00050F57"/>
    <w:rsid w:val="0005394E"/>
    <w:rsid w:val="00053B8A"/>
    <w:rsid w:val="000550D9"/>
    <w:rsid w:val="00055193"/>
    <w:rsid w:val="00056E7C"/>
    <w:rsid w:val="000600D8"/>
    <w:rsid w:val="00060560"/>
    <w:rsid w:val="000614D2"/>
    <w:rsid w:val="0006220B"/>
    <w:rsid w:val="00063194"/>
    <w:rsid w:val="0006778F"/>
    <w:rsid w:val="000679AB"/>
    <w:rsid w:val="00072F2B"/>
    <w:rsid w:val="00075875"/>
    <w:rsid w:val="00076401"/>
    <w:rsid w:val="000771B0"/>
    <w:rsid w:val="00080FB8"/>
    <w:rsid w:val="00081812"/>
    <w:rsid w:val="00081C0F"/>
    <w:rsid w:val="000851F4"/>
    <w:rsid w:val="00086549"/>
    <w:rsid w:val="000875D3"/>
    <w:rsid w:val="00094345"/>
    <w:rsid w:val="00094CF9"/>
    <w:rsid w:val="000A02CF"/>
    <w:rsid w:val="000A103E"/>
    <w:rsid w:val="000A2045"/>
    <w:rsid w:val="000B12D8"/>
    <w:rsid w:val="000B3159"/>
    <w:rsid w:val="000B44BC"/>
    <w:rsid w:val="000B7A52"/>
    <w:rsid w:val="000C05F3"/>
    <w:rsid w:val="000C2FC4"/>
    <w:rsid w:val="000C4E01"/>
    <w:rsid w:val="000C7610"/>
    <w:rsid w:val="000C7E05"/>
    <w:rsid w:val="000D1227"/>
    <w:rsid w:val="000D16E0"/>
    <w:rsid w:val="000D3053"/>
    <w:rsid w:val="000D3DAD"/>
    <w:rsid w:val="000D4339"/>
    <w:rsid w:val="000D4C91"/>
    <w:rsid w:val="000D6CAD"/>
    <w:rsid w:val="000D74FE"/>
    <w:rsid w:val="000E1731"/>
    <w:rsid w:val="000E2AAA"/>
    <w:rsid w:val="000E41B3"/>
    <w:rsid w:val="000E647C"/>
    <w:rsid w:val="000E6F68"/>
    <w:rsid w:val="000F4536"/>
    <w:rsid w:val="000F47BD"/>
    <w:rsid w:val="000F5214"/>
    <w:rsid w:val="000F5791"/>
    <w:rsid w:val="001017A2"/>
    <w:rsid w:val="0010276A"/>
    <w:rsid w:val="001036FB"/>
    <w:rsid w:val="0010378A"/>
    <w:rsid w:val="00103A07"/>
    <w:rsid w:val="00103BD6"/>
    <w:rsid w:val="00103D0B"/>
    <w:rsid w:val="00103E57"/>
    <w:rsid w:val="00105AE0"/>
    <w:rsid w:val="001071FF"/>
    <w:rsid w:val="001075BE"/>
    <w:rsid w:val="0011046C"/>
    <w:rsid w:val="0011120F"/>
    <w:rsid w:val="00112047"/>
    <w:rsid w:val="001120AB"/>
    <w:rsid w:val="00113460"/>
    <w:rsid w:val="00113EC5"/>
    <w:rsid w:val="0011733C"/>
    <w:rsid w:val="001206C4"/>
    <w:rsid w:val="00120905"/>
    <w:rsid w:val="00120A80"/>
    <w:rsid w:val="00120DDA"/>
    <w:rsid w:val="00122482"/>
    <w:rsid w:val="001224CA"/>
    <w:rsid w:val="001235DF"/>
    <w:rsid w:val="001253C1"/>
    <w:rsid w:val="001300A8"/>
    <w:rsid w:val="001307EF"/>
    <w:rsid w:val="00130FFD"/>
    <w:rsid w:val="00131B9B"/>
    <w:rsid w:val="00132409"/>
    <w:rsid w:val="00132477"/>
    <w:rsid w:val="00134941"/>
    <w:rsid w:val="00135348"/>
    <w:rsid w:val="0013568E"/>
    <w:rsid w:val="0013577A"/>
    <w:rsid w:val="0013596A"/>
    <w:rsid w:val="001451A4"/>
    <w:rsid w:val="0015310D"/>
    <w:rsid w:val="0015356C"/>
    <w:rsid w:val="00155BE9"/>
    <w:rsid w:val="0015652F"/>
    <w:rsid w:val="0016076C"/>
    <w:rsid w:val="001618C7"/>
    <w:rsid w:val="00165708"/>
    <w:rsid w:val="00166E7A"/>
    <w:rsid w:val="001713CD"/>
    <w:rsid w:val="00174A8D"/>
    <w:rsid w:val="00176A0E"/>
    <w:rsid w:val="0018134E"/>
    <w:rsid w:val="00182643"/>
    <w:rsid w:val="001830D7"/>
    <w:rsid w:val="00185010"/>
    <w:rsid w:val="001850C4"/>
    <w:rsid w:val="001906D1"/>
    <w:rsid w:val="0019175D"/>
    <w:rsid w:val="00192E27"/>
    <w:rsid w:val="00194B76"/>
    <w:rsid w:val="00197685"/>
    <w:rsid w:val="0019777D"/>
    <w:rsid w:val="001A0D90"/>
    <w:rsid w:val="001A0EB6"/>
    <w:rsid w:val="001A1302"/>
    <w:rsid w:val="001A4995"/>
    <w:rsid w:val="001A529F"/>
    <w:rsid w:val="001B026C"/>
    <w:rsid w:val="001B0736"/>
    <w:rsid w:val="001B14D5"/>
    <w:rsid w:val="001B4B65"/>
    <w:rsid w:val="001B4C23"/>
    <w:rsid w:val="001C0532"/>
    <w:rsid w:val="001C0CCF"/>
    <w:rsid w:val="001C1FFB"/>
    <w:rsid w:val="001D3874"/>
    <w:rsid w:val="001D6198"/>
    <w:rsid w:val="001D6B2F"/>
    <w:rsid w:val="001D6CCA"/>
    <w:rsid w:val="001D7A7C"/>
    <w:rsid w:val="001E1BC7"/>
    <w:rsid w:val="001E398A"/>
    <w:rsid w:val="001E3C4F"/>
    <w:rsid w:val="001E4745"/>
    <w:rsid w:val="001E48C9"/>
    <w:rsid w:val="001E5169"/>
    <w:rsid w:val="001E60D1"/>
    <w:rsid w:val="001E6EA6"/>
    <w:rsid w:val="001E7031"/>
    <w:rsid w:val="001F0977"/>
    <w:rsid w:val="001F2061"/>
    <w:rsid w:val="001F259A"/>
    <w:rsid w:val="001F2D31"/>
    <w:rsid w:val="001F3E52"/>
    <w:rsid w:val="001F52C4"/>
    <w:rsid w:val="001F5A31"/>
    <w:rsid w:val="00201022"/>
    <w:rsid w:val="00204553"/>
    <w:rsid w:val="00207834"/>
    <w:rsid w:val="00211E1C"/>
    <w:rsid w:val="002131F0"/>
    <w:rsid w:val="002134C1"/>
    <w:rsid w:val="00213858"/>
    <w:rsid w:val="002140DF"/>
    <w:rsid w:val="002151EE"/>
    <w:rsid w:val="00215F43"/>
    <w:rsid w:val="00216C79"/>
    <w:rsid w:val="002172FA"/>
    <w:rsid w:val="00223218"/>
    <w:rsid w:val="00223C0E"/>
    <w:rsid w:val="002244FB"/>
    <w:rsid w:val="0022493F"/>
    <w:rsid w:val="002259B7"/>
    <w:rsid w:val="00226BD7"/>
    <w:rsid w:val="00230218"/>
    <w:rsid w:val="002304B2"/>
    <w:rsid w:val="00234AB5"/>
    <w:rsid w:val="00235A7C"/>
    <w:rsid w:val="00235E71"/>
    <w:rsid w:val="002366EC"/>
    <w:rsid w:val="00240B70"/>
    <w:rsid w:val="00241247"/>
    <w:rsid w:val="00241A35"/>
    <w:rsid w:val="00244EDA"/>
    <w:rsid w:val="002463C2"/>
    <w:rsid w:val="0024707D"/>
    <w:rsid w:val="00251EE6"/>
    <w:rsid w:val="00252A0E"/>
    <w:rsid w:val="00256F3C"/>
    <w:rsid w:val="002579AC"/>
    <w:rsid w:val="0026095A"/>
    <w:rsid w:val="00261E10"/>
    <w:rsid w:val="00262836"/>
    <w:rsid w:val="00266448"/>
    <w:rsid w:val="002666B6"/>
    <w:rsid w:val="00267F2E"/>
    <w:rsid w:val="00270AB4"/>
    <w:rsid w:val="0027125F"/>
    <w:rsid w:val="0027386D"/>
    <w:rsid w:val="00273CE7"/>
    <w:rsid w:val="00280004"/>
    <w:rsid w:val="00280295"/>
    <w:rsid w:val="00281900"/>
    <w:rsid w:val="00282D0F"/>
    <w:rsid w:val="00284440"/>
    <w:rsid w:val="00285487"/>
    <w:rsid w:val="00290049"/>
    <w:rsid w:val="0029092A"/>
    <w:rsid w:val="00290A37"/>
    <w:rsid w:val="00291A31"/>
    <w:rsid w:val="0029352A"/>
    <w:rsid w:val="00293E95"/>
    <w:rsid w:val="00294665"/>
    <w:rsid w:val="00297D1B"/>
    <w:rsid w:val="002A06F5"/>
    <w:rsid w:val="002A3990"/>
    <w:rsid w:val="002A3CF6"/>
    <w:rsid w:val="002A5275"/>
    <w:rsid w:val="002A78DB"/>
    <w:rsid w:val="002B11F2"/>
    <w:rsid w:val="002C12B1"/>
    <w:rsid w:val="002C3E2A"/>
    <w:rsid w:val="002C54D8"/>
    <w:rsid w:val="002C5F7F"/>
    <w:rsid w:val="002D285F"/>
    <w:rsid w:val="002D51A5"/>
    <w:rsid w:val="002D6413"/>
    <w:rsid w:val="002D78BD"/>
    <w:rsid w:val="002D7BEA"/>
    <w:rsid w:val="002E071E"/>
    <w:rsid w:val="002E23B1"/>
    <w:rsid w:val="002E3E90"/>
    <w:rsid w:val="002E3F94"/>
    <w:rsid w:val="002E4814"/>
    <w:rsid w:val="002E5B12"/>
    <w:rsid w:val="002E6738"/>
    <w:rsid w:val="002F0946"/>
    <w:rsid w:val="002F0E71"/>
    <w:rsid w:val="002F30E6"/>
    <w:rsid w:val="002F49D2"/>
    <w:rsid w:val="002F5D8F"/>
    <w:rsid w:val="002F5DF7"/>
    <w:rsid w:val="003007E9"/>
    <w:rsid w:val="00300F63"/>
    <w:rsid w:val="00302A03"/>
    <w:rsid w:val="00303151"/>
    <w:rsid w:val="0030484B"/>
    <w:rsid w:val="00305E56"/>
    <w:rsid w:val="00306415"/>
    <w:rsid w:val="00312539"/>
    <w:rsid w:val="00312A7C"/>
    <w:rsid w:val="00315ABB"/>
    <w:rsid w:val="003165DD"/>
    <w:rsid w:val="00320E9C"/>
    <w:rsid w:val="00321AB6"/>
    <w:rsid w:val="00321C69"/>
    <w:rsid w:val="00324BEB"/>
    <w:rsid w:val="00325DC4"/>
    <w:rsid w:val="0032699D"/>
    <w:rsid w:val="00331CBE"/>
    <w:rsid w:val="00331F0C"/>
    <w:rsid w:val="003344DE"/>
    <w:rsid w:val="0033607F"/>
    <w:rsid w:val="003366C3"/>
    <w:rsid w:val="0033717B"/>
    <w:rsid w:val="00341029"/>
    <w:rsid w:val="00341DF6"/>
    <w:rsid w:val="00342E35"/>
    <w:rsid w:val="0034412F"/>
    <w:rsid w:val="003467AA"/>
    <w:rsid w:val="00347DED"/>
    <w:rsid w:val="00350427"/>
    <w:rsid w:val="00351589"/>
    <w:rsid w:val="0035266A"/>
    <w:rsid w:val="003533CB"/>
    <w:rsid w:val="00354170"/>
    <w:rsid w:val="00357198"/>
    <w:rsid w:val="00360E2B"/>
    <w:rsid w:val="00362130"/>
    <w:rsid w:val="00362685"/>
    <w:rsid w:val="00362FDA"/>
    <w:rsid w:val="0036371B"/>
    <w:rsid w:val="00363840"/>
    <w:rsid w:val="00363D01"/>
    <w:rsid w:val="00364104"/>
    <w:rsid w:val="00365175"/>
    <w:rsid w:val="00365C3E"/>
    <w:rsid w:val="00365C92"/>
    <w:rsid w:val="00366870"/>
    <w:rsid w:val="00367676"/>
    <w:rsid w:val="003679CE"/>
    <w:rsid w:val="00370059"/>
    <w:rsid w:val="00371507"/>
    <w:rsid w:val="00373358"/>
    <w:rsid w:val="003734A9"/>
    <w:rsid w:val="003749D0"/>
    <w:rsid w:val="00375504"/>
    <w:rsid w:val="00380BF7"/>
    <w:rsid w:val="003817C2"/>
    <w:rsid w:val="003821BD"/>
    <w:rsid w:val="003961A8"/>
    <w:rsid w:val="00397B90"/>
    <w:rsid w:val="003A0AF8"/>
    <w:rsid w:val="003A12B6"/>
    <w:rsid w:val="003A2361"/>
    <w:rsid w:val="003A3825"/>
    <w:rsid w:val="003A3C1C"/>
    <w:rsid w:val="003A45DB"/>
    <w:rsid w:val="003A6687"/>
    <w:rsid w:val="003B0701"/>
    <w:rsid w:val="003B09EB"/>
    <w:rsid w:val="003B1F2D"/>
    <w:rsid w:val="003B2517"/>
    <w:rsid w:val="003B3548"/>
    <w:rsid w:val="003B43AA"/>
    <w:rsid w:val="003B480F"/>
    <w:rsid w:val="003B72A9"/>
    <w:rsid w:val="003B73C7"/>
    <w:rsid w:val="003C007A"/>
    <w:rsid w:val="003C09AC"/>
    <w:rsid w:val="003C3302"/>
    <w:rsid w:val="003C34EB"/>
    <w:rsid w:val="003C450F"/>
    <w:rsid w:val="003C49B8"/>
    <w:rsid w:val="003C5421"/>
    <w:rsid w:val="003C5430"/>
    <w:rsid w:val="003C73B6"/>
    <w:rsid w:val="003D00F6"/>
    <w:rsid w:val="003D4C25"/>
    <w:rsid w:val="003D6A99"/>
    <w:rsid w:val="003D7227"/>
    <w:rsid w:val="003D76AD"/>
    <w:rsid w:val="003E21AD"/>
    <w:rsid w:val="003E2E33"/>
    <w:rsid w:val="003E35A8"/>
    <w:rsid w:val="003E6702"/>
    <w:rsid w:val="003E7DA3"/>
    <w:rsid w:val="003F2113"/>
    <w:rsid w:val="003F35A5"/>
    <w:rsid w:val="003F3EE1"/>
    <w:rsid w:val="003F54E0"/>
    <w:rsid w:val="003F5A49"/>
    <w:rsid w:val="003F68EA"/>
    <w:rsid w:val="003F7B83"/>
    <w:rsid w:val="00400065"/>
    <w:rsid w:val="00414963"/>
    <w:rsid w:val="00415251"/>
    <w:rsid w:val="0041630C"/>
    <w:rsid w:val="004168DC"/>
    <w:rsid w:val="00416F7A"/>
    <w:rsid w:val="0042116F"/>
    <w:rsid w:val="00421DAD"/>
    <w:rsid w:val="004222E0"/>
    <w:rsid w:val="00422693"/>
    <w:rsid w:val="00422A55"/>
    <w:rsid w:val="00422C44"/>
    <w:rsid w:val="0042569B"/>
    <w:rsid w:val="0042757A"/>
    <w:rsid w:val="00427866"/>
    <w:rsid w:val="004278A7"/>
    <w:rsid w:val="0043223F"/>
    <w:rsid w:val="004338CE"/>
    <w:rsid w:val="00435AA6"/>
    <w:rsid w:val="004430A5"/>
    <w:rsid w:val="0044367E"/>
    <w:rsid w:val="004443E7"/>
    <w:rsid w:val="004501AD"/>
    <w:rsid w:val="00450263"/>
    <w:rsid w:val="0045273A"/>
    <w:rsid w:val="00453647"/>
    <w:rsid w:val="00454FF9"/>
    <w:rsid w:val="00457E2E"/>
    <w:rsid w:val="00460AA2"/>
    <w:rsid w:val="00462399"/>
    <w:rsid w:val="004625C3"/>
    <w:rsid w:val="00465C8A"/>
    <w:rsid w:val="00466085"/>
    <w:rsid w:val="0046668A"/>
    <w:rsid w:val="00466DE8"/>
    <w:rsid w:val="00476772"/>
    <w:rsid w:val="004807D8"/>
    <w:rsid w:val="004858C4"/>
    <w:rsid w:val="0048606B"/>
    <w:rsid w:val="00486360"/>
    <w:rsid w:val="004870E5"/>
    <w:rsid w:val="00487AC8"/>
    <w:rsid w:val="00490108"/>
    <w:rsid w:val="00492994"/>
    <w:rsid w:val="00492ED3"/>
    <w:rsid w:val="00492EE9"/>
    <w:rsid w:val="0049371D"/>
    <w:rsid w:val="0049518C"/>
    <w:rsid w:val="00496E36"/>
    <w:rsid w:val="004A008B"/>
    <w:rsid w:val="004A2A14"/>
    <w:rsid w:val="004A3574"/>
    <w:rsid w:val="004A3D8F"/>
    <w:rsid w:val="004A3ED8"/>
    <w:rsid w:val="004A44E9"/>
    <w:rsid w:val="004A4D27"/>
    <w:rsid w:val="004A760C"/>
    <w:rsid w:val="004B3011"/>
    <w:rsid w:val="004B3C41"/>
    <w:rsid w:val="004B3E4E"/>
    <w:rsid w:val="004B5B22"/>
    <w:rsid w:val="004B5B8D"/>
    <w:rsid w:val="004B702D"/>
    <w:rsid w:val="004B7A5D"/>
    <w:rsid w:val="004C01E3"/>
    <w:rsid w:val="004C0510"/>
    <w:rsid w:val="004C1824"/>
    <w:rsid w:val="004C1F8C"/>
    <w:rsid w:val="004C27A2"/>
    <w:rsid w:val="004C2C97"/>
    <w:rsid w:val="004C3BFC"/>
    <w:rsid w:val="004C4655"/>
    <w:rsid w:val="004C5A96"/>
    <w:rsid w:val="004C71FD"/>
    <w:rsid w:val="004D21F9"/>
    <w:rsid w:val="004D2D87"/>
    <w:rsid w:val="004D3C88"/>
    <w:rsid w:val="004D3EFD"/>
    <w:rsid w:val="004D6C39"/>
    <w:rsid w:val="004E0D3B"/>
    <w:rsid w:val="004E30ED"/>
    <w:rsid w:val="004E4D52"/>
    <w:rsid w:val="004E6514"/>
    <w:rsid w:val="004F0013"/>
    <w:rsid w:val="004F037B"/>
    <w:rsid w:val="004F1964"/>
    <w:rsid w:val="004F1E55"/>
    <w:rsid w:val="004F2741"/>
    <w:rsid w:val="004F2C86"/>
    <w:rsid w:val="004F4A43"/>
    <w:rsid w:val="004F57EA"/>
    <w:rsid w:val="004F5A1F"/>
    <w:rsid w:val="0050673A"/>
    <w:rsid w:val="00507910"/>
    <w:rsid w:val="005115F1"/>
    <w:rsid w:val="00513405"/>
    <w:rsid w:val="00517508"/>
    <w:rsid w:val="00524AB5"/>
    <w:rsid w:val="00530955"/>
    <w:rsid w:val="00530EBB"/>
    <w:rsid w:val="00531594"/>
    <w:rsid w:val="005339CE"/>
    <w:rsid w:val="0053469D"/>
    <w:rsid w:val="0053608D"/>
    <w:rsid w:val="00536394"/>
    <w:rsid w:val="00536771"/>
    <w:rsid w:val="0054086A"/>
    <w:rsid w:val="00541912"/>
    <w:rsid w:val="00541962"/>
    <w:rsid w:val="00542267"/>
    <w:rsid w:val="00544A1E"/>
    <w:rsid w:val="005454F7"/>
    <w:rsid w:val="00545A1D"/>
    <w:rsid w:val="00546FF3"/>
    <w:rsid w:val="00547A36"/>
    <w:rsid w:val="00552EA1"/>
    <w:rsid w:val="0055628A"/>
    <w:rsid w:val="00556603"/>
    <w:rsid w:val="00562A80"/>
    <w:rsid w:val="005659BA"/>
    <w:rsid w:val="00571031"/>
    <w:rsid w:val="00571D74"/>
    <w:rsid w:val="00574D07"/>
    <w:rsid w:val="00581D61"/>
    <w:rsid w:val="00583965"/>
    <w:rsid w:val="0058457D"/>
    <w:rsid w:val="00584C51"/>
    <w:rsid w:val="0059165F"/>
    <w:rsid w:val="00594812"/>
    <w:rsid w:val="00597492"/>
    <w:rsid w:val="005977CD"/>
    <w:rsid w:val="005A198A"/>
    <w:rsid w:val="005A2D99"/>
    <w:rsid w:val="005A556A"/>
    <w:rsid w:val="005A657A"/>
    <w:rsid w:val="005B1387"/>
    <w:rsid w:val="005B39F5"/>
    <w:rsid w:val="005B3CF3"/>
    <w:rsid w:val="005B6672"/>
    <w:rsid w:val="005B67E4"/>
    <w:rsid w:val="005B7AB9"/>
    <w:rsid w:val="005C038C"/>
    <w:rsid w:val="005C1F40"/>
    <w:rsid w:val="005C26E6"/>
    <w:rsid w:val="005C297C"/>
    <w:rsid w:val="005C50DE"/>
    <w:rsid w:val="005C669E"/>
    <w:rsid w:val="005C6BAF"/>
    <w:rsid w:val="005C79AB"/>
    <w:rsid w:val="005D0E62"/>
    <w:rsid w:val="005D120E"/>
    <w:rsid w:val="005E0B51"/>
    <w:rsid w:val="005E3AA1"/>
    <w:rsid w:val="005E3DDF"/>
    <w:rsid w:val="005E5481"/>
    <w:rsid w:val="005E5539"/>
    <w:rsid w:val="005E6047"/>
    <w:rsid w:val="005F13C2"/>
    <w:rsid w:val="005F37DF"/>
    <w:rsid w:val="005F3B95"/>
    <w:rsid w:val="005F559B"/>
    <w:rsid w:val="00600A83"/>
    <w:rsid w:val="00600F48"/>
    <w:rsid w:val="006013DE"/>
    <w:rsid w:val="00601E13"/>
    <w:rsid w:val="006025E7"/>
    <w:rsid w:val="00602A6E"/>
    <w:rsid w:val="00606E51"/>
    <w:rsid w:val="006110AC"/>
    <w:rsid w:val="0061385D"/>
    <w:rsid w:val="00614ECA"/>
    <w:rsid w:val="00615303"/>
    <w:rsid w:val="006163F2"/>
    <w:rsid w:val="00622721"/>
    <w:rsid w:val="0062393E"/>
    <w:rsid w:val="00624117"/>
    <w:rsid w:val="00624500"/>
    <w:rsid w:val="00626FA9"/>
    <w:rsid w:val="00627FC7"/>
    <w:rsid w:val="00630A1C"/>
    <w:rsid w:val="00632887"/>
    <w:rsid w:val="00634058"/>
    <w:rsid w:val="00634059"/>
    <w:rsid w:val="006340B5"/>
    <w:rsid w:val="00635984"/>
    <w:rsid w:val="00636C5D"/>
    <w:rsid w:val="00640096"/>
    <w:rsid w:val="00641597"/>
    <w:rsid w:val="0064227E"/>
    <w:rsid w:val="00645DC0"/>
    <w:rsid w:val="00653A3C"/>
    <w:rsid w:val="00660043"/>
    <w:rsid w:val="0067037C"/>
    <w:rsid w:val="006705E0"/>
    <w:rsid w:val="0067192F"/>
    <w:rsid w:val="0067283C"/>
    <w:rsid w:val="00673498"/>
    <w:rsid w:val="00673BA6"/>
    <w:rsid w:val="0067485A"/>
    <w:rsid w:val="00674B85"/>
    <w:rsid w:val="006755C2"/>
    <w:rsid w:val="0067661F"/>
    <w:rsid w:val="00680CAD"/>
    <w:rsid w:val="00681F30"/>
    <w:rsid w:val="00682B9C"/>
    <w:rsid w:val="00683D71"/>
    <w:rsid w:val="00683EB7"/>
    <w:rsid w:val="006857DF"/>
    <w:rsid w:val="0068713A"/>
    <w:rsid w:val="006907D5"/>
    <w:rsid w:val="00690FBE"/>
    <w:rsid w:val="00691E45"/>
    <w:rsid w:val="0069583C"/>
    <w:rsid w:val="00697BC5"/>
    <w:rsid w:val="006A535A"/>
    <w:rsid w:val="006A7A1E"/>
    <w:rsid w:val="006B752A"/>
    <w:rsid w:val="006B797B"/>
    <w:rsid w:val="006B7F97"/>
    <w:rsid w:val="006C1097"/>
    <w:rsid w:val="006C3937"/>
    <w:rsid w:val="006C57C7"/>
    <w:rsid w:val="006C5E75"/>
    <w:rsid w:val="006C7615"/>
    <w:rsid w:val="006D0B4B"/>
    <w:rsid w:val="006D0B9C"/>
    <w:rsid w:val="006D0CD7"/>
    <w:rsid w:val="006D0DE8"/>
    <w:rsid w:val="006D125F"/>
    <w:rsid w:val="006D5AD5"/>
    <w:rsid w:val="006D609F"/>
    <w:rsid w:val="006E0808"/>
    <w:rsid w:val="006E0C83"/>
    <w:rsid w:val="006E0F6E"/>
    <w:rsid w:val="006E26F4"/>
    <w:rsid w:val="006E3ACC"/>
    <w:rsid w:val="006E561B"/>
    <w:rsid w:val="006E7E40"/>
    <w:rsid w:val="006F0048"/>
    <w:rsid w:val="006F1F29"/>
    <w:rsid w:val="006F6DFA"/>
    <w:rsid w:val="00701BFA"/>
    <w:rsid w:val="007031AC"/>
    <w:rsid w:val="007045A7"/>
    <w:rsid w:val="007056CF"/>
    <w:rsid w:val="00706C72"/>
    <w:rsid w:val="007101BF"/>
    <w:rsid w:val="00710E18"/>
    <w:rsid w:val="00711D73"/>
    <w:rsid w:val="00712437"/>
    <w:rsid w:val="00712AB9"/>
    <w:rsid w:val="00712FBB"/>
    <w:rsid w:val="007202B8"/>
    <w:rsid w:val="007204CB"/>
    <w:rsid w:val="007234AB"/>
    <w:rsid w:val="00723F16"/>
    <w:rsid w:val="007264E7"/>
    <w:rsid w:val="00731470"/>
    <w:rsid w:val="0073473A"/>
    <w:rsid w:val="00734C96"/>
    <w:rsid w:val="00734FEE"/>
    <w:rsid w:val="00737D97"/>
    <w:rsid w:val="007421A3"/>
    <w:rsid w:val="007458E4"/>
    <w:rsid w:val="007516CF"/>
    <w:rsid w:val="00753B18"/>
    <w:rsid w:val="00755A42"/>
    <w:rsid w:val="00757231"/>
    <w:rsid w:val="00761B09"/>
    <w:rsid w:val="0076307E"/>
    <w:rsid w:val="00765D7F"/>
    <w:rsid w:val="00772F41"/>
    <w:rsid w:val="0077521B"/>
    <w:rsid w:val="007811AB"/>
    <w:rsid w:val="00785AEF"/>
    <w:rsid w:val="00785E4F"/>
    <w:rsid w:val="0078680E"/>
    <w:rsid w:val="007928C7"/>
    <w:rsid w:val="00793E36"/>
    <w:rsid w:val="00794D26"/>
    <w:rsid w:val="007A0AF9"/>
    <w:rsid w:val="007A1673"/>
    <w:rsid w:val="007A47D0"/>
    <w:rsid w:val="007A538E"/>
    <w:rsid w:val="007A7D08"/>
    <w:rsid w:val="007B0FAF"/>
    <w:rsid w:val="007B2F12"/>
    <w:rsid w:val="007B58FB"/>
    <w:rsid w:val="007B6079"/>
    <w:rsid w:val="007B6A98"/>
    <w:rsid w:val="007B7EE3"/>
    <w:rsid w:val="007C035E"/>
    <w:rsid w:val="007C0EC0"/>
    <w:rsid w:val="007C1898"/>
    <w:rsid w:val="007C6BBE"/>
    <w:rsid w:val="007C75FA"/>
    <w:rsid w:val="007D00B9"/>
    <w:rsid w:val="007D4329"/>
    <w:rsid w:val="007D4552"/>
    <w:rsid w:val="007D57B6"/>
    <w:rsid w:val="007D759B"/>
    <w:rsid w:val="007E1CC4"/>
    <w:rsid w:val="007E2D0F"/>
    <w:rsid w:val="007E2D1B"/>
    <w:rsid w:val="007E3507"/>
    <w:rsid w:val="007E377A"/>
    <w:rsid w:val="007E422B"/>
    <w:rsid w:val="007F139E"/>
    <w:rsid w:val="007F5B57"/>
    <w:rsid w:val="0080097C"/>
    <w:rsid w:val="00801B99"/>
    <w:rsid w:val="00803317"/>
    <w:rsid w:val="008036E6"/>
    <w:rsid w:val="008050C5"/>
    <w:rsid w:val="00812D80"/>
    <w:rsid w:val="00814E6B"/>
    <w:rsid w:val="00816305"/>
    <w:rsid w:val="0082240A"/>
    <w:rsid w:val="00822F18"/>
    <w:rsid w:val="008237AE"/>
    <w:rsid w:val="00830F5F"/>
    <w:rsid w:val="00831DA8"/>
    <w:rsid w:val="008338E9"/>
    <w:rsid w:val="0083456A"/>
    <w:rsid w:val="00837E5D"/>
    <w:rsid w:val="008400A9"/>
    <w:rsid w:val="00844881"/>
    <w:rsid w:val="00845DA7"/>
    <w:rsid w:val="0085078C"/>
    <w:rsid w:val="00851111"/>
    <w:rsid w:val="0085139E"/>
    <w:rsid w:val="00851BAA"/>
    <w:rsid w:val="00854839"/>
    <w:rsid w:val="00860209"/>
    <w:rsid w:val="00861447"/>
    <w:rsid w:val="00862F1A"/>
    <w:rsid w:val="008636CF"/>
    <w:rsid w:val="00863E78"/>
    <w:rsid w:val="0086541B"/>
    <w:rsid w:val="008659ED"/>
    <w:rsid w:val="00867868"/>
    <w:rsid w:val="00867964"/>
    <w:rsid w:val="00871FDA"/>
    <w:rsid w:val="00875E76"/>
    <w:rsid w:val="008760F4"/>
    <w:rsid w:val="00876C9B"/>
    <w:rsid w:val="00880E46"/>
    <w:rsid w:val="00884EE0"/>
    <w:rsid w:val="00885021"/>
    <w:rsid w:val="008857F3"/>
    <w:rsid w:val="0089097C"/>
    <w:rsid w:val="008913F6"/>
    <w:rsid w:val="008915C8"/>
    <w:rsid w:val="00891BB5"/>
    <w:rsid w:val="0089442D"/>
    <w:rsid w:val="008978BC"/>
    <w:rsid w:val="008A00DE"/>
    <w:rsid w:val="008A1135"/>
    <w:rsid w:val="008A5579"/>
    <w:rsid w:val="008B23ED"/>
    <w:rsid w:val="008B3CF6"/>
    <w:rsid w:val="008B6E3E"/>
    <w:rsid w:val="008C22C3"/>
    <w:rsid w:val="008C2872"/>
    <w:rsid w:val="008C4E93"/>
    <w:rsid w:val="008C5331"/>
    <w:rsid w:val="008D1C6E"/>
    <w:rsid w:val="008D487D"/>
    <w:rsid w:val="008D589B"/>
    <w:rsid w:val="008D5F36"/>
    <w:rsid w:val="008D6F39"/>
    <w:rsid w:val="008D74D8"/>
    <w:rsid w:val="008E0196"/>
    <w:rsid w:val="008E4A5E"/>
    <w:rsid w:val="008E4EA6"/>
    <w:rsid w:val="008E5BEA"/>
    <w:rsid w:val="008E61CF"/>
    <w:rsid w:val="008E66A7"/>
    <w:rsid w:val="008E7B94"/>
    <w:rsid w:val="008F0027"/>
    <w:rsid w:val="008F13F4"/>
    <w:rsid w:val="008F2248"/>
    <w:rsid w:val="008F429A"/>
    <w:rsid w:val="008F4885"/>
    <w:rsid w:val="008F69B0"/>
    <w:rsid w:val="008F6DFC"/>
    <w:rsid w:val="00900FA9"/>
    <w:rsid w:val="0090175B"/>
    <w:rsid w:val="0090254E"/>
    <w:rsid w:val="0090397D"/>
    <w:rsid w:val="00903B8A"/>
    <w:rsid w:val="009071AD"/>
    <w:rsid w:val="00911D77"/>
    <w:rsid w:val="00914D80"/>
    <w:rsid w:val="00915C0A"/>
    <w:rsid w:val="00916C61"/>
    <w:rsid w:val="00920BE6"/>
    <w:rsid w:val="00920D54"/>
    <w:rsid w:val="00922E91"/>
    <w:rsid w:val="009253A2"/>
    <w:rsid w:val="009260F9"/>
    <w:rsid w:val="009328BD"/>
    <w:rsid w:val="0093469C"/>
    <w:rsid w:val="009360EA"/>
    <w:rsid w:val="00940D53"/>
    <w:rsid w:val="00942081"/>
    <w:rsid w:val="009447BD"/>
    <w:rsid w:val="00944876"/>
    <w:rsid w:val="00945F75"/>
    <w:rsid w:val="00950D6C"/>
    <w:rsid w:val="00952B8F"/>
    <w:rsid w:val="00953321"/>
    <w:rsid w:val="00955935"/>
    <w:rsid w:val="00956877"/>
    <w:rsid w:val="009574EE"/>
    <w:rsid w:val="00957C3F"/>
    <w:rsid w:val="009630AF"/>
    <w:rsid w:val="00964F16"/>
    <w:rsid w:val="0096690F"/>
    <w:rsid w:val="0096729D"/>
    <w:rsid w:val="00970692"/>
    <w:rsid w:val="00971686"/>
    <w:rsid w:val="00973845"/>
    <w:rsid w:val="009743E5"/>
    <w:rsid w:val="0097620C"/>
    <w:rsid w:val="0097647D"/>
    <w:rsid w:val="00983A52"/>
    <w:rsid w:val="00984B13"/>
    <w:rsid w:val="00986AE7"/>
    <w:rsid w:val="00987773"/>
    <w:rsid w:val="00987A32"/>
    <w:rsid w:val="00993600"/>
    <w:rsid w:val="0099428B"/>
    <w:rsid w:val="00997D11"/>
    <w:rsid w:val="009A0A96"/>
    <w:rsid w:val="009A1D8B"/>
    <w:rsid w:val="009A2498"/>
    <w:rsid w:val="009A271D"/>
    <w:rsid w:val="009A44F9"/>
    <w:rsid w:val="009A64A6"/>
    <w:rsid w:val="009A70D5"/>
    <w:rsid w:val="009B10B0"/>
    <w:rsid w:val="009B2507"/>
    <w:rsid w:val="009B2E8E"/>
    <w:rsid w:val="009B3004"/>
    <w:rsid w:val="009B348C"/>
    <w:rsid w:val="009B5293"/>
    <w:rsid w:val="009B6EAF"/>
    <w:rsid w:val="009B7712"/>
    <w:rsid w:val="009C0636"/>
    <w:rsid w:val="009C08BA"/>
    <w:rsid w:val="009C4B87"/>
    <w:rsid w:val="009C6F32"/>
    <w:rsid w:val="009C797B"/>
    <w:rsid w:val="009D02E8"/>
    <w:rsid w:val="009D0C05"/>
    <w:rsid w:val="009D2987"/>
    <w:rsid w:val="009D4274"/>
    <w:rsid w:val="009D461F"/>
    <w:rsid w:val="009D5D74"/>
    <w:rsid w:val="009D622C"/>
    <w:rsid w:val="009E1268"/>
    <w:rsid w:val="009E5716"/>
    <w:rsid w:val="009E61F7"/>
    <w:rsid w:val="009E708C"/>
    <w:rsid w:val="009E7B3D"/>
    <w:rsid w:val="009E7BE7"/>
    <w:rsid w:val="009E7EB2"/>
    <w:rsid w:val="009F145D"/>
    <w:rsid w:val="009F17D1"/>
    <w:rsid w:val="009F7CAB"/>
    <w:rsid w:val="00A00D15"/>
    <w:rsid w:val="00A011F7"/>
    <w:rsid w:val="00A02E6E"/>
    <w:rsid w:val="00A03F22"/>
    <w:rsid w:val="00A05B28"/>
    <w:rsid w:val="00A064C9"/>
    <w:rsid w:val="00A0662C"/>
    <w:rsid w:val="00A12624"/>
    <w:rsid w:val="00A1407B"/>
    <w:rsid w:val="00A14B13"/>
    <w:rsid w:val="00A14B40"/>
    <w:rsid w:val="00A15BF3"/>
    <w:rsid w:val="00A17FEB"/>
    <w:rsid w:val="00A20772"/>
    <w:rsid w:val="00A214C8"/>
    <w:rsid w:val="00A21567"/>
    <w:rsid w:val="00A215C7"/>
    <w:rsid w:val="00A223D3"/>
    <w:rsid w:val="00A24B13"/>
    <w:rsid w:val="00A30451"/>
    <w:rsid w:val="00A3148A"/>
    <w:rsid w:val="00A31B46"/>
    <w:rsid w:val="00A324AB"/>
    <w:rsid w:val="00A34E09"/>
    <w:rsid w:val="00A34F55"/>
    <w:rsid w:val="00A35B35"/>
    <w:rsid w:val="00A4004C"/>
    <w:rsid w:val="00A44A6C"/>
    <w:rsid w:val="00A44E5B"/>
    <w:rsid w:val="00A45819"/>
    <w:rsid w:val="00A4687A"/>
    <w:rsid w:val="00A46D17"/>
    <w:rsid w:val="00A47C08"/>
    <w:rsid w:val="00A52F47"/>
    <w:rsid w:val="00A54695"/>
    <w:rsid w:val="00A54D83"/>
    <w:rsid w:val="00A61176"/>
    <w:rsid w:val="00A61F5C"/>
    <w:rsid w:val="00A63384"/>
    <w:rsid w:val="00A71631"/>
    <w:rsid w:val="00A71754"/>
    <w:rsid w:val="00A717E7"/>
    <w:rsid w:val="00A71EDB"/>
    <w:rsid w:val="00A74152"/>
    <w:rsid w:val="00A76A28"/>
    <w:rsid w:val="00A81A62"/>
    <w:rsid w:val="00A8284E"/>
    <w:rsid w:val="00A82DC6"/>
    <w:rsid w:val="00A83243"/>
    <w:rsid w:val="00A83CC9"/>
    <w:rsid w:val="00A8789C"/>
    <w:rsid w:val="00A90111"/>
    <w:rsid w:val="00A91528"/>
    <w:rsid w:val="00A95196"/>
    <w:rsid w:val="00A9738A"/>
    <w:rsid w:val="00AA1EFF"/>
    <w:rsid w:val="00AA5115"/>
    <w:rsid w:val="00AA70DF"/>
    <w:rsid w:val="00AA7241"/>
    <w:rsid w:val="00AB14C7"/>
    <w:rsid w:val="00AB2264"/>
    <w:rsid w:val="00AB4E47"/>
    <w:rsid w:val="00AB67F7"/>
    <w:rsid w:val="00AC0715"/>
    <w:rsid w:val="00AC146C"/>
    <w:rsid w:val="00AC1BA8"/>
    <w:rsid w:val="00AC1F76"/>
    <w:rsid w:val="00AC2615"/>
    <w:rsid w:val="00AC5AB5"/>
    <w:rsid w:val="00AC64D8"/>
    <w:rsid w:val="00AD0AF6"/>
    <w:rsid w:val="00AD12D2"/>
    <w:rsid w:val="00AD1729"/>
    <w:rsid w:val="00AD1C00"/>
    <w:rsid w:val="00AD2774"/>
    <w:rsid w:val="00AD3BAE"/>
    <w:rsid w:val="00AD5261"/>
    <w:rsid w:val="00AE2CB2"/>
    <w:rsid w:val="00AE357A"/>
    <w:rsid w:val="00AE38B2"/>
    <w:rsid w:val="00AE5A4E"/>
    <w:rsid w:val="00AE76F9"/>
    <w:rsid w:val="00AF1F8B"/>
    <w:rsid w:val="00AF4117"/>
    <w:rsid w:val="00AF4295"/>
    <w:rsid w:val="00AF4B9E"/>
    <w:rsid w:val="00AF6636"/>
    <w:rsid w:val="00B11692"/>
    <w:rsid w:val="00B14116"/>
    <w:rsid w:val="00B1486E"/>
    <w:rsid w:val="00B159E2"/>
    <w:rsid w:val="00B15BDD"/>
    <w:rsid w:val="00B20443"/>
    <w:rsid w:val="00B214AB"/>
    <w:rsid w:val="00B22EB9"/>
    <w:rsid w:val="00B259CE"/>
    <w:rsid w:val="00B25B50"/>
    <w:rsid w:val="00B26510"/>
    <w:rsid w:val="00B30680"/>
    <w:rsid w:val="00B31DD7"/>
    <w:rsid w:val="00B32CAF"/>
    <w:rsid w:val="00B33432"/>
    <w:rsid w:val="00B336D5"/>
    <w:rsid w:val="00B35F18"/>
    <w:rsid w:val="00B3657C"/>
    <w:rsid w:val="00B42372"/>
    <w:rsid w:val="00B423A4"/>
    <w:rsid w:val="00B437D6"/>
    <w:rsid w:val="00B4446B"/>
    <w:rsid w:val="00B445C1"/>
    <w:rsid w:val="00B523FB"/>
    <w:rsid w:val="00B5525E"/>
    <w:rsid w:val="00B57726"/>
    <w:rsid w:val="00B63604"/>
    <w:rsid w:val="00B63CFC"/>
    <w:rsid w:val="00B63FA9"/>
    <w:rsid w:val="00B650CC"/>
    <w:rsid w:val="00B663D5"/>
    <w:rsid w:val="00B7078F"/>
    <w:rsid w:val="00B71457"/>
    <w:rsid w:val="00B73394"/>
    <w:rsid w:val="00B750BF"/>
    <w:rsid w:val="00B75217"/>
    <w:rsid w:val="00B75366"/>
    <w:rsid w:val="00B81AFD"/>
    <w:rsid w:val="00B83085"/>
    <w:rsid w:val="00B85442"/>
    <w:rsid w:val="00B85BF4"/>
    <w:rsid w:val="00B91090"/>
    <w:rsid w:val="00B926B7"/>
    <w:rsid w:val="00B94A3A"/>
    <w:rsid w:val="00B95094"/>
    <w:rsid w:val="00BB0F96"/>
    <w:rsid w:val="00BB12EA"/>
    <w:rsid w:val="00BB2F95"/>
    <w:rsid w:val="00BC2829"/>
    <w:rsid w:val="00BC4096"/>
    <w:rsid w:val="00BC60A9"/>
    <w:rsid w:val="00BC65BA"/>
    <w:rsid w:val="00BD55FE"/>
    <w:rsid w:val="00BE0383"/>
    <w:rsid w:val="00BE07A0"/>
    <w:rsid w:val="00BE0C7C"/>
    <w:rsid w:val="00BE1C3A"/>
    <w:rsid w:val="00BE70FF"/>
    <w:rsid w:val="00BF1079"/>
    <w:rsid w:val="00BF2768"/>
    <w:rsid w:val="00BF5859"/>
    <w:rsid w:val="00BF6DFF"/>
    <w:rsid w:val="00C00048"/>
    <w:rsid w:val="00C00239"/>
    <w:rsid w:val="00C012B8"/>
    <w:rsid w:val="00C11842"/>
    <w:rsid w:val="00C12994"/>
    <w:rsid w:val="00C1363B"/>
    <w:rsid w:val="00C14D24"/>
    <w:rsid w:val="00C1538F"/>
    <w:rsid w:val="00C15926"/>
    <w:rsid w:val="00C16139"/>
    <w:rsid w:val="00C17609"/>
    <w:rsid w:val="00C177ED"/>
    <w:rsid w:val="00C2265C"/>
    <w:rsid w:val="00C24E8F"/>
    <w:rsid w:val="00C25AB2"/>
    <w:rsid w:val="00C278A9"/>
    <w:rsid w:val="00C30985"/>
    <w:rsid w:val="00C3350C"/>
    <w:rsid w:val="00C33BB9"/>
    <w:rsid w:val="00C3464B"/>
    <w:rsid w:val="00C35140"/>
    <w:rsid w:val="00C35A34"/>
    <w:rsid w:val="00C367F2"/>
    <w:rsid w:val="00C3715A"/>
    <w:rsid w:val="00C3717F"/>
    <w:rsid w:val="00C408DA"/>
    <w:rsid w:val="00C421FF"/>
    <w:rsid w:val="00C425BE"/>
    <w:rsid w:val="00C44F2B"/>
    <w:rsid w:val="00C545D3"/>
    <w:rsid w:val="00C54A8C"/>
    <w:rsid w:val="00C5675C"/>
    <w:rsid w:val="00C61233"/>
    <w:rsid w:val="00C61911"/>
    <w:rsid w:val="00C627D8"/>
    <w:rsid w:val="00C62EB5"/>
    <w:rsid w:val="00C65EB9"/>
    <w:rsid w:val="00C718D9"/>
    <w:rsid w:val="00C72850"/>
    <w:rsid w:val="00C73632"/>
    <w:rsid w:val="00C75175"/>
    <w:rsid w:val="00C7543D"/>
    <w:rsid w:val="00C759F9"/>
    <w:rsid w:val="00C75CB7"/>
    <w:rsid w:val="00C777E7"/>
    <w:rsid w:val="00C81E92"/>
    <w:rsid w:val="00C82A83"/>
    <w:rsid w:val="00C91F28"/>
    <w:rsid w:val="00C92ED2"/>
    <w:rsid w:val="00C93239"/>
    <w:rsid w:val="00C94BF8"/>
    <w:rsid w:val="00C94F86"/>
    <w:rsid w:val="00CA180E"/>
    <w:rsid w:val="00CA23F1"/>
    <w:rsid w:val="00CA4DB3"/>
    <w:rsid w:val="00CA574E"/>
    <w:rsid w:val="00CA69FF"/>
    <w:rsid w:val="00CA7FEE"/>
    <w:rsid w:val="00CB0CBA"/>
    <w:rsid w:val="00CB11FA"/>
    <w:rsid w:val="00CC0F98"/>
    <w:rsid w:val="00CC1F38"/>
    <w:rsid w:val="00CC4D3B"/>
    <w:rsid w:val="00CC6328"/>
    <w:rsid w:val="00CC69B1"/>
    <w:rsid w:val="00CC7D94"/>
    <w:rsid w:val="00CD0996"/>
    <w:rsid w:val="00CD17D9"/>
    <w:rsid w:val="00CD218F"/>
    <w:rsid w:val="00CD417B"/>
    <w:rsid w:val="00CD4EA9"/>
    <w:rsid w:val="00CE0A40"/>
    <w:rsid w:val="00CE0C33"/>
    <w:rsid w:val="00CE2480"/>
    <w:rsid w:val="00CE3871"/>
    <w:rsid w:val="00CE39D5"/>
    <w:rsid w:val="00CE52D0"/>
    <w:rsid w:val="00CE7671"/>
    <w:rsid w:val="00CF1043"/>
    <w:rsid w:val="00CF1336"/>
    <w:rsid w:val="00CF2265"/>
    <w:rsid w:val="00CF38DA"/>
    <w:rsid w:val="00CF6B12"/>
    <w:rsid w:val="00CF6CA8"/>
    <w:rsid w:val="00CF797E"/>
    <w:rsid w:val="00CF7AF4"/>
    <w:rsid w:val="00CF7C9B"/>
    <w:rsid w:val="00D01079"/>
    <w:rsid w:val="00D02059"/>
    <w:rsid w:val="00D03B55"/>
    <w:rsid w:val="00D04D65"/>
    <w:rsid w:val="00D10FDF"/>
    <w:rsid w:val="00D15CC8"/>
    <w:rsid w:val="00D20615"/>
    <w:rsid w:val="00D206F9"/>
    <w:rsid w:val="00D20796"/>
    <w:rsid w:val="00D238ED"/>
    <w:rsid w:val="00D2538D"/>
    <w:rsid w:val="00D268C9"/>
    <w:rsid w:val="00D26D00"/>
    <w:rsid w:val="00D301ED"/>
    <w:rsid w:val="00D313B0"/>
    <w:rsid w:val="00D319D4"/>
    <w:rsid w:val="00D36569"/>
    <w:rsid w:val="00D36FBF"/>
    <w:rsid w:val="00D40062"/>
    <w:rsid w:val="00D405E7"/>
    <w:rsid w:val="00D4133A"/>
    <w:rsid w:val="00D440FF"/>
    <w:rsid w:val="00D44DD1"/>
    <w:rsid w:val="00D50BC2"/>
    <w:rsid w:val="00D515C2"/>
    <w:rsid w:val="00D51801"/>
    <w:rsid w:val="00D5622E"/>
    <w:rsid w:val="00D570CE"/>
    <w:rsid w:val="00D66F14"/>
    <w:rsid w:val="00D679C1"/>
    <w:rsid w:val="00D67A9D"/>
    <w:rsid w:val="00D7638B"/>
    <w:rsid w:val="00D76DCC"/>
    <w:rsid w:val="00D77028"/>
    <w:rsid w:val="00D77D9E"/>
    <w:rsid w:val="00D81C8D"/>
    <w:rsid w:val="00D81D6D"/>
    <w:rsid w:val="00D8340F"/>
    <w:rsid w:val="00D86400"/>
    <w:rsid w:val="00D867D6"/>
    <w:rsid w:val="00D868DE"/>
    <w:rsid w:val="00D90503"/>
    <w:rsid w:val="00D94A33"/>
    <w:rsid w:val="00D97FE0"/>
    <w:rsid w:val="00DA1C78"/>
    <w:rsid w:val="00DA6875"/>
    <w:rsid w:val="00DB0107"/>
    <w:rsid w:val="00DB0B44"/>
    <w:rsid w:val="00DB18E3"/>
    <w:rsid w:val="00DB297D"/>
    <w:rsid w:val="00DB4314"/>
    <w:rsid w:val="00DB6163"/>
    <w:rsid w:val="00DB66A1"/>
    <w:rsid w:val="00DB75D0"/>
    <w:rsid w:val="00DB7C7C"/>
    <w:rsid w:val="00DC0A19"/>
    <w:rsid w:val="00DC0C8E"/>
    <w:rsid w:val="00DC1BE6"/>
    <w:rsid w:val="00DC68AF"/>
    <w:rsid w:val="00DD1317"/>
    <w:rsid w:val="00DD2426"/>
    <w:rsid w:val="00DD2F1D"/>
    <w:rsid w:val="00DD3ACE"/>
    <w:rsid w:val="00DD60CF"/>
    <w:rsid w:val="00DE02C0"/>
    <w:rsid w:val="00DE0C01"/>
    <w:rsid w:val="00DE3797"/>
    <w:rsid w:val="00DE4E97"/>
    <w:rsid w:val="00DE5AB2"/>
    <w:rsid w:val="00DE671D"/>
    <w:rsid w:val="00DF4497"/>
    <w:rsid w:val="00DF44DC"/>
    <w:rsid w:val="00DF4E4D"/>
    <w:rsid w:val="00DF715B"/>
    <w:rsid w:val="00E00C09"/>
    <w:rsid w:val="00E01840"/>
    <w:rsid w:val="00E03760"/>
    <w:rsid w:val="00E03EFD"/>
    <w:rsid w:val="00E0764D"/>
    <w:rsid w:val="00E0782E"/>
    <w:rsid w:val="00E10D0C"/>
    <w:rsid w:val="00E10E49"/>
    <w:rsid w:val="00E1639B"/>
    <w:rsid w:val="00E16966"/>
    <w:rsid w:val="00E16B58"/>
    <w:rsid w:val="00E173A4"/>
    <w:rsid w:val="00E1777D"/>
    <w:rsid w:val="00E20B76"/>
    <w:rsid w:val="00E21B6D"/>
    <w:rsid w:val="00E22996"/>
    <w:rsid w:val="00E31245"/>
    <w:rsid w:val="00E319E4"/>
    <w:rsid w:val="00E34FE8"/>
    <w:rsid w:val="00E377D4"/>
    <w:rsid w:val="00E406E1"/>
    <w:rsid w:val="00E4111A"/>
    <w:rsid w:val="00E418B7"/>
    <w:rsid w:val="00E419D1"/>
    <w:rsid w:val="00E41A8F"/>
    <w:rsid w:val="00E47A9E"/>
    <w:rsid w:val="00E52810"/>
    <w:rsid w:val="00E536A2"/>
    <w:rsid w:val="00E56F5D"/>
    <w:rsid w:val="00E60A9C"/>
    <w:rsid w:val="00E61924"/>
    <w:rsid w:val="00E61E2A"/>
    <w:rsid w:val="00E62870"/>
    <w:rsid w:val="00E63015"/>
    <w:rsid w:val="00E6532F"/>
    <w:rsid w:val="00E70E68"/>
    <w:rsid w:val="00E7106D"/>
    <w:rsid w:val="00E7401E"/>
    <w:rsid w:val="00E762FB"/>
    <w:rsid w:val="00E808E3"/>
    <w:rsid w:val="00E817C5"/>
    <w:rsid w:val="00E81DDF"/>
    <w:rsid w:val="00E82791"/>
    <w:rsid w:val="00E8332D"/>
    <w:rsid w:val="00E85DFB"/>
    <w:rsid w:val="00E85F74"/>
    <w:rsid w:val="00E865C1"/>
    <w:rsid w:val="00E87CCD"/>
    <w:rsid w:val="00E87EBC"/>
    <w:rsid w:val="00E90614"/>
    <w:rsid w:val="00E92C08"/>
    <w:rsid w:val="00E94054"/>
    <w:rsid w:val="00E9426D"/>
    <w:rsid w:val="00E947D0"/>
    <w:rsid w:val="00E94B32"/>
    <w:rsid w:val="00E94F48"/>
    <w:rsid w:val="00E95122"/>
    <w:rsid w:val="00E95A5B"/>
    <w:rsid w:val="00EA02B6"/>
    <w:rsid w:val="00EA0BAE"/>
    <w:rsid w:val="00EA1009"/>
    <w:rsid w:val="00EA1F39"/>
    <w:rsid w:val="00EA328C"/>
    <w:rsid w:val="00EA50FC"/>
    <w:rsid w:val="00EA6123"/>
    <w:rsid w:val="00EB170B"/>
    <w:rsid w:val="00EB290D"/>
    <w:rsid w:val="00EB474C"/>
    <w:rsid w:val="00EB5517"/>
    <w:rsid w:val="00EB632A"/>
    <w:rsid w:val="00EC36BC"/>
    <w:rsid w:val="00ED18AF"/>
    <w:rsid w:val="00ED2203"/>
    <w:rsid w:val="00ED2569"/>
    <w:rsid w:val="00ED25B1"/>
    <w:rsid w:val="00ED3109"/>
    <w:rsid w:val="00ED621F"/>
    <w:rsid w:val="00ED7FAF"/>
    <w:rsid w:val="00EE0104"/>
    <w:rsid w:val="00EE07DA"/>
    <w:rsid w:val="00EE2AD2"/>
    <w:rsid w:val="00EE324B"/>
    <w:rsid w:val="00EE56CB"/>
    <w:rsid w:val="00EE6B8D"/>
    <w:rsid w:val="00EE6C48"/>
    <w:rsid w:val="00EF0079"/>
    <w:rsid w:val="00EF4E25"/>
    <w:rsid w:val="00EF5AEB"/>
    <w:rsid w:val="00EF5E4C"/>
    <w:rsid w:val="00EF6B7E"/>
    <w:rsid w:val="00F03DD9"/>
    <w:rsid w:val="00F06A8A"/>
    <w:rsid w:val="00F0761C"/>
    <w:rsid w:val="00F1054C"/>
    <w:rsid w:val="00F11975"/>
    <w:rsid w:val="00F1246B"/>
    <w:rsid w:val="00F243C8"/>
    <w:rsid w:val="00F25F70"/>
    <w:rsid w:val="00F26D6A"/>
    <w:rsid w:val="00F304A9"/>
    <w:rsid w:val="00F30688"/>
    <w:rsid w:val="00F30C1A"/>
    <w:rsid w:val="00F33F84"/>
    <w:rsid w:val="00F34FB2"/>
    <w:rsid w:val="00F35A11"/>
    <w:rsid w:val="00F400ED"/>
    <w:rsid w:val="00F420CC"/>
    <w:rsid w:val="00F43840"/>
    <w:rsid w:val="00F43BBA"/>
    <w:rsid w:val="00F45E41"/>
    <w:rsid w:val="00F50479"/>
    <w:rsid w:val="00F507CD"/>
    <w:rsid w:val="00F52083"/>
    <w:rsid w:val="00F53C91"/>
    <w:rsid w:val="00F56191"/>
    <w:rsid w:val="00F56E87"/>
    <w:rsid w:val="00F61FC5"/>
    <w:rsid w:val="00F64BB0"/>
    <w:rsid w:val="00F6546C"/>
    <w:rsid w:val="00F709AA"/>
    <w:rsid w:val="00F73E51"/>
    <w:rsid w:val="00F75244"/>
    <w:rsid w:val="00F801B9"/>
    <w:rsid w:val="00F8304C"/>
    <w:rsid w:val="00F85A8C"/>
    <w:rsid w:val="00F86E62"/>
    <w:rsid w:val="00F915F1"/>
    <w:rsid w:val="00F91721"/>
    <w:rsid w:val="00F920ED"/>
    <w:rsid w:val="00F95601"/>
    <w:rsid w:val="00F957DB"/>
    <w:rsid w:val="00FA5879"/>
    <w:rsid w:val="00FA58E9"/>
    <w:rsid w:val="00FA5CFA"/>
    <w:rsid w:val="00FB04D2"/>
    <w:rsid w:val="00FB0604"/>
    <w:rsid w:val="00FB209F"/>
    <w:rsid w:val="00FB6215"/>
    <w:rsid w:val="00FB6448"/>
    <w:rsid w:val="00FD0668"/>
    <w:rsid w:val="00FD2335"/>
    <w:rsid w:val="00FD2AED"/>
    <w:rsid w:val="00FD739B"/>
    <w:rsid w:val="00FD784E"/>
    <w:rsid w:val="00FE0A74"/>
    <w:rsid w:val="00FE0E36"/>
    <w:rsid w:val="00FE2790"/>
    <w:rsid w:val="00FE4D23"/>
    <w:rsid w:val="00FE639A"/>
    <w:rsid w:val="00FE6EA5"/>
    <w:rsid w:val="00FE76EB"/>
    <w:rsid w:val="00FE7BE9"/>
    <w:rsid w:val="00FF344D"/>
    <w:rsid w:val="00FF366D"/>
    <w:rsid w:val="00FF401B"/>
    <w:rsid w:val="00FF463F"/>
    <w:rsid w:val="00FF55FB"/>
    <w:rsid w:val="00FF5C61"/>
    <w:rsid w:val="00FF7F98"/>
    <w:rsid w:val="016D0AE4"/>
    <w:rsid w:val="0173558A"/>
    <w:rsid w:val="018B513A"/>
    <w:rsid w:val="01C55CBC"/>
    <w:rsid w:val="02021905"/>
    <w:rsid w:val="020C2A3C"/>
    <w:rsid w:val="02347182"/>
    <w:rsid w:val="0256505D"/>
    <w:rsid w:val="02840791"/>
    <w:rsid w:val="02873BB9"/>
    <w:rsid w:val="02C35A8C"/>
    <w:rsid w:val="02F32FFC"/>
    <w:rsid w:val="02F33C8E"/>
    <w:rsid w:val="02F4124E"/>
    <w:rsid w:val="0312709C"/>
    <w:rsid w:val="03267601"/>
    <w:rsid w:val="032D650E"/>
    <w:rsid w:val="03315E11"/>
    <w:rsid w:val="03483348"/>
    <w:rsid w:val="035319A4"/>
    <w:rsid w:val="0363259C"/>
    <w:rsid w:val="03646924"/>
    <w:rsid w:val="03A13EF0"/>
    <w:rsid w:val="03E80C4F"/>
    <w:rsid w:val="03FC0559"/>
    <w:rsid w:val="03FC5AE5"/>
    <w:rsid w:val="04447FB3"/>
    <w:rsid w:val="045E7583"/>
    <w:rsid w:val="04722D72"/>
    <w:rsid w:val="047D4AC7"/>
    <w:rsid w:val="048B1624"/>
    <w:rsid w:val="04EB042F"/>
    <w:rsid w:val="053A3164"/>
    <w:rsid w:val="054D2B00"/>
    <w:rsid w:val="055052D8"/>
    <w:rsid w:val="0596101C"/>
    <w:rsid w:val="0598128A"/>
    <w:rsid w:val="061614DB"/>
    <w:rsid w:val="063D115E"/>
    <w:rsid w:val="063E2346"/>
    <w:rsid w:val="066F0F41"/>
    <w:rsid w:val="06741ABD"/>
    <w:rsid w:val="067B3C14"/>
    <w:rsid w:val="068C79F0"/>
    <w:rsid w:val="069570A1"/>
    <w:rsid w:val="06B11E4C"/>
    <w:rsid w:val="06C158EB"/>
    <w:rsid w:val="06CC1C4B"/>
    <w:rsid w:val="06F32700"/>
    <w:rsid w:val="06F832D7"/>
    <w:rsid w:val="077A3CEC"/>
    <w:rsid w:val="07B0770E"/>
    <w:rsid w:val="07D27EA8"/>
    <w:rsid w:val="08363DD4"/>
    <w:rsid w:val="085812C8"/>
    <w:rsid w:val="08622C24"/>
    <w:rsid w:val="08653728"/>
    <w:rsid w:val="08BF40AC"/>
    <w:rsid w:val="090C4E18"/>
    <w:rsid w:val="098470A4"/>
    <w:rsid w:val="09B43E53"/>
    <w:rsid w:val="0A2006DF"/>
    <w:rsid w:val="0A3D734D"/>
    <w:rsid w:val="0A4831D0"/>
    <w:rsid w:val="0A483924"/>
    <w:rsid w:val="0B071D3B"/>
    <w:rsid w:val="0B267E65"/>
    <w:rsid w:val="0B435506"/>
    <w:rsid w:val="0B4D6655"/>
    <w:rsid w:val="0B500328"/>
    <w:rsid w:val="0B5218A1"/>
    <w:rsid w:val="0B5E2329"/>
    <w:rsid w:val="0BDA5E91"/>
    <w:rsid w:val="0BF267F0"/>
    <w:rsid w:val="0C01398D"/>
    <w:rsid w:val="0C4C7929"/>
    <w:rsid w:val="0C853010"/>
    <w:rsid w:val="0CAF6800"/>
    <w:rsid w:val="0D3606B5"/>
    <w:rsid w:val="0D426F90"/>
    <w:rsid w:val="0D5A6454"/>
    <w:rsid w:val="0D5D20E6"/>
    <w:rsid w:val="0D8C3BEB"/>
    <w:rsid w:val="0DB8556E"/>
    <w:rsid w:val="0E124C7E"/>
    <w:rsid w:val="0E1518A1"/>
    <w:rsid w:val="0E1B3AE0"/>
    <w:rsid w:val="0E285C93"/>
    <w:rsid w:val="0E2F5830"/>
    <w:rsid w:val="0E3C5C14"/>
    <w:rsid w:val="0E7E2229"/>
    <w:rsid w:val="0ECC7937"/>
    <w:rsid w:val="0EE22579"/>
    <w:rsid w:val="0EF6634E"/>
    <w:rsid w:val="0F622805"/>
    <w:rsid w:val="0F987405"/>
    <w:rsid w:val="0FDC42A7"/>
    <w:rsid w:val="10367123"/>
    <w:rsid w:val="10417984"/>
    <w:rsid w:val="10895666"/>
    <w:rsid w:val="1090553E"/>
    <w:rsid w:val="10AA3894"/>
    <w:rsid w:val="10AF63B7"/>
    <w:rsid w:val="10E02E12"/>
    <w:rsid w:val="118F7CFF"/>
    <w:rsid w:val="1197619F"/>
    <w:rsid w:val="11FF19BD"/>
    <w:rsid w:val="12426DD2"/>
    <w:rsid w:val="12A70E1F"/>
    <w:rsid w:val="12AF0CEE"/>
    <w:rsid w:val="12B72FCD"/>
    <w:rsid w:val="12D524C3"/>
    <w:rsid w:val="12D6271E"/>
    <w:rsid w:val="130518A2"/>
    <w:rsid w:val="130D6092"/>
    <w:rsid w:val="133A0200"/>
    <w:rsid w:val="135950FD"/>
    <w:rsid w:val="136B50CE"/>
    <w:rsid w:val="137E6912"/>
    <w:rsid w:val="13842C16"/>
    <w:rsid w:val="13B660AC"/>
    <w:rsid w:val="13B758FF"/>
    <w:rsid w:val="13C5743C"/>
    <w:rsid w:val="13D029CA"/>
    <w:rsid w:val="14725BD8"/>
    <w:rsid w:val="14A423A8"/>
    <w:rsid w:val="14E32A08"/>
    <w:rsid w:val="14E62BA3"/>
    <w:rsid w:val="15151870"/>
    <w:rsid w:val="1517224A"/>
    <w:rsid w:val="15791FA8"/>
    <w:rsid w:val="157D01C2"/>
    <w:rsid w:val="159B7C4F"/>
    <w:rsid w:val="15B57EA4"/>
    <w:rsid w:val="15C947BC"/>
    <w:rsid w:val="15E74C42"/>
    <w:rsid w:val="165226A8"/>
    <w:rsid w:val="165A2530"/>
    <w:rsid w:val="16A05E3D"/>
    <w:rsid w:val="16AD5139"/>
    <w:rsid w:val="17083EDC"/>
    <w:rsid w:val="17147CB9"/>
    <w:rsid w:val="17233A58"/>
    <w:rsid w:val="174C4B7F"/>
    <w:rsid w:val="177158A7"/>
    <w:rsid w:val="17E42C71"/>
    <w:rsid w:val="18043C32"/>
    <w:rsid w:val="180B4D7E"/>
    <w:rsid w:val="180E3144"/>
    <w:rsid w:val="181007CF"/>
    <w:rsid w:val="182857AC"/>
    <w:rsid w:val="184A1286"/>
    <w:rsid w:val="187C0550"/>
    <w:rsid w:val="18A06742"/>
    <w:rsid w:val="1929079B"/>
    <w:rsid w:val="19314B52"/>
    <w:rsid w:val="193843DE"/>
    <w:rsid w:val="19483C4A"/>
    <w:rsid w:val="19595E57"/>
    <w:rsid w:val="196533B7"/>
    <w:rsid w:val="197C1A0D"/>
    <w:rsid w:val="19B47531"/>
    <w:rsid w:val="19EF2318"/>
    <w:rsid w:val="19FB70C4"/>
    <w:rsid w:val="1A4D0B70"/>
    <w:rsid w:val="1A6D0A09"/>
    <w:rsid w:val="1A6D6BAE"/>
    <w:rsid w:val="1A7840BB"/>
    <w:rsid w:val="1A7F6325"/>
    <w:rsid w:val="1A895970"/>
    <w:rsid w:val="1A8D4D62"/>
    <w:rsid w:val="1AC467AA"/>
    <w:rsid w:val="1B787B31"/>
    <w:rsid w:val="1BD21EF1"/>
    <w:rsid w:val="1C1C260C"/>
    <w:rsid w:val="1C3D60E3"/>
    <w:rsid w:val="1C7238D5"/>
    <w:rsid w:val="1C840525"/>
    <w:rsid w:val="1C84143D"/>
    <w:rsid w:val="1C8B701C"/>
    <w:rsid w:val="1C977472"/>
    <w:rsid w:val="1CF163A7"/>
    <w:rsid w:val="1D1A3062"/>
    <w:rsid w:val="1D23178A"/>
    <w:rsid w:val="1D3C5EE1"/>
    <w:rsid w:val="1D4666A1"/>
    <w:rsid w:val="1D473226"/>
    <w:rsid w:val="1D4A4435"/>
    <w:rsid w:val="1D546098"/>
    <w:rsid w:val="1D8A4831"/>
    <w:rsid w:val="1DA75A48"/>
    <w:rsid w:val="1E635786"/>
    <w:rsid w:val="1E9E7418"/>
    <w:rsid w:val="1EC52E72"/>
    <w:rsid w:val="1EC91BF5"/>
    <w:rsid w:val="1ECD49B8"/>
    <w:rsid w:val="1EF831D2"/>
    <w:rsid w:val="1F562B02"/>
    <w:rsid w:val="1FDA25D0"/>
    <w:rsid w:val="1FE049EE"/>
    <w:rsid w:val="20194A40"/>
    <w:rsid w:val="203B529E"/>
    <w:rsid w:val="204469BC"/>
    <w:rsid w:val="20524E44"/>
    <w:rsid w:val="20844494"/>
    <w:rsid w:val="20863AF3"/>
    <w:rsid w:val="209B2E36"/>
    <w:rsid w:val="20D61200"/>
    <w:rsid w:val="210E7527"/>
    <w:rsid w:val="2146615C"/>
    <w:rsid w:val="21587A1D"/>
    <w:rsid w:val="21651998"/>
    <w:rsid w:val="221A39C9"/>
    <w:rsid w:val="22271A7E"/>
    <w:rsid w:val="22334F35"/>
    <w:rsid w:val="22551AD5"/>
    <w:rsid w:val="226371B8"/>
    <w:rsid w:val="226C59F0"/>
    <w:rsid w:val="22B440FE"/>
    <w:rsid w:val="22D24D60"/>
    <w:rsid w:val="23060D8C"/>
    <w:rsid w:val="234611FA"/>
    <w:rsid w:val="23485551"/>
    <w:rsid w:val="237467A2"/>
    <w:rsid w:val="239A18B2"/>
    <w:rsid w:val="23CD7DA1"/>
    <w:rsid w:val="23FA5FEA"/>
    <w:rsid w:val="241C7A13"/>
    <w:rsid w:val="244D65B8"/>
    <w:rsid w:val="248E2DE1"/>
    <w:rsid w:val="249809B4"/>
    <w:rsid w:val="24CA4117"/>
    <w:rsid w:val="24D64A43"/>
    <w:rsid w:val="24FD50EE"/>
    <w:rsid w:val="25347747"/>
    <w:rsid w:val="25697422"/>
    <w:rsid w:val="256A4E4D"/>
    <w:rsid w:val="25875AFA"/>
    <w:rsid w:val="25897AC4"/>
    <w:rsid w:val="259E376E"/>
    <w:rsid w:val="25DD571A"/>
    <w:rsid w:val="25F74A2E"/>
    <w:rsid w:val="262E0970"/>
    <w:rsid w:val="26483950"/>
    <w:rsid w:val="268F2EB8"/>
    <w:rsid w:val="26B01932"/>
    <w:rsid w:val="26D27C2D"/>
    <w:rsid w:val="26F86CAF"/>
    <w:rsid w:val="27280C17"/>
    <w:rsid w:val="273864DE"/>
    <w:rsid w:val="275D4D64"/>
    <w:rsid w:val="276E51C4"/>
    <w:rsid w:val="276F7EC0"/>
    <w:rsid w:val="27C13000"/>
    <w:rsid w:val="2849353B"/>
    <w:rsid w:val="28642907"/>
    <w:rsid w:val="286940D9"/>
    <w:rsid w:val="286D5F65"/>
    <w:rsid w:val="28997FF9"/>
    <w:rsid w:val="28ED2118"/>
    <w:rsid w:val="290D7B43"/>
    <w:rsid w:val="29A0418A"/>
    <w:rsid w:val="29E33C4B"/>
    <w:rsid w:val="29F30D4C"/>
    <w:rsid w:val="2A261D85"/>
    <w:rsid w:val="2A344CC5"/>
    <w:rsid w:val="2AA0533E"/>
    <w:rsid w:val="2B4512B9"/>
    <w:rsid w:val="2B51698E"/>
    <w:rsid w:val="2B6761B2"/>
    <w:rsid w:val="2BC21530"/>
    <w:rsid w:val="2BDC1AD4"/>
    <w:rsid w:val="2C062A3B"/>
    <w:rsid w:val="2C534C5C"/>
    <w:rsid w:val="2CBA2FB1"/>
    <w:rsid w:val="2D030DB2"/>
    <w:rsid w:val="2D3F4D6F"/>
    <w:rsid w:val="2D6A1F89"/>
    <w:rsid w:val="2DD1218E"/>
    <w:rsid w:val="2DF53F49"/>
    <w:rsid w:val="2E1343CF"/>
    <w:rsid w:val="2E1819E5"/>
    <w:rsid w:val="2E2B2D7C"/>
    <w:rsid w:val="2EA01DE3"/>
    <w:rsid w:val="2EA663FE"/>
    <w:rsid w:val="2EB24CE0"/>
    <w:rsid w:val="2EC7265D"/>
    <w:rsid w:val="2EF27956"/>
    <w:rsid w:val="2F0F4239"/>
    <w:rsid w:val="2FA920B8"/>
    <w:rsid w:val="2FC418D8"/>
    <w:rsid w:val="2FC64924"/>
    <w:rsid w:val="2FE52A7E"/>
    <w:rsid w:val="300E7950"/>
    <w:rsid w:val="304C61CA"/>
    <w:rsid w:val="307329D5"/>
    <w:rsid w:val="307C4E72"/>
    <w:rsid w:val="30A74C5B"/>
    <w:rsid w:val="30B01B4A"/>
    <w:rsid w:val="30D20571"/>
    <w:rsid w:val="310F3573"/>
    <w:rsid w:val="317821EF"/>
    <w:rsid w:val="31E4090D"/>
    <w:rsid w:val="31FD161E"/>
    <w:rsid w:val="32153857"/>
    <w:rsid w:val="32794A1C"/>
    <w:rsid w:val="327D4BC1"/>
    <w:rsid w:val="328775B4"/>
    <w:rsid w:val="330723DC"/>
    <w:rsid w:val="337E0C62"/>
    <w:rsid w:val="33CF0D98"/>
    <w:rsid w:val="340805A8"/>
    <w:rsid w:val="346A7BCF"/>
    <w:rsid w:val="348A193A"/>
    <w:rsid w:val="349D42F5"/>
    <w:rsid w:val="35415CC5"/>
    <w:rsid w:val="354C1656"/>
    <w:rsid w:val="356814A4"/>
    <w:rsid w:val="357A2F85"/>
    <w:rsid w:val="358337C3"/>
    <w:rsid w:val="359B703E"/>
    <w:rsid w:val="35D958F9"/>
    <w:rsid w:val="360C5343"/>
    <w:rsid w:val="360D7D52"/>
    <w:rsid w:val="36176A26"/>
    <w:rsid w:val="362E7FFA"/>
    <w:rsid w:val="36315D3A"/>
    <w:rsid w:val="366157C4"/>
    <w:rsid w:val="366D4898"/>
    <w:rsid w:val="367B2569"/>
    <w:rsid w:val="36AE1139"/>
    <w:rsid w:val="36AF31C8"/>
    <w:rsid w:val="36C23C6D"/>
    <w:rsid w:val="370074BA"/>
    <w:rsid w:val="37045804"/>
    <w:rsid w:val="378679C0"/>
    <w:rsid w:val="37A367C3"/>
    <w:rsid w:val="37B3277F"/>
    <w:rsid w:val="37D77D6E"/>
    <w:rsid w:val="37E30F28"/>
    <w:rsid w:val="3835795C"/>
    <w:rsid w:val="384E78A9"/>
    <w:rsid w:val="385B37C8"/>
    <w:rsid w:val="386B35B8"/>
    <w:rsid w:val="387C313D"/>
    <w:rsid w:val="38A36E8B"/>
    <w:rsid w:val="38A94FE7"/>
    <w:rsid w:val="38B236C7"/>
    <w:rsid w:val="38D736B9"/>
    <w:rsid w:val="38ED560D"/>
    <w:rsid w:val="39335925"/>
    <w:rsid w:val="393C6ED0"/>
    <w:rsid w:val="39B00F52"/>
    <w:rsid w:val="39CC10E9"/>
    <w:rsid w:val="39D26841"/>
    <w:rsid w:val="39D81877"/>
    <w:rsid w:val="39EE04F3"/>
    <w:rsid w:val="3A5902A4"/>
    <w:rsid w:val="3A655FB2"/>
    <w:rsid w:val="3A6B2F3C"/>
    <w:rsid w:val="3A742699"/>
    <w:rsid w:val="3A78116B"/>
    <w:rsid w:val="3A7F400B"/>
    <w:rsid w:val="3AAD08CD"/>
    <w:rsid w:val="3B61579D"/>
    <w:rsid w:val="3B6E4235"/>
    <w:rsid w:val="3BA7084C"/>
    <w:rsid w:val="3BCA3066"/>
    <w:rsid w:val="3C01771B"/>
    <w:rsid w:val="3C764097"/>
    <w:rsid w:val="3CA55B29"/>
    <w:rsid w:val="3CB21A52"/>
    <w:rsid w:val="3CC35212"/>
    <w:rsid w:val="3CD84EB3"/>
    <w:rsid w:val="3D000214"/>
    <w:rsid w:val="3D0072B8"/>
    <w:rsid w:val="3D0173C5"/>
    <w:rsid w:val="3D1E72DC"/>
    <w:rsid w:val="3D332398"/>
    <w:rsid w:val="3D9E622F"/>
    <w:rsid w:val="3DE83833"/>
    <w:rsid w:val="3E104487"/>
    <w:rsid w:val="3E465B7C"/>
    <w:rsid w:val="3E4660FB"/>
    <w:rsid w:val="3E734A16"/>
    <w:rsid w:val="3E752DDF"/>
    <w:rsid w:val="3E92628C"/>
    <w:rsid w:val="3EF728D5"/>
    <w:rsid w:val="3F877A39"/>
    <w:rsid w:val="40093884"/>
    <w:rsid w:val="400D176C"/>
    <w:rsid w:val="401D2E8B"/>
    <w:rsid w:val="40251D40"/>
    <w:rsid w:val="406366DD"/>
    <w:rsid w:val="40DF6392"/>
    <w:rsid w:val="41887122"/>
    <w:rsid w:val="418F7312"/>
    <w:rsid w:val="41AC096A"/>
    <w:rsid w:val="41BB295C"/>
    <w:rsid w:val="41E974C9"/>
    <w:rsid w:val="42593309"/>
    <w:rsid w:val="425F29E4"/>
    <w:rsid w:val="42BB2A00"/>
    <w:rsid w:val="42CF1A6D"/>
    <w:rsid w:val="42D9578F"/>
    <w:rsid w:val="42FB3958"/>
    <w:rsid w:val="433504EC"/>
    <w:rsid w:val="434F4957"/>
    <w:rsid w:val="435E59BE"/>
    <w:rsid w:val="4362385A"/>
    <w:rsid w:val="43CE580F"/>
    <w:rsid w:val="4401783A"/>
    <w:rsid w:val="440A4948"/>
    <w:rsid w:val="44406889"/>
    <w:rsid w:val="44550E45"/>
    <w:rsid w:val="44931781"/>
    <w:rsid w:val="44B94D9B"/>
    <w:rsid w:val="45196317"/>
    <w:rsid w:val="452C3A1D"/>
    <w:rsid w:val="454D74A9"/>
    <w:rsid w:val="45E004FC"/>
    <w:rsid w:val="45E138F4"/>
    <w:rsid w:val="46547D5A"/>
    <w:rsid w:val="46AE6F33"/>
    <w:rsid w:val="46B1432D"/>
    <w:rsid w:val="47046B53"/>
    <w:rsid w:val="4736472B"/>
    <w:rsid w:val="47376F28"/>
    <w:rsid w:val="47CC6923"/>
    <w:rsid w:val="480E207F"/>
    <w:rsid w:val="480F6038"/>
    <w:rsid w:val="48576465"/>
    <w:rsid w:val="48FC2DB1"/>
    <w:rsid w:val="49522D5E"/>
    <w:rsid w:val="49A02651"/>
    <w:rsid w:val="49C47659"/>
    <w:rsid w:val="49DF11B1"/>
    <w:rsid w:val="4A2B5779"/>
    <w:rsid w:val="4A450EF1"/>
    <w:rsid w:val="4A5D5D84"/>
    <w:rsid w:val="4A88006B"/>
    <w:rsid w:val="4A9401EE"/>
    <w:rsid w:val="4A9F52A4"/>
    <w:rsid w:val="4AD351BA"/>
    <w:rsid w:val="4B050259"/>
    <w:rsid w:val="4B0557AD"/>
    <w:rsid w:val="4B06733D"/>
    <w:rsid w:val="4B0B4954"/>
    <w:rsid w:val="4B6F670D"/>
    <w:rsid w:val="4B730369"/>
    <w:rsid w:val="4BAB27B1"/>
    <w:rsid w:val="4BB26B7D"/>
    <w:rsid w:val="4BD935B2"/>
    <w:rsid w:val="4C420357"/>
    <w:rsid w:val="4C420BC6"/>
    <w:rsid w:val="4C5C2F8D"/>
    <w:rsid w:val="4C8F4AEF"/>
    <w:rsid w:val="4CAD2284"/>
    <w:rsid w:val="4CBF59B7"/>
    <w:rsid w:val="4CFD651E"/>
    <w:rsid w:val="4DBF37D4"/>
    <w:rsid w:val="4DFF1E22"/>
    <w:rsid w:val="4E04701D"/>
    <w:rsid w:val="4E0F02B7"/>
    <w:rsid w:val="4E19737E"/>
    <w:rsid w:val="4E6E2FB5"/>
    <w:rsid w:val="4E8D38D2"/>
    <w:rsid w:val="4EB175DB"/>
    <w:rsid w:val="4EBA414E"/>
    <w:rsid w:val="4F5662D3"/>
    <w:rsid w:val="4F5A491C"/>
    <w:rsid w:val="500E28C5"/>
    <w:rsid w:val="50606A7D"/>
    <w:rsid w:val="50A62A29"/>
    <w:rsid w:val="50D61B66"/>
    <w:rsid w:val="50E06415"/>
    <w:rsid w:val="50EF617E"/>
    <w:rsid w:val="511C715A"/>
    <w:rsid w:val="51207AE6"/>
    <w:rsid w:val="513A03FE"/>
    <w:rsid w:val="5153495F"/>
    <w:rsid w:val="51547B32"/>
    <w:rsid w:val="519A7131"/>
    <w:rsid w:val="51AC581D"/>
    <w:rsid w:val="51C0603E"/>
    <w:rsid w:val="5218720A"/>
    <w:rsid w:val="521E46DD"/>
    <w:rsid w:val="52217827"/>
    <w:rsid w:val="52412A09"/>
    <w:rsid w:val="52445A58"/>
    <w:rsid w:val="524B13D8"/>
    <w:rsid w:val="5266074B"/>
    <w:rsid w:val="52727066"/>
    <w:rsid w:val="527F3531"/>
    <w:rsid w:val="52B86C7A"/>
    <w:rsid w:val="52D715BF"/>
    <w:rsid w:val="53675712"/>
    <w:rsid w:val="536F3457"/>
    <w:rsid w:val="537155BE"/>
    <w:rsid w:val="537B63EF"/>
    <w:rsid w:val="53D61885"/>
    <w:rsid w:val="53DF24DA"/>
    <w:rsid w:val="543A1E06"/>
    <w:rsid w:val="54417169"/>
    <w:rsid w:val="54444075"/>
    <w:rsid w:val="54482775"/>
    <w:rsid w:val="54CA7B59"/>
    <w:rsid w:val="54D45954"/>
    <w:rsid w:val="54FD4609"/>
    <w:rsid w:val="55030E5B"/>
    <w:rsid w:val="550D3B58"/>
    <w:rsid w:val="555A1BA0"/>
    <w:rsid w:val="55810253"/>
    <w:rsid w:val="55CA674D"/>
    <w:rsid w:val="55D02697"/>
    <w:rsid w:val="55DA64AD"/>
    <w:rsid w:val="55F76BEE"/>
    <w:rsid w:val="561A081A"/>
    <w:rsid w:val="561D19DF"/>
    <w:rsid w:val="56292132"/>
    <w:rsid w:val="56307F1D"/>
    <w:rsid w:val="566F4E48"/>
    <w:rsid w:val="56B850C9"/>
    <w:rsid w:val="56C02A96"/>
    <w:rsid w:val="56CF0F2B"/>
    <w:rsid w:val="56DD7F5E"/>
    <w:rsid w:val="56F73FDE"/>
    <w:rsid w:val="57032983"/>
    <w:rsid w:val="572A285B"/>
    <w:rsid w:val="57527466"/>
    <w:rsid w:val="576D24F2"/>
    <w:rsid w:val="57A51C8C"/>
    <w:rsid w:val="57A5783A"/>
    <w:rsid w:val="57EF4246"/>
    <w:rsid w:val="5832685C"/>
    <w:rsid w:val="584568AC"/>
    <w:rsid w:val="58824ACC"/>
    <w:rsid w:val="589200EC"/>
    <w:rsid w:val="58A91476"/>
    <w:rsid w:val="58B3435E"/>
    <w:rsid w:val="590D7131"/>
    <w:rsid w:val="591253D6"/>
    <w:rsid w:val="594B37F1"/>
    <w:rsid w:val="596F2552"/>
    <w:rsid w:val="599E5578"/>
    <w:rsid w:val="59AB0C98"/>
    <w:rsid w:val="59C37040"/>
    <w:rsid w:val="59CB0374"/>
    <w:rsid w:val="59DE0CA7"/>
    <w:rsid w:val="5A1A3741"/>
    <w:rsid w:val="5A7616BE"/>
    <w:rsid w:val="5A770749"/>
    <w:rsid w:val="5A861ABD"/>
    <w:rsid w:val="5A8F20BE"/>
    <w:rsid w:val="5AA837AC"/>
    <w:rsid w:val="5AB67D0C"/>
    <w:rsid w:val="5ABE59E9"/>
    <w:rsid w:val="5AC4067B"/>
    <w:rsid w:val="5ADF6E56"/>
    <w:rsid w:val="5B0116C7"/>
    <w:rsid w:val="5B1F3B03"/>
    <w:rsid w:val="5B242EC8"/>
    <w:rsid w:val="5B380C90"/>
    <w:rsid w:val="5B6363EB"/>
    <w:rsid w:val="5B7D338F"/>
    <w:rsid w:val="5B9F14C4"/>
    <w:rsid w:val="5BA1276A"/>
    <w:rsid w:val="5BA57C0C"/>
    <w:rsid w:val="5C234513"/>
    <w:rsid w:val="5C425CFC"/>
    <w:rsid w:val="5C462667"/>
    <w:rsid w:val="5C4F6BD1"/>
    <w:rsid w:val="5C7E21D6"/>
    <w:rsid w:val="5C910A31"/>
    <w:rsid w:val="5C9367F6"/>
    <w:rsid w:val="5CB77CFA"/>
    <w:rsid w:val="5D214E4E"/>
    <w:rsid w:val="5D611272"/>
    <w:rsid w:val="5D630DB1"/>
    <w:rsid w:val="5D9562FF"/>
    <w:rsid w:val="5DAB0B66"/>
    <w:rsid w:val="5DDE6F83"/>
    <w:rsid w:val="5DF146B7"/>
    <w:rsid w:val="5E16050E"/>
    <w:rsid w:val="5E327DFC"/>
    <w:rsid w:val="5E4D122B"/>
    <w:rsid w:val="5E8425FB"/>
    <w:rsid w:val="5E9F11E3"/>
    <w:rsid w:val="5EF336FC"/>
    <w:rsid w:val="5F01627C"/>
    <w:rsid w:val="5F074FDA"/>
    <w:rsid w:val="5F35068C"/>
    <w:rsid w:val="5F405E81"/>
    <w:rsid w:val="5F4C0C3F"/>
    <w:rsid w:val="60A76A75"/>
    <w:rsid w:val="60A90CC5"/>
    <w:rsid w:val="61241947"/>
    <w:rsid w:val="612E6AAD"/>
    <w:rsid w:val="61633FDA"/>
    <w:rsid w:val="616A7D2F"/>
    <w:rsid w:val="61745166"/>
    <w:rsid w:val="61974113"/>
    <w:rsid w:val="61C64A0E"/>
    <w:rsid w:val="61F40A0D"/>
    <w:rsid w:val="62173786"/>
    <w:rsid w:val="621C2B4B"/>
    <w:rsid w:val="62404A8B"/>
    <w:rsid w:val="6241261C"/>
    <w:rsid w:val="62420210"/>
    <w:rsid w:val="62611DB0"/>
    <w:rsid w:val="62662018"/>
    <w:rsid w:val="62B47326"/>
    <w:rsid w:val="62EE553D"/>
    <w:rsid w:val="6300421A"/>
    <w:rsid w:val="630901A6"/>
    <w:rsid w:val="632C0E07"/>
    <w:rsid w:val="6349725C"/>
    <w:rsid w:val="63865AC3"/>
    <w:rsid w:val="638A4820"/>
    <w:rsid w:val="63931D5D"/>
    <w:rsid w:val="639E415F"/>
    <w:rsid w:val="63A27AA9"/>
    <w:rsid w:val="64035650"/>
    <w:rsid w:val="644A2A60"/>
    <w:rsid w:val="64812DEB"/>
    <w:rsid w:val="64CB0227"/>
    <w:rsid w:val="656138C5"/>
    <w:rsid w:val="65942779"/>
    <w:rsid w:val="663C677D"/>
    <w:rsid w:val="66987842"/>
    <w:rsid w:val="66A001EE"/>
    <w:rsid w:val="66B206ED"/>
    <w:rsid w:val="66EF4ABB"/>
    <w:rsid w:val="67CC59E3"/>
    <w:rsid w:val="68264A5A"/>
    <w:rsid w:val="685B20EE"/>
    <w:rsid w:val="68907DEF"/>
    <w:rsid w:val="68E93DF6"/>
    <w:rsid w:val="690359D6"/>
    <w:rsid w:val="691427CE"/>
    <w:rsid w:val="69826F10"/>
    <w:rsid w:val="6992118F"/>
    <w:rsid w:val="699A6627"/>
    <w:rsid w:val="69AE4AF5"/>
    <w:rsid w:val="69C96D41"/>
    <w:rsid w:val="69F04850"/>
    <w:rsid w:val="6A087A2A"/>
    <w:rsid w:val="6A2A2395"/>
    <w:rsid w:val="6A435043"/>
    <w:rsid w:val="6A5E2F38"/>
    <w:rsid w:val="6AF52ECD"/>
    <w:rsid w:val="6B113469"/>
    <w:rsid w:val="6B2A277C"/>
    <w:rsid w:val="6B43383E"/>
    <w:rsid w:val="6B8D6867"/>
    <w:rsid w:val="6B8D71AD"/>
    <w:rsid w:val="6BAA5F82"/>
    <w:rsid w:val="6BAE515B"/>
    <w:rsid w:val="6BFE1359"/>
    <w:rsid w:val="6D264A09"/>
    <w:rsid w:val="6D285EEE"/>
    <w:rsid w:val="6D3A4256"/>
    <w:rsid w:val="6D912FC0"/>
    <w:rsid w:val="6DAB2AD4"/>
    <w:rsid w:val="6DB4632D"/>
    <w:rsid w:val="6DDE162C"/>
    <w:rsid w:val="6E1172F4"/>
    <w:rsid w:val="6E196680"/>
    <w:rsid w:val="6E380D0C"/>
    <w:rsid w:val="6EB8009F"/>
    <w:rsid w:val="6EC647D7"/>
    <w:rsid w:val="6ED919F6"/>
    <w:rsid w:val="6EDE3796"/>
    <w:rsid w:val="6EF410D7"/>
    <w:rsid w:val="6EFA4214"/>
    <w:rsid w:val="6F5153EC"/>
    <w:rsid w:val="6FC84312"/>
    <w:rsid w:val="6FE605C4"/>
    <w:rsid w:val="70265F41"/>
    <w:rsid w:val="703B2D36"/>
    <w:rsid w:val="70673123"/>
    <w:rsid w:val="706C3BCA"/>
    <w:rsid w:val="70A34986"/>
    <w:rsid w:val="70B704DA"/>
    <w:rsid w:val="70EE5FFA"/>
    <w:rsid w:val="70FA674D"/>
    <w:rsid w:val="710B069E"/>
    <w:rsid w:val="714844A1"/>
    <w:rsid w:val="714C17A4"/>
    <w:rsid w:val="7161057A"/>
    <w:rsid w:val="71793B16"/>
    <w:rsid w:val="71A12B08"/>
    <w:rsid w:val="71AF4994"/>
    <w:rsid w:val="71FD4F1A"/>
    <w:rsid w:val="722975D2"/>
    <w:rsid w:val="72457E9C"/>
    <w:rsid w:val="7270316B"/>
    <w:rsid w:val="72757CAB"/>
    <w:rsid w:val="727C248C"/>
    <w:rsid w:val="73264FA6"/>
    <w:rsid w:val="734B2C0B"/>
    <w:rsid w:val="73824F7C"/>
    <w:rsid w:val="739648B7"/>
    <w:rsid w:val="73B37F21"/>
    <w:rsid w:val="73EF00BF"/>
    <w:rsid w:val="7406050A"/>
    <w:rsid w:val="7420296E"/>
    <w:rsid w:val="74746816"/>
    <w:rsid w:val="74747483"/>
    <w:rsid w:val="74CE0C97"/>
    <w:rsid w:val="752306D3"/>
    <w:rsid w:val="752537A3"/>
    <w:rsid w:val="758111EB"/>
    <w:rsid w:val="759676DE"/>
    <w:rsid w:val="75D23344"/>
    <w:rsid w:val="75D60E9A"/>
    <w:rsid w:val="75E579CC"/>
    <w:rsid w:val="76184CE8"/>
    <w:rsid w:val="76525E43"/>
    <w:rsid w:val="76783713"/>
    <w:rsid w:val="76BB7D9C"/>
    <w:rsid w:val="76D46753"/>
    <w:rsid w:val="76FF4ABD"/>
    <w:rsid w:val="77813724"/>
    <w:rsid w:val="778E6FF9"/>
    <w:rsid w:val="77BC650A"/>
    <w:rsid w:val="77D50689"/>
    <w:rsid w:val="781A4D46"/>
    <w:rsid w:val="782C4AD2"/>
    <w:rsid w:val="782E006B"/>
    <w:rsid w:val="786A240A"/>
    <w:rsid w:val="78827754"/>
    <w:rsid w:val="7892370F"/>
    <w:rsid w:val="789B5F87"/>
    <w:rsid w:val="78F02F79"/>
    <w:rsid w:val="79086F68"/>
    <w:rsid w:val="792E05AF"/>
    <w:rsid w:val="79C678D4"/>
    <w:rsid w:val="79EE1860"/>
    <w:rsid w:val="7A08012D"/>
    <w:rsid w:val="7B036820"/>
    <w:rsid w:val="7B08205F"/>
    <w:rsid w:val="7B4927AB"/>
    <w:rsid w:val="7BFF157E"/>
    <w:rsid w:val="7C391482"/>
    <w:rsid w:val="7C5036C5"/>
    <w:rsid w:val="7C611615"/>
    <w:rsid w:val="7C9932A4"/>
    <w:rsid w:val="7CA943D8"/>
    <w:rsid w:val="7CB41EA6"/>
    <w:rsid w:val="7CF0563E"/>
    <w:rsid w:val="7D060CAB"/>
    <w:rsid w:val="7D0B50EE"/>
    <w:rsid w:val="7D7942E8"/>
    <w:rsid w:val="7D9552CA"/>
    <w:rsid w:val="7DF42BD8"/>
    <w:rsid w:val="7E255143"/>
    <w:rsid w:val="7E7200FE"/>
    <w:rsid w:val="7E9975A5"/>
    <w:rsid w:val="7EA46823"/>
    <w:rsid w:val="7EE46AA6"/>
    <w:rsid w:val="7EEA05E4"/>
    <w:rsid w:val="7EED5B43"/>
    <w:rsid w:val="7F402117"/>
    <w:rsid w:val="7F5B6A68"/>
    <w:rsid w:val="7F871130"/>
    <w:rsid w:val="7F907C00"/>
    <w:rsid w:val="7FA51F7A"/>
    <w:rsid w:val="7FC97A14"/>
    <w:rsid w:val="7FF64583"/>
    <w:rsid w:val="7FFB7D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semiHidden="0"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qFormat="1" w:unhideWhenUsed="0"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99" w:semiHidden="0"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37"/>
    <w:autoRedefine/>
    <w:qFormat/>
    <w:uiPriority w:val="0"/>
    <w:pPr>
      <w:keepNext/>
      <w:autoSpaceDE w:val="0"/>
      <w:autoSpaceDN w:val="0"/>
      <w:adjustRightInd w:val="0"/>
      <w:jc w:val="center"/>
      <w:outlineLvl w:val="0"/>
    </w:pPr>
    <w:rPr>
      <w:rFonts w:ascii="宋体"/>
      <w:color w:val="000000"/>
      <w:sz w:val="28"/>
      <w:szCs w:val="20"/>
    </w:rPr>
  </w:style>
  <w:style w:type="paragraph" w:styleId="3">
    <w:name w:val="heading 2"/>
    <w:basedOn w:val="1"/>
    <w:next w:val="1"/>
    <w:link w:val="42"/>
    <w:autoRedefine/>
    <w:qFormat/>
    <w:uiPriority w:val="0"/>
    <w:pPr>
      <w:keepNext/>
      <w:keepLines/>
      <w:spacing w:before="260" w:after="260" w:line="416" w:lineRule="auto"/>
      <w:outlineLvl w:val="1"/>
    </w:pPr>
    <w:rPr>
      <w:rFonts w:ascii="Arial" w:hAnsi="Arial"/>
      <w:b/>
      <w:bCs/>
      <w:sz w:val="32"/>
      <w:szCs w:val="32"/>
    </w:rPr>
  </w:style>
  <w:style w:type="paragraph" w:styleId="4">
    <w:name w:val="heading 3"/>
    <w:basedOn w:val="1"/>
    <w:next w:val="1"/>
    <w:link w:val="43"/>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44"/>
    <w:qFormat/>
    <w:uiPriority w:val="0"/>
    <w:pPr>
      <w:keepNext/>
      <w:keepLines/>
      <w:spacing w:before="280" w:after="290" w:line="376" w:lineRule="auto"/>
      <w:outlineLvl w:val="3"/>
    </w:pPr>
    <w:rPr>
      <w:rFonts w:ascii="Cambria" w:hAnsi="Cambria"/>
      <w:b/>
      <w:bCs/>
      <w:sz w:val="28"/>
      <w:szCs w:val="28"/>
    </w:rPr>
  </w:style>
  <w:style w:type="character" w:default="1" w:styleId="24">
    <w:name w:val="Default Paragraph Font"/>
    <w:semiHidden/>
    <w:unhideWhenUsed/>
    <w:qFormat/>
    <w:uiPriority w:val="1"/>
  </w:style>
  <w:style w:type="table" w:default="1" w:styleId="22">
    <w:name w:val="Normal Table"/>
    <w:semiHidden/>
    <w:unhideWhenUsed/>
    <w:qFormat/>
    <w:uiPriority w:val="99"/>
    <w:tblPr>
      <w:tblCellMar>
        <w:top w:w="0" w:type="dxa"/>
        <w:left w:w="108" w:type="dxa"/>
        <w:bottom w:w="0" w:type="dxa"/>
        <w:right w:w="108" w:type="dxa"/>
      </w:tblCellMar>
    </w:tblPr>
  </w:style>
  <w:style w:type="paragraph" w:styleId="6">
    <w:name w:val="Normal Indent"/>
    <w:basedOn w:val="1"/>
    <w:next w:val="7"/>
    <w:qFormat/>
    <w:uiPriority w:val="0"/>
    <w:pPr>
      <w:ind w:firstLine="420" w:firstLineChars="200"/>
    </w:pPr>
    <w:rPr>
      <w:szCs w:val="21"/>
    </w:rPr>
  </w:style>
  <w:style w:type="paragraph" w:styleId="7">
    <w:name w:val="Body Text"/>
    <w:basedOn w:val="1"/>
    <w:next w:val="8"/>
    <w:autoRedefine/>
    <w:qFormat/>
    <w:uiPriority w:val="0"/>
    <w:pPr>
      <w:spacing w:after="120"/>
    </w:pPr>
  </w:style>
  <w:style w:type="paragraph" w:styleId="8">
    <w:name w:val="Body Text 2"/>
    <w:basedOn w:val="1"/>
    <w:qFormat/>
    <w:uiPriority w:val="0"/>
    <w:pPr>
      <w:spacing w:line="360" w:lineRule="auto"/>
    </w:pPr>
    <w:rPr>
      <w:sz w:val="24"/>
    </w:rPr>
  </w:style>
  <w:style w:type="paragraph" w:styleId="9">
    <w:name w:val="annotation text"/>
    <w:basedOn w:val="1"/>
    <w:link w:val="58"/>
    <w:autoRedefine/>
    <w:unhideWhenUsed/>
    <w:qFormat/>
    <w:uiPriority w:val="99"/>
    <w:pPr>
      <w:jc w:val="left"/>
    </w:pPr>
  </w:style>
  <w:style w:type="paragraph" w:styleId="10">
    <w:name w:val="Body Text Indent"/>
    <w:basedOn w:val="1"/>
    <w:autoRedefine/>
    <w:unhideWhenUsed/>
    <w:qFormat/>
    <w:uiPriority w:val="99"/>
    <w:pPr>
      <w:spacing w:after="120"/>
      <w:ind w:left="420" w:leftChars="200"/>
    </w:pPr>
  </w:style>
  <w:style w:type="paragraph" w:styleId="11">
    <w:name w:val="Plain Text"/>
    <w:basedOn w:val="1"/>
    <w:link w:val="41"/>
    <w:autoRedefine/>
    <w:qFormat/>
    <w:uiPriority w:val="0"/>
    <w:rPr>
      <w:rFonts w:ascii="宋体" w:hAnsi="Courier New" w:eastAsiaTheme="minorEastAsia" w:cstheme="minorBidi"/>
    </w:rPr>
  </w:style>
  <w:style w:type="paragraph" w:styleId="12">
    <w:name w:val="Date"/>
    <w:basedOn w:val="1"/>
    <w:next w:val="1"/>
    <w:link w:val="33"/>
    <w:autoRedefine/>
    <w:qFormat/>
    <w:uiPriority w:val="0"/>
    <w:rPr>
      <w:rFonts w:ascii="宋体" w:hAnsi="Courier New"/>
      <w:kern w:val="0"/>
      <w:sz w:val="32"/>
      <w:szCs w:val="20"/>
    </w:rPr>
  </w:style>
  <w:style w:type="paragraph" w:styleId="13">
    <w:name w:val="Balloon Text"/>
    <w:basedOn w:val="1"/>
    <w:link w:val="34"/>
    <w:autoRedefine/>
    <w:semiHidden/>
    <w:unhideWhenUsed/>
    <w:qFormat/>
    <w:uiPriority w:val="99"/>
    <w:rPr>
      <w:sz w:val="18"/>
      <w:szCs w:val="18"/>
    </w:rPr>
  </w:style>
  <w:style w:type="paragraph" w:styleId="14">
    <w:name w:val="footer"/>
    <w:basedOn w:val="1"/>
    <w:link w:val="36"/>
    <w:autoRedefine/>
    <w:unhideWhenUsed/>
    <w:qFormat/>
    <w:uiPriority w:val="99"/>
    <w:pPr>
      <w:tabs>
        <w:tab w:val="center" w:pos="4153"/>
        <w:tab w:val="right" w:pos="8306"/>
      </w:tabs>
      <w:snapToGrid w:val="0"/>
      <w:jc w:val="left"/>
    </w:pPr>
    <w:rPr>
      <w:sz w:val="18"/>
      <w:szCs w:val="18"/>
    </w:rPr>
  </w:style>
  <w:style w:type="paragraph" w:styleId="15">
    <w:name w:val="envelope return"/>
    <w:basedOn w:val="1"/>
    <w:unhideWhenUsed/>
    <w:qFormat/>
    <w:uiPriority w:val="99"/>
    <w:pPr>
      <w:snapToGrid w:val="0"/>
    </w:pPr>
    <w:rPr>
      <w:rFonts w:ascii="Arial" w:hAnsi="Arial"/>
    </w:rPr>
  </w:style>
  <w:style w:type="paragraph" w:styleId="16">
    <w:name w:val="header"/>
    <w:basedOn w:val="1"/>
    <w:link w:val="35"/>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2"/>
    <w:basedOn w:val="1"/>
    <w:next w:val="1"/>
    <w:semiHidden/>
    <w:qFormat/>
    <w:uiPriority w:val="0"/>
    <w:pPr>
      <w:tabs>
        <w:tab w:val="right" w:leader="dot" w:pos="8296"/>
      </w:tabs>
      <w:ind w:left="210"/>
      <w:jc w:val="left"/>
    </w:pPr>
    <w:rPr>
      <w:smallCaps/>
    </w:rPr>
  </w:style>
  <w:style w:type="paragraph" w:styleId="18">
    <w:name w:val="HTML Preformatted"/>
    <w:basedOn w:val="1"/>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0" w:lineRule="atLeast"/>
      <w:jc w:val="left"/>
    </w:pPr>
    <w:rPr>
      <w:rFonts w:ascii="Arial" w:hAnsi="Arial"/>
      <w:kern w:val="0"/>
      <w:szCs w:val="21"/>
    </w:rPr>
  </w:style>
  <w:style w:type="paragraph" w:styleId="19">
    <w:name w:val="Title"/>
    <w:basedOn w:val="1"/>
    <w:next w:val="1"/>
    <w:qFormat/>
    <w:uiPriority w:val="0"/>
    <w:pPr>
      <w:spacing w:before="240" w:after="60"/>
      <w:jc w:val="center"/>
      <w:outlineLvl w:val="0"/>
    </w:pPr>
    <w:rPr>
      <w:rFonts w:ascii="Cambria" w:hAnsi="Cambria"/>
      <w:b/>
      <w:bCs/>
      <w:sz w:val="32"/>
      <w:szCs w:val="32"/>
    </w:rPr>
  </w:style>
  <w:style w:type="paragraph" w:styleId="20">
    <w:name w:val="annotation subject"/>
    <w:basedOn w:val="9"/>
    <w:next w:val="9"/>
    <w:link w:val="39"/>
    <w:autoRedefine/>
    <w:semiHidden/>
    <w:unhideWhenUsed/>
    <w:qFormat/>
    <w:uiPriority w:val="99"/>
    <w:rPr>
      <w:b/>
      <w:bCs/>
    </w:rPr>
  </w:style>
  <w:style w:type="paragraph" w:styleId="21">
    <w:name w:val="Body Text First Indent 2"/>
    <w:basedOn w:val="10"/>
    <w:autoRedefine/>
    <w:qFormat/>
    <w:uiPriority w:val="0"/>
    <w:pPr>
      <w:ind w:firstLine="420" w:firstLineChars="200"/>
    </w:pPr>
    <w:rPr>
      <w:szCs w:val="24"/>
    </w:rPr>
  </w:style>
  <w:style w:type="table" w:styleId="23">
    <w:name w:val="Table Grid"/>
    <w:basedOn w:val="22"/>
    <w:autoRedefine/>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25">
    <w:name w:val="Strong"/>
    <w:qFormat/>
    <w:uiPriority w:val="0"/>
    <w:rPr>
      <w:rFonts w:ascii="Times New Roman" w:hAnsi="Times New Roman" w:eastAsia="宋体" w:cs="Times New Roman"/>
      <w:b/>
      <w:bCs/>
    </w:rPr>
  </w:style>
  <w:style w:type="character" w:styleId="26">
    <w:name w:val="page number"/>
    <w:basedOn w:val="24"/>
    <w:qFormat/>
    <w:uiPriority w:val="0"/>
  </w:style>
  <w:style w:type="character" w:styleId="27">
    <w:name w:val="Hyperlink"/>
    <w:autoRedefine/>
    <w:qFormat/>
    <w:uiPriority w:val="99"/>
    <w:rPr>
      <w:color w:val="0000FF"/>
      <w:u w:val="single"/>
    </w:rPr>
  </w:style>
  <w:style w:type="character" w:styleId="28">
    <w:name w:val="annotation reference"/>
    <w:basedOn w:val="24"/>
    <w:autoRedefine/>
    <w:semiHidden/>
    <w:unhideWhenUsed/>
    <w:qFormat/>
    <w:uiPriority w:val="99"/>
    <w:rPr>
      <w:sz w:val="21"/>
      <w:szCs w:val="21"/>
    </w:rPr>
  </w:style>
  <w:style w:type="paragraph" w:customStyle="1" w:styleId="29">
    <w:name w:val="表格文字"/>
    <w:basedOn w:val="1"/>
    <w:autoRedefine/>
    <w:qFormat/>
    <w:uiPriority w:val="0"/>
    <w:pPr>
      <w:spacing w:before="25" w:after="25" w:line="240" w:lineRule="auto"/>
      <w:ind w:firstLine="0"/>
      <w:jc w:val="left"/>
    </w:pPr>
    <w:rPr>
      <w:bCs/>
      <w:spacing w:val="10"/>
      <w:kern w:val="0"/>
      <w:sz w:val="24"/>
    </w:rPr>
  </w:style>
  <w:style w:type="paragraph" w:styleId="30">
    <w:name w:val="List Paragraph"/>
    <w:basedOn w:val="1"/>
    <w:autoRedefine/>
    <w:qFormat/>
    <w:uiPriority w:val="34"/>
    <w:pPr>
      <w:ind w:firstLine="420" w:firstLineChars="200"/>
    </w:pPr>
  </w:style>
  <w:style w:type="paragraph" w:customStyle="1" w:styleId="31">
    <w:name w:val="Default"/>
    <w:qFormat/>
    <w:uiPriority w:val="0"/>
    <w:pPr>
      <w:widowControl w:val="0"/>
      <w:autoSpaceDE w:val="0"/>
      <w:autoSpaceDN w:val="0"/>
      <w:adjustRightInd w:val="0"/>
    </w:pPr>
    <w:rPr>
      <w:rFonts w:ascii="H Yb 2gj" w:hAnsi="Times New Roman" w:eastAsia="H Yb 2gj" w:cs="H Yb 2gj"/>
      <w:color w:val="000000"/>
      <w:sz w:val="24"/>
      <w:szCs w:val="24"/>
      <w:lang w:val="en-US" w:eastAsia="zh-CN" w:bidi="ar-SA"/>
    </w:rPr>
  </w:style>
  <w:style w:type="character" w:customStyle="1" w:styleId="32">
    <w:name w:val="日期 Char"/>
    <w:basedOn w:val="24"/>
    <w:link w:val="12"/>
    <w:autoRedefine/>
    <w:qFormat/>
    <w:uiPriority w:val="0"/>
    <w:rPr>
      <w:rFonts w:ascii="宋体" w:hAnsi="Courier New" w:eastAsia="宋体" w:cs="Times New Roman"/>
      <w:kern w:val="0"/>
      <w:sz w:val="32"/>
      <w:szCs w:val="20"/>
    </w:rPr>
  </w:style>
  <w:style w:type="character" w:customStyle="1" w:styleId="33">
    <w:name w:val="日期 Char1"/>
    <w:basedOn w:val="24"/>
    <w:link w:val="12"/>
    <w:autoRedefine/>
    <w:semiHidden/>
    <w:qFormat/>
    <w:uiPriority w:val="99"/>
    <w:rPr>
      <w:rFonts w:ascii="Calibri" w:hAnsi="Calibri" w:eastAsia="宋体" w:cs="Times New Roman"/>
    </w:rPr>
  </w:style>
  <w:style w:type="character" w:customStyle="1" w:styleId="34">
    <w:name w:val="批注框文本 Char"/>
    <w:basedOn w:val="24"/>
    <w:link w:val="13"/>
    <w:autoRedefine/>
    <w:semiHidden/>
    <w:qFormat/>
    <w:uiPriority w:val="99"/>
    <w:rPr>
      <w:rFonts w:ascii="Calibri" w:hAnsi="Calibri" w:eastAsia="宋体" w:cs="Times New Roman"/>
      <w:sz w:val="18"/>
      <w:szCs w:val="18"/>
    </w:rPr>
  </w:style>
  <w:style w:type="character" w:customStyle="1" w:styleId="35">
    <w:name w:val="页眉 Char"/>
    <w:basedOn w:val="24"/>
    <w:link w:val="16"/>
    <w:autoRedefine/>
    <w:semiHidden/>
    <w:qFormat/>
    <w:uiPriority w:val="99"/>
    <w:rPr>
      <w:rFonts w:ascii="Calibri" w:hAnsi="Calibri" w:eastAsia="宋体" w:cs="Times New Roman"/>
      <w:sz w:val="18"/>
      <w:szCs w:val="18"/>
    </w:rPr>
  </w:style>
  <w:style w:type="character" w:customStyle="1" w:styleId="36">
    <w:name w:val="页脚 Char"/>
    <w:basedOn w:val="24"/>
    <w:link w:val="14"/>
    <w:autoRedefine/>
    <w:qFormat/>
    <w:uiPriority w:val="99"/>
    <w:rPr>
      <w:rFonts w:ascii="Calibri" w:hAnsi="Calibri" w:eastAsia="宋体" w:cs="Times New Roman"/>
      <w:sz w:val="18"/>
      <w:szCs w:val="18"/>
    </w:rPr>
  </w:style>
  <w:style w:type="character" w:customStyle="1" w:styleId="37">
    <w:name w:val="标题 1 Char"/>
    <w:basedOn w:val="24"/>
    <w:link w:val="2"/>
    <w:autoRedefine/>
    <w:qFormat/>
    <w:uiPriority w:val="0"/>
    <w:rPr>
      <w:rFonts w:ascii="宋体" w:hAnsi="Calibri" w:eastAsia="宋体" w:cs="Times New Roman"/>
      <w:color w:val="000000"/>
      <w:sz w:val="28"/>
      <w:szCs w:val="20"/>
    </w:rPr>
  </w:style>
  <w:style w:type="character" w:customStyle="1" w:styleId="38">
    <w:name w:val="批注文字 Char"/>
    <w:basedOn w:val="24"/>
    <w:link w:val="9"/>
    <w:autoRedefine/>
    <w:qFormat/>
    <w:uiPriority w:val="99"/>
    <w:rPr>
      <w:rFonts w:ascii="Calibri" w:hAnsi="Calibri" w:eastAsia="宋体" w:cs="Times New Roman"/>
    </w:rPr>
  </w:style>
  <w:style w:type="character" w:customStyle="1" w:styleId="39">
    <w:name w:val="批注主题 Char"/>
    <w:basedOn w:val="38"/>
    <w:link w:val="20"/>
    <w:autoRedefine/>
    <w:semiHidden/>
    <w:qFormat/>
    <w:uiPriority w:val="99"/>
    <w:rPr>
      <w:b/>
      <w:bCs/>
    </w:rPr>
  </w:style>
  <w:style w:type="character" w:customStyle="1" w:styleId="40">
    <w:name w:val="纯文本 Char"/>
    <w:link w:val="11"/>
    <w:autoRedefine/>
    <w:qFormat/>
    <w:uiPriority w:val="0"/>
    <w:rPr>
      <w:rFonts w:ascii="宋体" w:hAnsi="Courier New"/>
    </w:rPr>
  </w:style>
  <w:style w:type="character" w:customStyle="1" w:styleId="41">
    <w:name w:val="纯文本 Char1"/>
    <w:basedOn w:val="24"/>
    <w:link w:val="11"/>
    <w:autoRedefine/>
    <w:semiHidden/>
    <w:qFormat/>
    <w:uiPriority w:val="99"/>
    <w:rPr>
      <w:rFonts w:ascii="宋体" w:hAnsi="Courier New" w:eastAsia="宋体" w:cs="Courier New"/>
      <w:szCs w:val="21"/>
    </w:rPr>
  </w:style>
  <w:style w:type="character" w:customStyle="1" w:styleId="42">
    <w:name w:val="标题 2 Char"/>
    <w:basedOn w:val="24"/>
    <w:link w:val="3"/>
    <w:autoRedefine/>
    <w:qFormat/>
    <w:uiPriority w:val="0"/>
    <w:rPr>
      <w:rFonts w:ascii="Arial" w:hAnsi="Arial" w:eastAsia="宋体" w:cs="Times New Roman"/>
      <w:b/>
      <w:bCs/>
      <w:sz w:val="32"/>
      <w:szCs w:val="32"/>
    </w:rPr>
  </w:style>
  <w:style w:type="character" w:customStyle="1" w:styleId="43">
    <w:name w:val="标题 3 Char"/>
    <w:basedOn w:val="24"/>
    <w:link w:val="4"/>
    <w:autoRedefine/>
    <w:semiHidden/>
    <w:qFormat/>
    <w:uiPriority w:val="9"/>
    <w:rPr>
      <w:rFonts w:ascii="Calibri" w:hAnsi="Calibri" w:eastAsia="宋体" w:cs="Times New Roman"/>
      <w:b/>
      <w:bCs/>
      <w:sz w:val="32"/>
      <w:szCs w:val="32"/>
    </w:rPr>
  </w:style>
  <w:style w:type="character" w:customStyle="1" w:styleId="44">
    <w:name w:val="标题 4 Char"/>
    <w:basedOn w:val="24"/>
    <w:link w:val="5"/>
    <w:autoRedefine/>
    <w:qFormat/>
    <w:uiPriority w:val="0"/>
    <w:rPr>
      <w:rFonts w:ascii="Cambria" w:hAnsi="Cambria" w:eastAsia="宋体" w:cs="Times New Roman"/>
      <w:b/>
      <w:bCs/>
      <w:sz w:val="28"/>
      <w:szCs w:val="28"/>
    </w:rPr>
  </w:style>
  <w:style w:type="paragraph" w:customStyle="1" w:styleId="45">
    <w:name w:val="xl48"/>
    <w:basedOn w:val="1"/>
    <w:autoRedefine/>
    <w:qFormat/>
    <w:uiPriority w:val="0"/>
    <w:pPr>
      <w:widowControl/>
      <w:pBdr>
        <w:bottom w:val="single" w:color="auto" w:sz="4" w:space="0"/>
      </w:pBdr>
      <w:spacing w:before="100" w:beforeAutospacing="1" w:after="100" w:afterAutospacing="1"/>
      <w:jc w:val="center"/>
      <w:textAlignment w:val="center"/>
    </w:pPr>
    <w:rPr>
      <w:rFonts w:eastAsia="Arial Unicode MS"/>
      <w:kern w:val="0"/>
      <w:sz w:val="24"/>
      <w:szCs w:val="24"/>
    </w:rPr>
  </w:style>
  <w:style w:type="paragraph" w:customStyle="1" w:styleId="46">
    <w:name w:val="1"/>
    <w:basedOn w:val="1"/>
    <w:next w:val="11"/>
    <w:autoRedefine/>
    <w:qFormat/>
    <w:uiPriority w:val="0"/>
    <w:rPr>
      <w:rFonts w:ascii="宋体" w:hAnsi="Courier New"/>
      <w:szCs w:val="20"/>
    </w:rPr>
  </w:style>
  <w:style w:type="paragraph" w:customStyle="1" w:styleId="47">
    <w:name w:val="8"/>
    <w:basedOn w:val="1"/>
    <w:next w:val="11"/>
    <w:autoRedefine/>
    <w:qFormat/>
    <w:uiPriority w:val="0"/>
    <w:rPr>
      <w:rFonts w:ascii="宋体" w:hAnsi="Courier New"/>
      <w:szCs w:val="20"/>
    </w:rPr>
  </w:style>
  <w:style w:type="paragraph" w:customStyle="1" w:styleId="48">
    <w:name w:val="_Style 55"/>
    <w:basedOn w:val="1"/>
    <w:next w:val="11"/>
    <w:autoRedefine/>
    <w:qFormat/>
    <w:uiPriority w:val="0"/>
    <w:rPr>
      <w:rFonts w:ascii="宋体" w:hAnsi="Courier New"/>
      <w:szCs w:val="20"/>
    </w:rPr>
  </w:style>
  <w:style w:type="paragraph" w:customStyle="1" w:styleId="49">
    <w:name w:val="7"/>
    <w:basedOn w:val="1"/>
    <w:next w:val="11"/>
    <w:link w:val="50"/>
    <w:autoRedefine/>
    <w:qFormat/>
    <w:uiPriority w:val="0"/>
    <w:rPr>
      <w:rFonts w:ascii="宋体" w:hAnsi="Courier New"/>
      <w:szCs w:val="20"/>
    </w:rPr>
  </w:style>
  <w:style w:type="character" w:customStyle="1" w:styleId="50">
    <w:name w:val="Char1"/>
    <w:link w:val="49"/>
    <w:autoRedefine/>
    <w:qFormat/>
    <w:uiPriority w:val="0"/>
    <w:rPr>
      <w:rFonts w:ascii="宋体" w:hAnsi="Courier New" w:eastAsia="宋体" w:cs="Times New Roman"/>
      <w:szCs w:val="20"/>
    </w:rPr>
  </w:style>
  <w:style w:type="paragraph" w:customStyle="1" w:styleId="51">
    <w:name w:val="Body text|1"/>
    <w:basedOn w:val="1"/>
    <w:autoRedefine/>
    <w:qFormat/>
    <w:uiPriority w:val="0"/>
    <w:pPr>
      <w:widowControl w:val="0"/>
      <w:shd w:val="clear" w:color="auto" w:fill="auto"/>
      <w:spacing w:line="396" w:lineRule="auto"/>
    </w:pPr>
    <w:rPr>
      <w:rFonts w:ascii="宋体" w:hAnsi="宋体" w:eastAsia="宋体" w:cs="宋体"/>
      <w:u w:val="none"/>
      <w:shd w:val="clear" w:color="auto" w:fill="auto"/>
      <w:lang w:val="zh-TW" w:eastAsia="zh-TW" w:bidi="zh-TW"/>
    </w:rPr>
  </w:style>
  <w:style w:type="paragraph" w:customStyle="1" w:styleId="52">
    <w:name w:val="文档正文"/>
    <w:basedOn w:val="1"/>
    <w:qFormat/>
    <w:uiPriority w:val="0"/>
    <w:pPr>
      <w:adjustRightInd w:val="0"/>
      <w:spacing w:line="480" w:lineRule="atLeast"/>
      <w:ind w:firstLine="567" w:firstLineChars="200"/>
      <w:textAlignment w:val="baseline"/>
    </w:pPr>
    <w:rPr>
      <w:rFonts w:ascii="长城仿宋"/>
      <w:kern w:val="0"/>
      <w:szCs w:val="20"/>
    </w:rPr>
  </w:style>
  <w:style w:type="paragraph" w:customStyle="1" w:styleId="53">
    <w:name w:val="表正文"/>
    <w:basedOn w:val="1"/>
    <w:qFormat/>
    <w:uiPriority w:val="0"/>
    <w:rPr>
      <w:sz w:val="18"/>
    </w:rPr>
  </w:style>
  <w:style w:type="paragraph" w:customStyle="1" w:styleId="54">
    <w:name w:val="表格并列项"/>
    <w:basedOn w:val="55"/>
    <w:qFormat/>
    <w:uiPriority w:val="0"/>
    <w:pPr>
      <w:tabs>
        <w:tab w:val="left" w:pos="839"/>
      </w:tabs>
      <w:spacing w:before="40" w:after="40"/>
      <w:ind w:left="840" w:firstLineChars="0"/>
    </w:pPr>
  </w:style>
  <w:style w:type="paragraph" w:customStyle="1" w:styleId="55">
    <w:name w:val="并列项"/>
    <w:basedOn w:val="30"/>
    <w:qFormat/>
    <w:uiPriority w:val="0"/>
    <w:pPr>
      <w:numPr>
        <w:ilvl w:val="0"/>
        <w:numId w:val="1"/>
      </w:numPr>
      <w:snapToGrid w:val="0"/>
      <w:ind w:left="420"/>
      <w:contextualSpacing/>
    </w:pPr>
    <w:rPr>
      <w:rFonts w:cs="Cambria"/>
    </w:rPr>
  </w:style>
  <w:style w:type="paragraph" w:customStyle="1" w:styleId="56">
    <w:name w:val="Normal Indent"/>
    <w:basedOn w:val="1"/>
    <w:next w:val="1"/>
    <w:qFormat/>
    <w:uiPriority w:val="0"/>
    <w:pPr>
      <w:ind w:firstLine="420"/>
    </w:pPr>
    <w:rPr>
      <w:rFonts w:ascii="Calibri" w:hAnsi="Calibri" w:eastAsia="宋体"/>
      <w:szCs w:val="20"/>
    </w:rPr>
  </w:style>
  <w:style w:type="paragraph" w:customStyle="1" w:styleId="57">
    <w:name w:val="Ｒ07-正!!文"/>
    <w:qFormat/>
    <w:uiPriority w:val="0"/>
    <w:pPr>
      <w:wordWrap w:val="0"/>
      <w:spacing w:afterLines="20" w:line="312" w:lineRule="auto"/>
      <w:ind w:firstLine="496" w:firstLineChars="200"/>
    </w:pPr>
    <w:rPr>
      <w:rFonts w:ascii="宋体" w:hAnsi="宋体" w:eastAsia="宋体" w:cs="宋体"/>
      <w:snapToGrid w:val="0"/>
      <w:spacing w:val="4"/>
      <w:kern w:val="2"/>
      <w:sz w:val="24"/>
      <w:szCs w:val="24"/>
      <w:lang w:val="en-US" w:eastAsia="zh-CN" w:bidi="ar-SA"/>
    </w:rPr>
  </w:style>
  <w:style w:type="character" w:customStyle="1" w:styleId="58">
    <w:name w:val="批注文字 字符"/>
    <w:basedOn w:val="24"/>
    <w:link w:val="9"/>
    <w:autoRedefine/>
    <w:qFormat/>
    <w:uiPriority w:val="0"/>
    <w:rPr>
      <w:rFonts w:asciiTheme="minorHAnsi" w:hAnsiTheme="minorHAnsi" w:eastAsiaTheme="minorEastAsia" w:cstheme="minorBidi"/>
      <w:kern w:val="2"/>
      <w:sz w:val="21"/>
      <w:szCs w:val="24"/>
    </w:rPr>
  </w:style>
  <w:style w:type="paragraph" w:customStyle="1" w:styleId="59">
    <w:name w:val="Table Text"/>
    <w:basedOn w:val="1"/>
    <w:semiHidden/>
    <w:qFormat/>
    <w:uiPriority w:val="0"/>
    <w:rPr>
      <w:rFonts w:ascii="宋体" w:hAnsi="宋体" w:eastAsia="宋体" w:cs="宋体"/>
      <w:sz w:val="21"/>
      <w:szCs w:val="21"/>
      <w:lang w:val="en-US" w:eastAsia="en-US" w:bidi="ar-SA"/>
    </w:rPr>
  </w:style>
  <w:style w:type="character" w:customStyle="1" w:styleId="60">
    <w:name w:val="NormalCharacter"/>
    <w:qFormat/>
    <w:uiPriority w:val="0"/>
    <w:rPr>
      <w:kern w:val="2"/>
      <w:sz w:val="21"/>
      <w:szCs w:val="24"/>
      <w:lang w:val="en-US" w:eastAsia="zh-CN" w:bidi="ar-SA"/>
    </w:rPr>
  </w:style>
  <w:style w:type="character" w:customStyle="1" w:styleId="61">
    <w:name w:val="font21"/>
    <w:qFormat/>
    <w:uiPriority w:val="0"/>
    <w:rPr>
      <w:rFonts w:hint="eastAsia" w:ascii="宋体" w:hAnsi="宋体" w:eastAsia="宋体" w:cs="宋体"/>
      <w:color w:val="000000"/>
      <w:sz w:val="24"/>
      <w:szCs w:val="24"/>
      <w:u w:val="none"/>
    </w:rPr>
  </w:style>
  <w:style w:type="paragraph" w:customStyle="1" w:styleId="62">
    <w:name w:val="Table Paragraph"/>
    <w:basedOn w:val="1"/>
    <w:qFormat/>
    <w:uiPriority w:val="0"/>
    <w:pPr>
      <w:autoSpaceDE w:val="0"/>
      <w:autoSpaceDN w:val="0"/>
      <w:adjustRightInd w:val="0"/>
      <w:jc w:val="left"/>
    </w:pPr>
    <w:rPr>
      <w:rFonts w:ascii="宋体" w:hAnsi="宋体" w:cs="宋体"/>
      <w:kern w:val="0"/>
      <w:sz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52ED83-26AA-4E65-B141-EB370BBE785F}">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6</Pages>
  <Words>5993</Words>
  <Characters>6364</Characters>
  <Lines>229</Lines>
  <Paragraphs>64</Paragraphs>
  <TotalTime>1</TotalTime>
  <ScaleCrop>false</ScaleCrop>
  <LinksUpToDate>false</LinksUpToDate>
  <CharactersWithSpaces>6397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2019-10-21T09:39:00Z</dcterms:created>
  <dc:creator>User</dc:creator>
  <cp:lastModifiedBy>中正--李工</cp:lastModifiedBy>
  <cp:lastPrinted>2020-05-21T02:27:00Z</cp:lastPrinted>
  <dcterms:modified xsi:type="dcterms:W3CDTF">2026-10-14T10:59:47Z</dcterms:modified>
  <cp:revision>1664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B946BEF99C8F409FBFCFBF89E6EAF5A4</vt:lpwstr>
  </property>
  <property fmtid="{D5CDD505-2E9C-101B-9397-08002B2CF9AE}" pid="4" name="KSOTemplateDocerSaveRecord">
    <vt:lpwstr>eyJoZGlkIjoiMzNiN2JjZGQwODQzNTVmMDg4ZGNmNzRhYmJlZDY2YTUiLCJ1c2VySWQiOiI0NjMwNjU1NzcifQ==</vt:lpwstr>
  </property>
</Properties>
</file>