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19"/>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296"/>
        <w:gridCol w:w="825"/>
        <w:gridCol w:w="780"/>
        <w:gridCol w:w="2385"/>
        <w:gridCol w:w="2115"/>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2296"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cs="宋体"/>
                <w:b/>
                <w:sz w:val="22"/>
                <w:lang w:val="en-US" w:eastAsia="zh-CN"/>
              </w:rPr>
              <w:t>采购</w:t>
            </w:r>
            <w:r>
              <w:rPr>
                <w:rFonts w:hint="eastAsia" w:ascii="宋体" w:hAnsi="宋体" w:eastAsia="宋体" w:cs="宋体"/>
                <w:b/>
                <w:sz w:val="22"/>
              </w:rPr>
              <w:t>内容</w:t>
            </w:r>
          </w:p>
        </w:tc>
        <w:tc>
          <w:tcPr>
            <w:tcW w:w="825"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78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385"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c>
          <w:tcPr>
            <w:tcW w:w="2115" w:type="dxa"/>
            <w:noWrap w:val="0"/>
            <w:vAlign w:val="center"/>
          </w:tcPr>
          <w:p w14:paraId="4DCFBBE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b/>
                <w:sz w:val="22"/>
                <w:lang w:val="en-US" w:eastAsia="zh-CN"/>
              </w:rPr>
            </w:pPr>
            <w:r>
              <w:rPr>
                <w:rFonts w:hint="eastAsia" w:ascii="宋体" w:hAnsi="宋体" w:cs="宋体"/>
                <w:b/>
                <w:sz w:val="22"/>
                <w:lang w:val="en-US" w:eastAsia="zh-CN"/>
              </w:rPr>
              <w:t>最高限价</w:t>
            </w:r>
            <w:r>
              <w:rPr>
                <w:rFonts w:hint="eastAsia" w:ascii="宋体" w:hAnsi="宋体" w:eastAsia="宋体" w:cs="宋体"/>
                <w:b/>
                <w:sz w:val="22"/>
              </w:rPr>
              <w:t>（元）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2296"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电子上消化道内窥镜</w:t>
            </w:r>
          </w:p>
        </w:tc>
        <w:tc>
          <w:tcPr>
            <w:tcW w:w="825"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z w:val="21"/>
                <w:szCs w:val="21"/>
                <w:lang w:val="en-US" w:eastAsia="zh-CN"/>
              </w:rPr>
            </w:pPr>
            <w:r>
              <w:rPr>
                <w:rFonts w:hint="eastAsia" w:ascii="宋体" w:hAnsi="宋体" w:cs="宋体"/>
                <w:bCs/>
                <w:sz w:val="21"/>
                <w:szCs w:val="21"/>
                <w:lang w:val="en-US" w:eastAsia="zh-CN"/>
              </w:rPr>
              <w:t>1</w:t>
            </w:r>
          </w:p>
        </w:tc>
        <w:tc>
          <w:tcPr>
            <w:tcW w:w="78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套</w:t>
            </w:r>
          </w:p>
        </w:tc>
        <w:tc>
          <w:tcPr>
            <w:tcW w:w="2385"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1,10,000</w:t>
            </w:r>
            <w:r>
              <w:rPr>
                <w:rFonts w:hint="eastAsia" w:ascii="宋体" w:hAnsi="宋体" w:eastAsia="宋体" w:cs="宋体"/>
                <w:sz w:val="21"/>
                <w:szCs w:val="21"/>
              </w:rPr>
              <w:t>.00</w:t>
            </w:r>
          </w:p>
        </w:tc>
        <w:tc>
          <w:tcPr>
            <w:tcW w:w="2115" w:type="dxa"/>
            <w:noWrap w:val="0"/>
            <w:vAlign w:val="center"/>
          </w:tcPr>
          <w:p w14:paraId="34D8321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900,000.00</w:t>
            </w:r>
          </w:p>
        </w:tc>
      </w:tr>
    </w:tbl>
    <w:p w14:paraId="6FCB4A35">
      <w:pPr>
        <w:pStyle w:val="2"/>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6D3762F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cs="宋体"/>
          <w:b/>
          <w:sz w:val="28"/>
          <w:szCs w:val="28"/>
          <w:lang w:val="en-US" w:eastAsia="zh-CN"/>
        </w:rPr>
      </w:pPr>
      <w:r>
        <w:rPr>
          <w:rFonts w:hint="eastAsia" w:ascii="宋体" w:hAnsi="宋体" w:cs="宋体"/>
          <w:b/>
          <w:sz w:val="28"/>
          <w:szCs w:val="28"/>
          <w:lang w:val="en-US" w:eastAsia="zh-CN"/>
        </w:rPr>
        <w:t>二、货物清单</w:t>
      </w:r>
    </w:p>
    <w:tbl>
      <w:tblPr>
        <w:tblStyle w:val="19"/>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807"/>
        <w:gridCol w:w="1860"/>
        <w:gridCol w:w="1860"/>
        <w:gridCol w:w="1862"/>
      </w:tblGrid>
      <w:tr w14:paraId="151CF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vAlign w:val="center"/>
          </w:tcPr>
          <w:p w14:paraId="10AD28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序号</w:t>
            </w:r>
          </w:p>
        </w:tc>
        <w:tc>
          <w:tcPr>
            <w:tcW w:w="2807" w:type="dxa"/>
            <w:vAlign w:val="center"/>
          </w:tcPr>
          <w:p w14:paraId="10AD28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货物名称</w:t>
            </w:r>
          </w:p>
        </w:tc>
        <w:tc>
          <w:tcPr>
            <w:tcW w:w="1860" w:type="dxa"/>
            <w:vAlign w:val="center"/>
          </w:tcPr>
          <w:p w14:paraId="10AD28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数量</w:t>
            </w:r>
          </w:p>
        </w:tc>
        <w:tc>
          <w:tcPr>
            <w:tcW w:w="1860" w:type="dxa"/>
            <w:vAlign w:val="center"/>
          </w:tcPr>
          <w:p w14:paraId="10AD28E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单位</w:t>
            </w:r>
          </w:p>
        </w:tc>
        <w:tc>
          <w:tcPr>
            <w:tcW w:w="1862" w:type="dxa"/>
            <w:vAlign w:val="center"/>
          </w:tcPr>
          <w:p w14:paraId="22D4175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lang w:val="en-US" w:eastAsia="zh-CN"/>
              </w:rPr>
            </w:pPr>
            <w:r>
              <w:rPr>
                <w:rFonts w:hint="eastAsia" w:ascii="宋体" w:hAnsi="宋体" w:cs="宋体"/>
                <w:b w:val="0"/>
                <w:bCs/>
                <w:sz w:val="21"/>
                <w:szCs w:val="21"/>
                <w:highlight w:val="none"/>
                <w:lang w:val="en-US" w:eastAsia="zh-CN"/>
              </w:rPr>
              <w:t>备注</w:t>
            </w:r>
          </w:p>
        </w:tc>
      </w:tr>
      <w:tr w14:paraId="15A1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8" w:type="dxa"/>
          </w:tcPr>
          <w:p w14:paraId="10AD28E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2807" w:type="dxa"/>
            <w:vAlign w:val="center"/>
          </w:tcPr>
          <w:p w14:paraId="10AD28F0">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sz w:val="21"/>
                <w:szCs w:val="21"/>
                <w:lang w:eastAsia="zh-CN"/>
              </w:rPr>
              <w:t>电子上消化道内窥镜</w:t>
            </w:r>
          </w:p>
        </w:tc>
        <w:tc>
          <w:tcPr>
            <w:tcW w:w="1860" w:type="dxa"/>
            <w:vAlign w:val="center"/>
          </w:tcPr>
          <w:p w14:paraId="10AD28F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sz w:val="21"/>
                <w:szCs w:val="21"/>
                <w:highlight w:val="none"/>
              </w:rPr>
            </w:pPr>
            <w:r>
              <w:rPr>
                <w:rFonts w:hint="eastAsia" w:ascii="宋体" w:hAnsi="宋体" w:cs="宋体"/>
                <w:bCs/>
                <w:sz w:val="21"/>
                <w:szCs w:val="21"/>
                <w:lang w:val="en-US" w:eastAsia="zh-CN"/>
              </w:rPr>
              <w:t>1</w:t>
            </w:r>
          </w:p>
        </w:tc>
        <w:tc>
          <w:tcPr>
            <w:tcW w:w="1860" w:type="dxa"/>
            <w:vAlign w:val="center"/>
          </w:tcPr>
          <w:p w14:paraId="10AD28F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sz w:val="21"/>
                <w:szCs w:val="21"/>
                <w:highlight w:val="none"/>
              </w:rPr>
            </w:pPr>
            <w:r>
              <w:rPr>
                <w:rFonts w:hint="eastAsia" w:ascii="宋体" w:hAnsi="宋体" w:cs="宋体"/>
                <w:sz w:val="21"/>
                <w:szCs w:val="21"/>
                <w:lang w:val="en-US" w:eastAsia="zh-CN"/>
              </w:rPr>
              <w:t>套</w:t>
            </w:r>
          </w:p>
        </w:tc>
        <w:tc>
          <w:tcPr>
            <w:tcW w:w="1862" w:type="dxa"/>
            <w:vAlign w:val="center"/>
          </w:tcPr>
          <w:p w14:paraId="781DB38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接受进口</w:t>
            </w:r>
          </w:p>
        </w:tc>
      </w:tr>
    </w:tbl>
    <w:p w14:paraId="177DB60D">
      <w:pPr>
        <w:pStyle w:val="2"/>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三</w:t>
      </w:r>
      <w:r>
        <w:rPr>
          <w:rFonts w:hint="eastAsia" w:ascii="宋体" w:hAnsi="宋体" w:eastAsia="宋体" w:cs="宋体"/>
          <w:b/>
          <w:sz w:val="28"/>
          <w:szCs w:val="28"/>
        </w:rPr>
        <w:t>、</w:t>
      </w:r>
      <w:r>
        <w:rPr>
          <w:rFonts w:hint="eastAsia" w:ascii="宋体" w:hAnsi="宋体" w:eastAsia="宋体" w:cs="宋体"/>
          <w:b/>
          <w:sz w:val="28"/>
          <w:szCs w:val="28"/>
          <w:lang w:val="en-US" w:eastAsia="zh-CN"/>
        </w:rPr>
        <w:t>技术需求</w:t>
      </w:r>
    </w:p>
    <w:tbl>
      <w:tblPr>
        <w:tblStyle w:val="1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7859"/>
      </w:tblGrid>
      <w:tr w14:paraId="67C4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9E976">
            <w:pPr>
              <w:widowControl/>
              <w:spacing w:before="100" w:beforeAutospacing="1" w:after="100" w:afterAutospacing="1"/>
              <w:jc w:val="center"/>
              <w:rPr>
                <w:rFonts w:ascii="宋体" w:hAnsi="宋体" w:cs="宋体"/>
                <w:color w:val="auto"/>
                <w:kern w:val="0"/>
                <w:sz w:val="24"/>
                <w:szCs w:val="24"/>
                <w:highlight w:val="none"/>
              </w:rPr>
            </w:pPr>
            <w:r>
              <w:rPr>
                <w:rFonts w:hint="eastAsia" w:cs="宋体"/>
                <w:color w:val="auto"/>
                <w:kern w:val="0"/>
                <w:sz w:val="24"/>
                <w:szCs w:val="21"/>
                <w:highlight w:val="none"/>
                <w:lang w:eastAsia="zh-CN"/>
              </w:rPr>
              <w:t>设备</w:t>
            </w:r>
            <w:r>
              <w:rPr>
                <w:rFonts w:hint="eastAsia" w:cs="宋体"/>
                <w:color w:val="auto"/>
                <w:kern w:val="0"/>
                <w:sz w:val="24"/>
                <w:szCs w:val="21"/>
                <w:highlight w:val="none"/>
              </w:rPr>
              <w:t>名称</w:t>
            </w:r>
          </w:p>
        </w:tc>
        <w:tc>
          <w:tcPr>
            <w:tcW w:w="7859" w:type="dxa"/>
            <w:tcBorders>
              <w:top w:val="single" w:color="auto" w:sz="4" w:space="0"/>
              <w:left w:val="single" w:color="auto" w:sz="4" w:space="0"/>
              <w:bottom w:val="single" w:color="auto" w:sz="4" w:space="0"/>
              <w:right w:val="single" w:color="auto" w:sz="4" w:space="0"/>
            </w:tcBorders>
            <w:noWrap w:val="0"/>
            <w:vAlign w:val="center"/>
          </w:tcPr>
          <w:p w14:paraId="074BBBE9">
            <w:pPr>
              <w:widowControl/>
              <w:spacing w:before="100" w:beforeAutospacing="1" w:after="100" w:afterAutospacing="1"/>
              <w:jc w:val="center"/>
              <w:rPr>
                <w:rFonts w:ascii="宋体" w:hAnsi="宋体" w:cs="宋体"/>
                <w:color w:val="auto"/>
                <w:kern w:val="0"/>
                <w:sz w:val="24"/>
                <w:szCs w:val="24"/>
                <w:highlight w:val="yellow"/>
              </w:rPr>
            </w:pPr>
            <w:r>
              <w:rPr>
                <w:rFonts w:hint="eastAsia" w:cs="宋体"/>
                <w:color w:val="auto"/>
                <w:kern w:val="0"/>
                <w:sz w:val="24"/>
                <w:szCs w:val="21"/>
                <w:highlight w:val="none"/>
              </w:rPr>
              <w:t>招标技术要求</w:t>
            </w:r>
          </w:p>
        </w:tc>
      </w:tr>
      <w:tr w14:paraId="3FC7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restart"/>
            <w:tcBorders>
              <w:top w:val="single" w:color="auto" w:sz="4" w:space="0"/>
              <w:left w:val="single" w:color="auto" w:sz="4" w:space="0"/>
              <w:right w:val="single" w:color="auto" w:sz="4" w:space="0"/>
            </w:tcBorders>
            <w:shd w:val="clear" w:color="auto" w:fill="auto"/>
            <w:noWrap w:val="0"/>
            <w:vAlign w:val="center"/>
          </w:tcPr>
          <w:p w14:paraId="3B6A3D67">
            <w:pPr>
              <w:jc w:val="center"/>
              <w:rPr>
                <w:rFonts w:ascii="宋体" w:hAnsi="宋体" w:cs="宋体"/>
                <w:color w:val="auto"/>
                <w:kern w:val="0"/>
                <w:szCs w:val="21"/>
                <w:highlight w:val="none"/>
              </w:rPr>
            </w:pPr>
            <w:r>
              <w:rPr>
                <w:rFonts w:hint="eastAsia" w:ascii="宋体" w:hAnsi="宋体" w:cs="宋体"/>
                <w:color w:val="auto"/>
                <w:kern w:val="0"/>
                <w:szCs w:val="21"/>
                <w:highlight w:val="none"/>
              </w:rPr>
              <w:t>电子上消化道内窥镜</w:t>
            </w:r>
          </w:p>
        </w:tc>
        <w:tc>
          <w:tcPr>
            <w:tcW w:w="7859" w:type="dxa"/>
            <w:tcBorders>
              <w:top w:val="single" w:color="auto" w:sz="4" w:space="0"/>
              <w:left w:val="single" w:color="auto" w:sz="4" w:space="0"/>
              <w:bottom w:val="single" w:color="auto" w:sz="4" w:space="0"/>
              <w:right w:val="single" w:color="auto" w:sz="4" w:space="0"/>
            </w:tcBorders>
            <w:noWrap w:val="0"/>
            <w:vAlign w:val="top"/>
          </w:tcPr>
          <w:p w14:paraId="6C9B1CC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w:t>
            </w:r>
            <w:r>
              <w:rPr>
                <w:rFonts w:hint="eastAsia" w:ascii="宋体" w:hAnsi="宋体" w:eastAsia="宋体" w:cs="宋体"/>
                <w:color w:val="auto"/>
                <w:sz w:val="22"/>
                <w:szCs w:val="22"/>
                <w:highlight w:val="none"/>
                <w:lang w:val="en-US" w:eastAsia="zh-CN"/>
              </w:rPr>
              <w:t>内镜先端采用微型CCD设计；视野角常规观察≥140度；常规观察景深范围</w:t>
            </w:r>
            <w:r>
              <w:rPr>
                <w:rFonts w:hint="eastAsia" w:ascii="宋体" w:hAnsi="宋体" w:cs="宋体"/>
                <w:color w:val="auto"/>
                <w:sz w:val="22"/>
                <w:szCs w:val="22"/>
                <w:highlight w:val="none"/>
                <w:lang w:val="en-US" w:eastAsia="zh-CN"/>
              </w:rPr>
              <w:t>在</w:t>
            </w:r>
            <w:r>
              <w:rPr>
                <w:rFonts w:hint="eastAsia" w:ascii="宋体" w:hAnsi="宋体" w:eastAsia="宋体" w:cs="宋体"/>
                <w:color w:val="auto"/>
                <w:sz w:val="22"/>
                <w:szCs w:val="22"/>
                <w:highlight w:val="none"/>
                <w:lang w:val="en-US" w:eastAsia="zh-CN"/>
              </w:rPr>
              <w:t>7-100mm</w:t>
            </w:r>
            <w:r>
              <w:rPr>
                <w:rFonts w:hint="eastAsia"/>
                <w:lang w:eastAsia="zh-CN"/>
              </w:rPr>
              <w:t>内即可</w:t>
            </w:r>
            <w:r>
              <w:rPr>
                <w:rFonts w:hint="eastAsia" w:ascii="宋体" w:hAnsi="宋体" w:eastAsia="宋体" w:cs="宋体"/>
                <w:color w:val="auto"/>
                <w:sz w:val="22"/>
                <w:szCs w:val="22"/>
                <w:highlight w:val="none"/>
                <w:lang w:val="en-US" w:eastAsia="zh-CN"/>
              </w:rPr>
              <w:t>；弯曲角度：上≥210度，下≥90度，左≥100度，右≥100度</w:t>
            </w:r>
            <w:r>
              <w:rPr>
                <w:rFonts w:hint="eastAsia" w:ascii="宋体" w:hAnsi="宋体" w:cs="宋体"/>
                <w:color w:val="auto"/>
                <w:sz w:val="22"/>
                <w:szCs w:val="22"/>
                <w:highlight w:val="none"/>
                <w:lang w:val="en-US" w:eastAsia="zh-CN"/>
              </w:rPr>
              <w:t>。</w:t>
            </w:r>
          </w:p>
        </w:tc>
      </w:tr>
      <w:tr w14:paraId="56D4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2F7E6C15">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1F23D61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2.</w:t>
            </w:r>
            <w:r>
              <w:rPr>
                <w:rFonts w:hint="eastAsia" w:ascii="宋体" w:hAnsi="宋体" w:eastAsia="宋体" w:cs="宋体"/>
                <w:color w:val="auto"/>
                <w:sz w:val="22"/>
                <w:szCs w:val="22"/>
                <w:highlight w:val="none"/>
                <w:lang w:val="en-US" w:eastAsia="zh-CN"/>
              </w:rPr>
              <w:t>▲</w:t>
            </w:r>
            <w:r>
              <w:rPr>
                <w:rFonts w:hint="eastAsia" w:ascii="宋体" w:hAnsi="宋体" w:cs="宋体"/>
                <w:color w:val="auto"/>
                <w:sz w:val="22"/>
                <w:szCs w:val="22"/>
                <w:highlight w:val="none"/>
                <w:lang w:val="en-US" w:eastAsia="zh-CN"/>
              </w:rPr>
              <w:t>放大观察</w:t>
            </w:r>
            <w:r>
              <w:rPr>
                <w:rFonts w:hint="eastAsia" w:ascii="宋体" w:hAnsi="宋体" w:eastAsia="宋体" w:cs="宋体"/>
                <w:color w:val="auto"/>
                <w:sz w:val="22"/>
                <w:szCs w:val="22"/>
                <w:highlight w:val="none"/>
                <w:lang w:val="en-US" w:eastAsia="zh-CN"/>
              </w:rPr>
              <w:t>最小景深≤0mm，可实现内镜接触观察</w:t>
            </w:r>
            <w:r>
              <w:rPr>
                <w:rFonts w:hint="eastAsia" w:ascii="宋体" w:hAnsi="宋体" w:eastAsia="宋体" w:cs="宋体"/>
                <w:b/>
                <w:bCs/>
                <w:color w:val="FF0000"/>
                <w:kern w:val="2"/>
                <w:sz w:val="21"/>
                <w:szCs w:val="21"/>
                <w:lang w:val="en-US" w:eastAsia="zh-CN" w:bidi="ar"/>
              </w:rPr>
              <w:t>（提供技术白皮书或产品彩页或厂家参数确认函扫描件，证明材料能体现满足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cs="宋体"/>
                <w:color w:val="auto"/>
                <w:sz w:val="22"/>
                <w:szCs w:val="22"/>
                <w:highlight w:val="none"/>
                <w:lang w:val="en-US" w:eastAsia="zh-CN"/>
              </w:rPr>
              <w:t>。</w:t>
            </w:r>
          </w:p>
        </w:tc>
      </w:tr>
      <w:tr w14:paraId="30EE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13617572">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59686D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3.</w:t>
            </w:r>
            <w:r>
              <w:rPr>
                <w:rFonts w:hint="eastAsia" w:ascii="宋体" w:hAnsi="宋体" w:eastAsia="宋体" w:cs="宋体"/>
                <w:color w:val="auto"/>
                <w:sz w:val="22"/>
                <w:szCs w:val="22"/>
                <w:highlight w:val="none"/>
                <w:lang w:val="en-US" w:eastAsia="zh-CN"/>
              </w:rPr>
              <w:t>▲观察原理：使用药剂对细胞核进行染色后，将物镜与观察部位接触进行粘膜表层细胞</w:t>
            </w:r>
            <w:r>
              <w:rPr>
                <w:rFonts w:hint="eastAsia" w:ascii="宋体" w:hAnsi="宋体" w:cs="宋体"/>
                <w:color w:val="auto"/>
                <w:sz w:val="22"/>
                <w:szCs w:val="22"/>
                <w:highlight w:val="none"/>
                <w:lang w:val="en-US" w:eastAsia="zh-CN"/>
              </w:rPr>
              <w:t>，实现对生命体内细胞进行内镜观察</w:t>
            </w:r>
            <w:r>
              <w:rPr>
                <w:rFonts w:hint="eastAsia" w:ascii="宋体" w:hAnsi="宋体" w:eastAsia="宋体" w:cs="宋体"/>
                <w:b/>
                <w:bCs/>
                <w:color w:val="FF0000"/>
                <w:kern w:val="2"/>
                <w:sz w:val="21"/>
                <w:szCs w:val="21"/>
                <w:lang w:val="en-US" w:eastAsia="zh-CN" w:bidi="ar"/>
              </w:rPr>
              <w:t>（提供技术白皮书或产品彩页或厂家参数确认函扫描件，证明材料能体现满足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cs="宋体"/>
                <w:color w:val="auto"/>
                <w:sz w:val="22"/>
                <w:szCs w:val="22"/>
                <w:highlight w:val="none"/>
                <w:lang w:val="en-US" w:eastAsia="zh-CN"/>
              </w:rPr>
              <w:t>。</w:t>
            </w:r>
          </w:p>
        </w:tc>
      </w:tr>
      <w:tr w14:paraId="2750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316AAC9E">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558192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4.</w:t>
            </w:r>
            <w:r>
              <w:rPr>
                <w:rFonts w:hint="eastAsia" w:ascii="宋体" w:hAnsi="宋体" w:eastAsia="宋体" w:cs="宋体"/>
                <w:color w:val="auto"/>
                <w:sz w:val="22"/>
                <w:szCs w:val="22"/>
                <w:highlight w:val="none"/>
                <w:lang w:val="en-US" w:eastAsia="zh-CN"/>
              </w:rPr>
              <w:t>软性部外径≤9.6mm</w:t>
            </w:r>
            <w:r>
              <w:rPr>
                <w:rFonts w:hint="eastAsia" w:ascii="宋体" w:hAnsi="宋体" w:cs="宋体"/>
                <w:color w:val="auto"/>
                <w:sz w:val="22"/>
                <w:szCs w:val="22"/>
                <w:highlight w:val="none"/>
                <w:lang w:val="en-US" w:eastAsia="zh-CN"/>
              </w:rPr>
              <w:t>。</w:t>
            </w:r>
          </w:p>
        </w:tc>
      </w:tr>
      <w:tr w14:paraId="6B96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3DEEFB09">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00EB6C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5.</w:t>
            </w:r>
            <w:r>
              <w:rPr>
                <w:rFonts w:hint="eastAsia" w:ascii="宋体" w:hAnsi="宋体" w:eastAsia="宋体" w:cs="宋体"/>
                <w:color w:val="auto"/>
                <w:sz w:val="22"/>
                <w:szCs w:val="22"/>
                <w:highlight w:val="none"/>
                <w:lang w:val="en-US" w:eastAsia="zh-CN"/>
              </w:rPr>
              <w:t>先端部外径≤9.7mm</w:t>
            </w:r>
            <w:r>
              <w:rPr>
                <w:rFonts w:hint="eastAsia" w:ascii="宋体" w:hAnsi="宋体" w:cs="宋体"/>
                <w:color w:val="auto"/>
                <w:sz w:val="22"/>
                <w:szCs w:val="22"/>
                <w:highlight w:val="none"/>
                <w:lang w:val="en-US" w:eastAsia="zh-CN"/>
              </w:rPr>
              <w:t>。</w:t>
            </w:r>
          </w:p>
        </w:tc>
      </w:tr>
      <w:tr w14:paraId="00CC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4E30DE79">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242BC14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6.</w:t>
            </w:r>
            <w:r>
              <w:rPr>
                <w:rFonts w:hint="eastAsia" w:ascii="宋体" w:hAnsi="宋体" w:eastAsia="宋体" w:cs="宋体"/>
                <w:color w:val="auto"/>
                <w:sz w:val="22"/>
                <w:szCs w:val="22"/>
                <w:highlight w:val="none"/>
                <w:lang w:val="en-US" w:eastAsia="zh-CN"/>
              </w:rPr>
              <w:t>有效长度≥1030mm，全长≥1350mm</w:t>
            </w:r>
            <w:r>
              <w:rPr>
                <w:rFonts w:hint="eastAsia" w:ascii="宋体" w:hAnsi="宋体" w:cs="宋体"/>
                <w:color w:val="auto"/>
                <w:sz w:val="22"/>
                <w:szCs w:val="22"/>
                <w:highlight w:val="none"/>
                <w:lang w:val="en-US" w:eastAsia="zh-CN"/>
              </w:rPr>
              <w:t>。</w:t>
            </w:r>
          </w:p>
        </w:tc>
      </w:tr>
      <w:tr w14:paraId="3B01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534BFF14">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10E704D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7.</w:t>
            </w:r>
            <w:r>
              <w:rPr>
                <w:rFonts w:hint="eastAsia" w:ascii="宋体" w:hAnsi="宋体" w:cs="宋体"/>
                <w:color w:val="auto"/>
                <w:sz w:val="22"/>
                <w:szCs w:val="22"/>
                <w:highlight w:val="none"/>
                <w:lang w:val="en-US" w:eastAsia="zh-CN"/>
              </w:rPr>
              <w:t>钳子管道内径≥2.15mm；钳子管道</w:t>
            </w:r>
            <w:r>
              <w:rPr>
                <w:rFonts w:hint="eastAsia" w:ascii="宋体" w:hAnsi="宋体" w:eastAsia="宋体" w:cs="宋体"/>
                <w:color w:val="auto"/>
                <w:sz w:val="22"/>
                <w:szCs w:val="22"/>
                <w:highlight w:val="none"/>
                <w:lang w:val="en-US" w:eastAsia="zh-CN"/>
              </w:rPr>
              <w:t>最小可视距离：≤4.0mm</w:t>
            </w:r>
            <w:r>
              <w:rPr>
                <w:rFonts w:hint="eastAsia" w:ascii="宋体" w:hAnsi="宋体" w:cs="宋体"/>
                <w:color w:val="auto"/>
                <w:sz w:val="22"/>
                <w:szCs w:val="22"/>
                <w:highlight w:val="none"/>
                <w:lang w:val="en-US" w:eastAsia="zh-CN"/>
              </w:rPr>
              <w:t>。</w:t>
            </w:r>
          </w:p>
        </w:tc>
      </w:tr>
      <w:tr w14:paraId="3275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55A4B781">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24E995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8.</w:t>
            </w:r>
            <w:r>
              <w:rPr>
                <w:rFonts w:hint="eastAsia" w:ascii="宋体" w:hAnsi="宋体" w:eastAsia="宋体" w:cs="宋体"/>
                <w:color w:val="auto"/>
                <w:sz w:val="22"/>
                <w:szCs w:val="22"/>
                <w:highlight w:val="none"/>
                <w:lang w:val="en-US" w:eastAsia="zh-CN"/>
              </w:rPr>
              <w:t>▲具备手控放大调节功能，可实现≥520倍光学放大观察</w:t>
            </w:r>
            <w:r>
              <w:rPr>
                <w:rFonts w:hint="eastAsia" w:ascii="宋体" w:hAnsi="宋体" w:eastAsia="宋体" w:cs="宋体"/>
                <w:b/>
                <w:bCs/>
                <w:color w:val="FF0000"/>
                <w:kern w:val="2"/>
                <w:sz w:val="21"/>
                <w:szCs w:val="21"/>
                <w:lang w:val="en-US" w:eastAsia="zh-CN" w:bidi="ar"/>
              </w:rPr>
              <w:t>（提供技术白皮书或产品彩页或厂家参数确认函扫描件，证明材料能体现满足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cs="宋体"/>
                <w:color w:val="auto"/>
                <w:sz w:val="22"/>
                <w:szCs w:val="22"/>
                <w:highlight w:val="none"/>
                <w:lang w:val="en-US" w:eastAsia="zh-CN"/>
              </w:rPr>
              <w:t>。</w:t>
            </w:r>
          </w:p>
        </w:tc>
      </w:tr>
      <w:tr w14:paraId="7871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2A02B82F">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77F3EB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9.</w:t>
            </w:r>
            <w:r>
              <w:rPr>
                <w:rFonts w:hint="eastAsia" w:ascii="宋体" w:hAnsi="宋体" w:eastAsia="宋体" w:cs="宋体"/>
                <w:color w:val="auto"/>
                <w:sz w:val="22"/>
                <w:szCs w:val="22"/>
                <w:highlight w:val="none"/>
                <w:lang w:val="en-US" w:eastAsia="zh-CN"/>
              </w:rPr>
              <w:t>▲通过手动</w:t>
            </w:r>
            <w:r>
              <w:rPr>
                <w:rFonts w:hint="eastAsia" w:ascii="宋体" w:hAnsi="宋体" w:cs="宋体"/>
                <w:color w:val="auto"/>
                <w:sz w:val="22"/>
                <w:szCs w:val="22"/>
                <w:highlight w:val="none"/>
                <w:lang w:val="en-US" w:eastAsia="zh-CN"/>
              </w:rPr>
              <w:t>变焦</w:t>
            </w:r>
            <w:r>
              <w:rPr>
                <w:rFonts w:hint="eastAsia" w:ascii="宋体" w:hAnsi="宋体" w:eastAsia="宋体" w:cs="宋体"/>
                <w:color w:val="auto"/>
                <w:sz w:val="22"/>
                <w:szCs w:val="22"/>
                <w:highlight w:val="none"/>
                <w:lang w:val="en-US" w:eastAsia="zh-CN"/>
              </w:rPr>
              <w:t>旋钮进行放大焦距调节</w:t>
            </w:r>
            <w:r>
              <w:rPr>
                <w:rFonts w:hint="eastAsia" w:ascii="宋体" w:hAnsi="宋体" w:cs="宋体"/>
                <w:color w:val="auto"/>
                <w:sz w:val="22"/>
                <w:szCs w:val="22"/>
                <w:highlight w:val="none"/>
                <w:lang w:val="en-US" w:eastAsia="zh-CN"/>
              </w:rPr>
              <w:t>，变焦档位无级别限制，可实现用内镜进行常规观察、放大观察、细胞观察</w:t>
            </w:r>
            <w:r>
              <w:rPr>
                <w:rFonts w:hint="eastAsia" w:ascii="宋体" w:hAnsi="宋体" w:eastAsia="宋体" w:cs="宋体"/>
                <w:b/>
                <w:bCs/>
                <w:color w:val="FF0000"/>
                <w:kern w:val="2"/>
                <w:sz w:val="21"/>
                <w:szCs w:val="21"/>
                <w:lang w:val="en-US" w:eastAsia="zh-CN" w:bidi="ar"/>
              </w:rPr>
              <w:t>（提供技术白皮书或产品彩页或厂家参数确认函扫描件，证明材料能体现满足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cs="宋体"/>
                <w:color w:val="auto"/>
                <w:sz w:val="22"/>
                <w:szCs w:val="22"/>
                <w:highlight w:val="none"/>
                <w:lang w:val="en-US" w:eastAsia="zh-CN"/>
              </w:rPr>
              <w:t>。</w:t>
            </w:r>
          </w:p>
        </w:tc>
      </w:tr>
      <w:tr w14:paraId="4244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4A2DC582">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53B8D16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10.</w:t>
            </w:r>
            <w:r>
              <w:rPr>
                <w:rFonts w:hint="eastAsia" w:ascii="宋体" w:hAnsi="宋体" w:eastAsia="宋体" w:cs="宋体"/>
                <w:color w:val="auto"/>
                <w:sz w:val="22"/>
                <w:szCs w:val="22"/>
                <w:highlight w:val="none"/>
                <w:lang w:val="en-US" w:eastAsia="zh-CN"/>
              </w:rPr>
              <w:t>具备副送水功能，插入附件，能进行有效吸引</w:t>
            </w:r>
            <w:r>
              <w:rPr>
                <w:rFonts w:hint="eastAsia" w:ascii="宋体" w:hAnsi="宋体" w:cs="宋体"/>
                <w:color w:val="auto"/>
                <w:sz w:val="22"/>
                <w:szCs w:val="22"/>
                <w:highlight w:val="none"/>
                <w:lang w:val="en-US" w:eastAsia="zh-CN"/>
              </w:rPr>
              <w:t>。</w:t>
            </w:r>
          </w:p>
        </w:tc>
      </w:tr>
      <w:tr w14:paraId="2684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079618E6">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3A11408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11.</w:t>
            </w:r>
            <w:r>
              <w:rPr>
                <w:rFonts w:hint="eastAsia" w:ascii="宋体" w:hAnsi="宋体" w:cs="宋体"/>
                <w:color w:val="auto"/>
                <w:sz w:val="22"/>
                <w:szCs w:val="22"/>
                <w:highlight w:val="none"/>
                <w:lang w:val="en-US" w:eastAsia="zh-CN"/>
              </w:rPr>
              <w:t>具有</w:t>
            </w:r>
            <w:r>
              <w:rPr>
                <w:rFonts w:hint="eastAsia" w:ascii="宋体" w:hAnsi="宋体" w:eastAsia="宋体" w:cs="宋体"/>
                <w:color w:val="auto"/>
                <w:sz w:val="22"/>
                <w:szCs w:val="22"/>
                <w:highlight w:val="none"/>
                <w:lang w:val="en-US" w:eastAsia="zh-CN"/>
              </w:rPr>
              <w:t>内镜信息记忆：内置记忆芯片，可存储相关参数及白平衡信息，可提示器械伸出方向</w:t>
            </w:r>
            <w:r>
              <w:rPr>
                <w:rFonts w:hint="eastAsia" w:ascii="宋体" w:hAnsi="宋体" w:cs="宋体"/>
                <w:color w:val="auto"/>
                <w:sz w:val="22"/>
                <w:szCs w:val="22"/>
                <w:highlight w:val="none"/>
                <w:lang w:val="en-US" w:eastAsia="zh-CN"/>
              </w:rPr>
              <w:t>。</w:t>
            </w:r>
          </w:p>
        </w:tc>
      </w:tr>
      <w:tr w14:paraId="3E3D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09E76794">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74BD5A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12.</w:t>
            </w:r>
            <w:r>
              <w:rPr>
                <w:rFonts w:hint="eastAsia" w:ascii="宋体" w:hAnsi="宋体" w:eastAsia="宋体" w:cs="宋体"/>
                <w:color w:val="auto"/>
                <w:sz w:val="22"/>
                <w:szCs w:val="22"/>
                <w:highlight w:val="none"/>
                <w:lang w:val="en-US" w:eastAsia="zh-CN"/>
              </w:rPr>
              <w:t>▲可实现常规观察及细胞水平内镜观察下的窄</w:t>
            </w:r>
            <w:r>
              <w:rPr>
                <w:rFonts w:hint="eastAsia" w:ascii="宋体" w:hAnsi="宋体" w:cs="宋体"/>
                <w:color w:val="auto"/>
                <w:sz w:val="22"/>
                <w:szCs w:val="22"/>
                <w:highlight w:val="none"/>
                <w:lang w:val="en-US" w:eastAsia="zh-CN"/>
              </w:rPr>
              <w:t>带</w:t>
            </w:r>
            <w:r>
              <w:rPr>
                <w:rFonts w:hint="eastAsia" w:ascii="宋体" w:hAnsi="宋体" w:eastAsia="宋体" w:cs="宋体"/>
                <w:color w:val="auto"/>
                <w:sz w:val="22"/>
                <w:szCs w:val="22"/>
                <w:highlight w:val="none"/>
                <w:lang w:val="en-US" w:eastAsia="zh-CN"/>
              </w:rPr>
              <w:t>成像功能</w:t>
            </w:r>
            <w:r>
              <w:rPr>
                <w:rFonts w:hint="eastAsia" w:ascii="宋体" w:hAnsi="宋体" w:eastAsia="宋体" w:cs="宋体"/>
                <w:b/>
                <w:bCs/>
                <w:color w:val="FF0000"/>
                <w:kern w:val="2"/>
                <w:sz w:val="21"/>
                <w:szCs w:val="21"/>
                <w:lang w:val="en-US" w:eastAsia="zh-CN" w:bidi="ar"/>
              </w:rPr>
              <w:t>（提供技术白皮书或产品彩页或厂家参数确认函扫描件，证明材料能体现满足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cs="宋体"/>
                <w:color w:val="auto"/>
                <w:sz w:val="22"/>
                <w:szCs w:val="22"/>
                <w:highlight w:val="none"/>
                <w:lang w:val="en-US" w:eastAsia="zh-CN"/>
              </w:rPr>
              <w:t>。</w:t>
            </w:r>
          </w:p>
        </w:tc>
      </w:tr>
      <w:tr w14:paraId="0257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482DFB37">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3A264CF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13.</w:t>
            </w:r>
            <w:r>
              <w:rPr>
                <w:rFonts w:hint="eastAsia" w:ascii="宋体" w:hAnsi="宋体" w:eastAsia="宋体" w:cs="宋体"/>
                <w:color w:val="auto"/>
                <w:sz w:val="22"/>
                <w:szCs w:val="22"/>
                <w:highlight w:val="none"/>
                <w:lang w:val="en-US" w:eastAsia="zh-CN"/>
              </w:rPr>
              <w:t>▲可实现预冻结功能，≥7档预冻结模式可选，能从按下冻结之前的图像中挑选色差最少的图像显示出来</w:t>
            </w:r>
            <w:r>
              <w:rPr>
                <w:rFonts w:hint="eastAsia" w:ascii="宋体" w:hAnsi="宋体" w:eastAsia="宋体" w:cs="宋体"/>
                <w:b/>
                <w:bCs/>
                <w:color w:val="FF0000"/>
                <w:kern w:val="2"/>
                <w:sz w:val="21"/>
                <w:szCs w:val="21"/>
                <w:lang w:val="en-US" w:eastAsia="zh-CN" w:bidi="ar"/>
              </w:rPr>
              <w:t>（提供技术白皮书或产品彩页或厂家参数确认函扫描件，证明材料能体现满足</w:t>
            </w:r>
            <w:r>
              <w:rPr>
                <w:rFonts w:hint="eastAsia" w:ascii="宋体" w:hAnsi="宋体" w:cs="宋体"/>
                <w:b/>
                <w:bCs/>
                <w:color w:val="FF0000"/>
                <w:kern w:val="2"/>
                <w:sz w:val="21"/>
                <w:szCs w:val="21"/>
                <w:lang w:val="en-US" w:eastAsia="zh-CN" w:bidi="ar"/>
              </w:rPr>
              <w:t>前述</w:t>
            </w:r>
            <w:r>
              <w:rPr>
                <w:rFonts w:hint="eastAsia" w:ascii="宋体" w:hAnsi="宋体" w:eastAsia="宋体" w:cs="宋体"/>
                <w:b/>
                <w:bCs/>
                <w:color w:val="FF0000"/>
                <w:kern w:val="2"/>
                <w:sz w:val="21"/>
                <w:szCs w:val="21"/>
                <w:lang w:val="en-US" w:eastAsia="zh-CN" w:bidi="ar"/>
              </w:rPr>
              <w:t>技术要求）</w:t>
            </w:r>
            <w:r>
              <w:rPr>
                <w:rFonts w:hint="eastAsia" w:ascii="宋体" w:hAnsi="宋体" w:cs="宋体"/>
                <w:color w:val="auto"/>
                <w:sz w:val="22"/>
                <w:szCs w:val="22"/>
                <w:highlight w:val="none"/>
                <w:lang w:val="en-US" w:eastAsia="zh-CN"/>
              </w:rPr>
              <w:t>。。</w:t>
            </w:r>
          </w:p>
        </w:tc>
      </w:tr>
      <w:tr w14:paraId="7349D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4D372998">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6C867C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14.</w:t>
            </w:r>
            <w:r>
              <w:rPr>
                <w:rFonts w:hint="eastAsia" w:ascii="宋体" w:hAnsi="宋体" w:eastAsia="宋体" w:cs="宋体"/>
                <w:color w:val="auto"/>
                <w:sz w:val="22"/>
                <w:szCs w:val="22"/>
                <w:highlight w:val="none"/>
                <w:lang w:val="en-US" w:eastAsia="zh-CN"/>
              </w:rPr>
              <w:t>一触式连接防水接头，无需内镜电缆，无需防水帽。</w:t>
            </w:r>
          </w:p>
        </w:tc>
      </w:tr>
      <w:tr w14:paraId="52B8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55E3A0C8">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6BA0EE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15.</w:t>
            </w:r>
            <w:r>
              <w:rPr>
                <w:rFonts w:hint="eastAsia" w:ascii="宋体" w:hAnsi="宋体" w:eastAsia="宋体" w:cs="宋体"/>
                <w:color w:val="auto"/>
                <w:sz w:val="22"/>
                <w:szCs w:val="22"/>
                <w:highlight w:val="none"/>
                <w:lang w:val="en-US" w:eastAsia="zh-CN"/>
              </w:rPr>
              <w:t>具有上/下/左/右角度卡锁功能；具有</w:t>
            </w:r>
            <w:r>
              <w:rPr>
                <w:rFonts w:hint="eastAsia" w:ascii="宋体" w:hAnsi="宋体" w:cs="宋体"/>
                <w:color w:val="auto"/>
                <w:sz w:val="22"/>
                <w:szCs w:val="22"/>
                <w:highlight w:val="none"/>
                <w:lang w:val="en-US" w:eastAsia="zh-CN"/>
              </w:rPr>
              <w:t>颜</w:t>
            </w:r>
            <w:r>
              <w:rPr>
                <w:rFonts w:hint="eastAsia" w:ascii="宋体" w:hAnsi="宋体" w:eastAsia="宋体" w:cs="宋体"/>
                <w:color w:val="auto"/>
                <w:sz w:val="22"/>
                <w:szCs w:val="22"/>
                <w:highlight w:val="none"/>
                <w:lang w:val="en-US" w:eastAsia="zh-CN"/>
              </w:rPr>
              <w:t>色码标识，可快速确定本内镜与同品牌诊疗附件的兼容性</w:t>
            </w:r>
            <w:r>
              <w:rPr>
                <w:rFonts w:hint="eastAsia" w:ascii="宋体" w:hAnsi="宋体" w:cs="宋体"/>
                <w:color w:val="auto"/>
                <w:sz w:val="22"/>
                <w:szCs w:val="22"/>
                <w:highlight w:val="none"/>
                <w:lang w:val="en-US" w:eastAsia="zh-CN"/>
              </w:rPr>
              <w:t>。</w:t>
            </w:r>
          </w:p>
        </w:tc>
      </w:tr>
      <w:tr w14:paraId="0EB8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5D530273">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52A7097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16.</w:t>
            </w:r>
            <w:r>
              <w:rPr>
                <w:rFonts w:hint="eastAsia" w:ascii="宋体" w:hAnsi="宋体" w:eastAsia="宋体" w:cs="宋体"/>
                <w:color w:val="auto"/>
                <w:sz w:val="22"/>
                <w:szCs w:val="22"/>
                <w:highlight w:val="none"/>
                <w:lang w:val="en-US" w:eastAsia="zh-CN"/>
              </w:rPr>
              <w:t>送气/送水按钮设计：堵住此按钮上的小孔可以送气，按下此按钮可以送水清洗物镜。也可送气，除去附着在物镜上的液体或碎屑。</w:t>
            </w:r>
          </w:p>
        </w:tc>
      </w:tr>
      <w:tr w14:paraId="63CD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036BE86A">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5DF859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17.</w:t>
            </w:r>
            <w:r>
              <w:rPr>
                <w:rFonts w:hint="eastAsia" w:ascii="宋体" w:hAnsi="宋体" w:eastAsia="宋体" w:cs="宋体"/>
                <w:color w:val="auto"/>
                <w:sz w:val="22"/>
                <w:szCs w:val="22"/>
                <w:highlight w:val="none"/>
                <w:lang w:val="en-US" w:eastAsia="zh-CN"/>
              </w:rPr>
              <w:t>遥控功能按钮数量≥4个，可按需要将主机功能设置在任意一个按钮上，至少可遥控图像大小、图像变焦、图像强调、电子缩放、图像预冻结</w:t>
            </w:r>
            <w:r>
              <w:rPr>
                <w:rFonts w:hint="eastAsia" w:ascii="宋体" w:hAnsi="宋体" w:cs="宋体"/>
                <w:color w:val="auto"/>
                <w:sz w:val="22"/>
                <w:szCs w:val="22"/>
                <w:highlight w:val="none"/>
                <w:lang w:val="en-US" w:eastAsia="zh-CN"/>
              </w:rPr>
              <w:t>及窄带光等</w:t>
            </w:r>
            <w:r>
              <w:rPr>
                <w:rFonts w:hint="eastAsia" w:ascii="宋体" w:hAnsi="宋体" w:eastAsia="宋体" w:cs="宋体"/>
                <w:color w:val="auto"/>
                <w:sz w:val="22"/>
                <w:szCs w:val="22"/>
                <w:highlight w:val="none"/>
                <w:lang w:val="en-US" w:eastAsia="zh-CN"/>
              </w:rPr>
              <w:t>功能</w:t>
            </w:r>
            <w:r>
              <w:rPr>
                <w:rFonts w:hint="eastAsia" w:ascii="宋体" w:hAnsi="宋体" w:cs="宋体"/>
                <w:color w:val="auto"/>
                <w:sz w:val="22"/>
                <w:szCs w:val="22"/>
                <w:highlight w:val="none"/>
                <w:lang w:val="en-US" w:eastAsia="zh-CN"/>
              </w:rPr>
              <w:t>。</w:t>
            </w:r>
          </w:p>
        </w:tc>
      </w:tr>
      <w:tr w14:paraId="08DC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7CC8F980">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2D40BD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18.</w:t>
            </w:r>
            <w:r>
              <w:rPr>
                <w:rFonts w:hint="eastAsia" w:ascii="宋体" w:hAnsi="宋体" w:eastAsia="宋体" w:cs="宋体"/>
                <w:color w:val="auto"/>
                <w:sz w:val="22"/>
                <w:szCs w:val="22"/>
                <w:highlight w:val="none"/>
                <w:lang w:val="en-US" w:eastAsia="zh-CN"/>
              </w:rPr>
              <w:t>可兼容高频电烧治疗；送气量≥800ml/min；</w:t>
            </w:r>
          </w:p>
        </w:tc>
      </w:tr>
      <w:tr w14:paraId="65EF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3011BCE6">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7ED3AB8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lang w:val="en-US" w:eastAsia="zh-CN" w:bidi="ar-SA"/>
              </w:rPr>
              <w:t>19.</w:t>
            </w:r>
            <w:r>
              <w:rPr>
                <w:rFonts w:hint="eastAsia" w:cs="宋体" w:asciiTheme="minorEastAsia" w:hAnsiTheme="minorEastAsia" w:eastAsiaTheme="minorEastAsia"/>
                <w:b/>
                <w:color w:val="auto"/>
                <w:szCs w:val="21"/>
              </w:rPr>
              <w:t>★</w:t>
            </w:r>
            <w:r>
              <w:rPr>
                <w:rFonts w:hint="eastAsia" w:ascii="宋体" w:hAnsi="宋体" w:eastAsia="宋体" w:cs="宋体"/>
                <w:color w:val="auto"/>
                <w:sz w:val="22"/>
                <w:szCs w:val="22"/>
                <w:highlight w:val="none"/>
                <w:lang w:val="en-US" w:eastAsia="zh-CN"/>
              </w:rPr>
              <w:t>可兼容科室现有消化内镜主机</w:t>
            </w:r>
            <w:r>
              <w:rPr>
                <w:rFonts w:hint="eastAsia" w:ascii="宋体" w:hAnsi="宋体" w:cs="宋体"/>
                <w:color w:val="auto"/>
                <w:sz w:val="22"/>
                <w:szCs w:val="22"/>
                <w:highlight w:val="none"/>
                <w:lang w:val="en-US" w:eastAsia="zh-CN"/>
              </w:rPr>
              <w:t>（奥林巴斯、富士、开立）</w:t>
            </w:r>
            <w:r>
              <w:rPr>
                <w:rFonts w:hint="eastAsia" w:ascii="宋体" w:hAnsi="宋体" w:eastAsia="宋体" w:cs="宋体"/>
                <w:color w:val="auto"/>
                <w:sz w:val="22"/>
                <w:szCs w:val="22"/>
                <w:highlight w:val="none"/>
                <w:lang w:val="en-US" w:eastAsia="zh-CN"/>
              </w:rPr>
              <w:t>使用</w:t>
            </w:r>
            <w:r>
              <w:rPr>
                <w:rFonts w:hint="eastAsia" w:ascii="宋体" w:hAnsi="宋体" w:cs="宋体"/>
                <w:color w:val="auto"/>
                <w:sz w:val="22"/>
                <w:szCs w:val="22"/>
                <w:highlight w:val="none"/>
                <w:lang w:val="en-US" w:eastAsia="zh-CN"/>
              </w:rPr>
              <w:t>。</w:t>
            </w:r>
          </w:p>
        </w:tc>
      </w:tr>
      <w:tr w14:paraId="6220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left w:val="single" w:color="auto" w:sz="4" w:space="0"/>
              <w:right w:val="single" w:color="auto" w:sz="4" w:space="0"/>
            </w:tcBorders>
            <w:shd w:val="clear" w:color="auto" w:fill="auto"/>
            <w:noWrap w:val="0"/>
            <w:vAlign w:val="center"/>
          </w:tcPr>
          <w:p w14:paraId="424172AD">
            <w:pPr>
              <w:jc w:val="left"/>
              <w:rPr>
                <w:rFonts w:hint="eastAsia"/>
                <w:color w:val="auto"/>
                <w:szCs w:val="21"/>
                <w:highlight w:val="yellow"/>
              </w:rPr>
            </w:pPr>
          </w:p>
        </w:tc>
        <w:tc>
          <w:tcPr>
            <w:tcW w:w="7859" w:type="dxa"/>
            <w:tcBorders>
              <w:top w:val="single" w:color="auto" w:sz="4" w:space="0"/>
              <w:left w:val="single" w:color="auto" w:sz="4" w:space="0"/>
              <w:bottom w:val="single" w:color="auto" w:sz="4" w:space="0"/>
              <w:right w:val="single" w:color="auto" w:sz="4" w:space="0"/>
            </w:tcBorders>
            <w:noWrap w:val="0"/>
            <w:vAlign w:val="top"/>
          </w:tcPr>
          <w:p w14:paraId="1487E2B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5" w:leftChars="0" w:hanging="425" w:firstLineChars="0"/>
              <w:jc w:val="left"/>
              <w:textAlignment w:val="auto"/>
              <w:rPr>
                <w:rFonts w:hint="eastAsia" w:ascii="宋体" w:hAnsi="宋体" w:eastAsia="宋体" w:cs="宋体"/>
                <w:color w:val="auto"/>
                <w:sz w:val="22"/>
                <w:szCs w:val="22"/>
                <w:highlight w:val="none"/>
                <w:lang w:val="en-US" w:eastAsia="zh-CN"/>
              </w:rPr>
            </w:pPr>
            <w:r>
              <w:rPr>
                <w:rFonts w:hint="eastAsia" w:cs="宋体" w:asciiTheme="minorEastAsia" w:hAnsiTheme="minorEastAsia" w:eastAsiaTheme="minorEastAsia"/>
                <w:b/>
                <w:color w:val="auto"/>
                <w:szCs w:val="21"/>
              </w:rPr>
              <w:t>★</w:t>
            </w:r>
            <w:r>
              <w:rPr>
                <w:rFonts w:hint="default" w:ascii="宋体" w:hAnsi="宋体" w:eastAsia="宋体" w:cs="宋体"/>
                <w:color w:val="auto"/>
                <w:kern w:val="2"/>
                <w:sz w:val="22"/>
                <w:szCs w:val="22"/>
                <w:lang w:val="en-US" w:eastAsia="zh-CN" w:bidi="ar-SA"/>
              </w:rPr>
              <w:t>20.</w:t>
            </w:r>
            <w:r>
              <w:rPr>
                <w:rFonts w:hint="eastAsia" w:ascii="宋体" w:hAnsi="宋体" w:cs="宋体"/>
                <w:color w:val="auto"/>
                <w:sz w:val="22"/>
                <w:szCs w:val="22"/>
                <w:highlight w:val="none"/>
                <w:lang w:val="en-US" w:eastAsia="zh-CN"/>
              </w:rPr>
              <w:t>配置要求：电子上消化道内窥镜1条，注水气及吸引按钮3套，送气送</w:t>
            </w:r>
            <w:r>
              <w:rPr>
                <w:rFonts w:hint="eastAsia" w:ascii="宋体" w:hAnsi="宋体" w:cs="宋体"/>
                <w:color w:val="000000" w:themeColor="text1"/>
                <w:sz w:val="22"/>
                <w:szCs w:val="22"/>
                <w:highlight w:val="none"/>
                <w:lang w:val="en-US" w:eastAsia="zh-CN"/>
              </w:rPr>
              <w:t>水管道清洗接头2套、ETO帽2个。</w:t>
            </w:r>
          </w:p>
        </w:tc>
      </w:tr>
    </w:tbl>
    <w:p w14:paraId="0FE6098F">
      <w:pPr>
        <w:pStyle w:val="2"/>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cs="宋体"/>
          <w:b/>
          <w:sz w:val="28"/>
          <w:szCs w:val="28"/>
          <w:lang w:val="en-US" w:eastAsia="zh-CN"/>
        </w:rPr>
        <w:t>四</w:t>
      </w:r>
      <w:r>
        <w:rPr>
          <w:rFonts w:hint="eastAsia" w:ascii="宋体" w:hAnsi="宋体" w:eastAsia="宋体" w:cs="宋体"/>
          <w:b/>
          <w:sz w:val="28"/>
          <w:szCs w:val="28"/>
        </w:rPr>
        <w:t>、商务需求</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562"/>
        <w:gridCol w:w="5756"/>
      </w:tblGrid>
      <w:tr w14:paraId="1995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vAlign w:val="center"/>
          </w:tcPr>
          <w:p w14:paraId="3ACAE9A2">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序号</w:t>
            </w:r>
          </w:p>
        </w:tc>
        <w:tc>
          <w:tcPr>
            <w:tcW w:w="917" w:type="pct"/>
            <w:vAlign w:val="center"/>
          </w:tcPr>
          <w:p w14:paraId="327D2494">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目录</w:t>
            </w:r>
          </w:p>
        </w:tc>
        <w:tc>
          <w:tcPr>
            <w:tcW w:w="3377" w:type="pct"/>
            <w:vAlign w:val="center"/>
          </w:tcPr>
          <w:p w14:paraId="03743DAD">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招标商务需求</w:t>
            </w:r>
          </w:p>
        </w:tc>
      </w:tr>
      <w:tr w14:paraId="0FB83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3E7FC05E">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（一）免费保修期内售后服务要求</w:t>
            </w:r>
          </w:p>
        </w:tc>
      </w:tr>
      <w:tr w14:paraId="3910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734050D1">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w:t>
            </w:r>
          </w:p>
        </w:tc>
        <w:tc>
          <w:tcPr>
            <w:tcW w:w="917" w:type="pct"/>
          </w:tcPr>
          <w:p w14:paraId="4A6867BD">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维修响应及故障解决时间</w:t>
            </w:r>
          </w:p>
        </w:tc>
        <w:tc>
          <w:tcPr>
            <w:tcW w:w="3377" w:type="pct"/>
          </w:tcPr>
          <w:p w14:paraId="499853C5">
            <w:pPr>
              <w:rPr>
                <w:rFonts w:asciiTheme="minorEastAsia" w:hAnsiTheme="minorEastAsia" w:eastAsiaTheme="minorEastAsia"/>
                <w:b/>
                <w:color w:val="auto"/>
                <w:szCs w:val="21"/>
              </w:rPr>
            </w:pPr>
            <w:r>
              <w:rPr>
                <w:rFonts w:hint="eastAsia" w:ascii="宋体" w:hAnsi="宋体" w:cs="宋体"/>
                <w:color w:val="auto"/>
                <w:szCs w:val="21"/>
                <w:highlight w:val="none"/>
              </w:rPr>
              <w:t>由设备制造商</w:t>
            </w:r>
            <w:r>
              <w:rPr>
                <w:rFonts w:hint="eastAsia" w:ascii="宋体" w:hAnsi="宋体" w:cs="宋体"/>
                <w:color w:val="auto"/>
                <w:szCs w:val="21"/>
                <w:highlight w:val="none"/>
                <w:lang w:eastAsia="zh-CN"/>
              </w:rPr>
              <w:t>或制造商授权认可的代理商</w:t>
            </w:r>
            <w:r>
              <w:rPr>
                <w:rFonts w:hint="eastAsia" w:ascii="宋体" w:hAnsi="宋体" w:cs="宋体"/>
                <w:color w:val="auto"/>
                <w:szCs w:val="21"/>
                <w:highlight w:val="none"/>
              </w:rPr>
              <w:t>提供售后服务</w:t>
            </w:r>
            <w:r>
              <w:rPr>
                <w:rFonts w:hint="eastAsia" w:ascii="宋体" w:hAnsi="宋体" w:cs="宋体"/>
                <w:color w:val="auto"/>
                <w:szCs w:val="21"/>
                <w:highlight w:val="none"/>
                <w:lang w:eastAsia="zh-CN"/>
              </w:rPr>
              <w:t>，</w:t>
            </w:r>
            <w:r>
              <w:rPr>
                <w:rFonts w:hint="eastAsia" w:asciiTheme="minorEastAsia" w:hAnsiTheme="minorEastAsia" w:eastAsiaTheme="minorEastAsia"/>
                <w:bCs/>
                <w:color w:val="auto"/>
                <w:szCs w:val="21"/>
              </w:rPr>
              <w:t>在保修期内，一旦发生质量问题，投标人保证在接到通知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 xml:space="preserve"> 小时内响应， 24 小时维修到位（不可抗力情况除外）。消耗品和零配件供应及时。</w:t>
            </w:r>
          </w:p>
        </w:tc>
      </w:tr>
      <w:tr w14:paraId="7402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1690E6C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2</w:t>
            </w:r>
          </w:p>
        </w:tc>
        <w:tc>
          <w:tcPr>
            <w:tcW w:w="917" w:type="pct"/>
          </w:tcPr>
          <w:p w14:paraId="0483C35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关于保修期</w:t>
            </w:r>
          </w:p>
        </w:tc>
        <w:tc>
          <w:tcPr>
            <w:tcW w:w="3377" w:type="pct"/>
          </w:tcPr>
          <w:p w14:paraId="5905E7AB">
            <w:pPr>
              <w:rPr>
                <w:rFonts w:asciiTheme="minorEastAsia" w:hAnsiTheme="minorEastAsia" w:eastAsiaTheme="minorEastAsia"/>
                <w:b/>
                <w:color w:val="auto"/>
                <w:szCs w:val="21"/>
              </w:rPr>
            </w:pPr>
            <w:r>
              <w:rPr>
                <w:rFonts w:hint="eastAsia" w:cs="宋体" w:asciiTheme="minorEastAsia" w:hAnsiTheme="minorEastAsia" w:eastAsiaTheme="minorEastAsia"/>
                <w:b/>
                <w:color w:val="auto"/>
                <w:szCs w:val="21"/>
              </w:rPr>
              <w:t>★</w:t>
            </w:r>
            <w:r>
              <w:rPr>
                <w:rFonts w:hint="eastAsia" w:asciiTheme="minorEastAsia" w:hAnsiTheme="minorEastAsia" w:eastAsiaTheme="minorEastAsia"/>
                <w:bCs/>
                <w:color w:val="auto"/>
                <w:szCs w:val="21"/>
              </w:rPr>
              <w:t>货物免费保修期</w:t>
            </w:r>
            <w:r>
              <w:rPr>
                <w:rFonts w:hint="eastAsia" w:asciiTheme="minorEastAsia" w:hAnsiTheme="minorEastAsia" w:eastAsiaTheme="minorEastAsia"/>
                <w:bCs/>
                <w:color w:val="auto"/>
                <w:szCs w:val="21"/>
                <w:highlight w:val="yellow"/>
                <w:u w:val="single"/>
              </w:rPr>
              <w:t xml:space="preserve">  </w:t>
            </w:r>
            <w:r>
              <w:rPr>
                <w:rFonts w:hint="eastAsia" w:asciiTheme="minorEastAsia" w:hAnsiTheme="minorEastAsia" w:eastAsiaTheme="minorEastAsia"/>
                <w:bCs/>
                <w:color w:val="auto"/>
                <w:szCs w:val="21"/>
                <w:highlight w:val="yellow"/>
                <w:u w:val="single"/>
                <w:lang w:val="en-US" w:eastAsia="zh-CN"/>
              </w:rPr>
              <w:t>5</w:t>
            </w:r>
            <w:r>
              <w:rPr>
                <w:rFonts w:hint="eastAsia" w:asciiTheme="minorEastAsia" w:hAnsiTheme="minorEastAsia" w:eastAsiaTheme="minorEastAsia"/>
                <w:bCs/>
                <w:color w:val="auto"/>
                <w:szCs w:val="21"/>
                <w:highlight w:val="yellow"/>
                <w:u w:val="single"/>
              </w:rPr>
              <w:t xml:space="preserve">  </w:t>
            </w:r>
            <w:r>
              <w:rPr>
                <w:rFonts w:hint="eastAsia" w:asciiTheme="minorEastAsia" w:hAnsiTheme="minorEastAsia" w:eastAsiaTheme="minorEastAsia"/>
                <w:bCs/>
                <w:color w:val="auto"/>
                <w:szCs w:val="21"/>
              </w:rPr>
              <w:t>年，</w:t>
            </w:r>
            <w:r>
              <w:rPr>
                <w:rFonts w:hint="eastAsia"/>
                <w:spacing w:val="-3"/>
                <w:lang w:eastAsia="zh-CN"/>
              </w:rPr>
              <w:t>（包含</w:t>
            </w:r>
            <w:r>
              <w:rPr>
                <w:spacing w:val="-3"/>
              </w:rPr>
              <w:t>所有第三方配套设备</w:t>
            </w:r>
            <w:r>
              <w:rPr>
                <w:rFonts w:hint="eastAsia"/>
                <w:spacing w:val="-3"/>
                <w:lang w:eastAsia="zh-CN"/>
              </w:rPr>
              <w:t>），</w:t>
            </w:r>
            <w:r>
              <w:t>时间自最终验收合格并交付使用之日起计</w:t>
            </w:r>
            <w:r>
              <w:rPr>
                <w:spacing w:val="-1"/>
              </w:rPr>
              <w:t>算</w:t>
            </w:r>
            <w:r>
              <w:rPr>
                <w:rFonts w:hint="eastAsia" w:ascii="宋体" w:hAnsi="宋体" w:eastAsia="宋体" w:cs="宋体"/>
                <w:szCs w:val="21"/>
                <w:highlight w:val="none"/>
              </w:rPr>
              <w:t>且延续保修年度费用不超过设备中标价的5%。</w:t>
            </w:r>
          </w:p>
        </w:tc>
      </w:tr>
      <w:tr w14:paraId="455C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51A89959">
            <w:pPr>
              <w:jc w:val="center"/>
              <w:rPr>
                <w:rFonts w:hint="eastAsia"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3</w:t>
            </w:r>
          </w:p>
        </w:tc>
        <w:tc>
          <w:tcPr>
            <w:tcW w:w="917" w:type="pct"/>
          </w:tcPr>
          <w:p w14:paraId="214A74A4">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关于保修期</w:t>
            </w:r>
            <w:r>
              <w:rPr>
                <w:rFonts w:hint="eastAsia" w:asciiTheme="minorEastAsia" w:hAnsiTheme="minorEastAsia" w:eastAsiaTheme="minorEastAsia"/>
                <w:color w:val="auto"/>
                <w:szCs w:val="21"/>
                <w:lang w:eastAsia="zh-CN"/>
              </w:rPr>
              <w:t>内服务</w:t>
            </w:r>
          </w:p>
        </w:tc>
        <w:tc>
          <w:tcPr>
            <w:tcW w:w="3377" w:type="pct"/>
          </w:tcPr>
          <w:p w14:paraId="3F1E117C">
            <w:pPr>
              <w:rPr>
                <w:rFonts w:asciiTheme="minorEastAsia" w:hAnsiTheme="minorEastAsia" w:eastAsiaTheme="minorEastAsia"/>
                <w:bCs/>
                <w:color w:val="auto"/>
                <w:szCs w:val="21"/>
              </w:rPr>
            </w:pPr>
            <w:r>
              <w:rPr>
                <w:rFonts w:hint="eastAsia"/>
                <w:spacing w:val="-3"/>
                <w:lang w:eastAsia="zh-CN"/>
              </w:rPr>
              <w:t>投标人</w:t>
            </w:r>
            <w:r>
              <w:rPr>
                <w:spacing w:val="-3"/>
              </w:rPr>
              <w:t>在</w:t>
            </w:r>
            <w:r>
              <w:rPr>
                <w:rFonts w:hint="eastAsia"/>
                <w:spacing w:val="-3"/>
                <w:lang w:val="en-US" w:eastAsia="zh-CN"/>
              </w:rPr>
              <w:t>投标</w:t>
            </w:r>
            <w:r>
              <w:rPr>
                <w:spacing w:val="-3"/>
              </w:rPr>
              <w:t>文件中列明各主机、配件和易耗品的免费保修</w:t>
            </w:r>
            <w:r>
              <w:rPr>
                <w:spacing w:val="-5"/>
              </w:rPr>
              <w:t>期限。免费保修期内,主机年度定期预防性维护保养次数应不少于</w:t>
            </w:r>
            <w:r>
              <w:rPr>
                <w:spacing w:val="-39"/>
              </w:rPr>
              <w:t xml:space="preserve"> </w:t>
            </w:r>
            <w:r>
              <w:rPr>
                <w:spacing w:val="-5"/>
              </w:rPr>
              <w:t>4</w:t>
            </w:r>
            <w:r>
              <w:rPr>
                <w:spacing w:val="-41"/>
              </w:rPr>
              <w:t xml:space="preserve"> </w:t>
            </w:r>
            <w:r>
              <w:rPr>
                <w:spacing w:val="-5"/>
              </w:rPr>
              <w:t>次。</w:t>
            </w:r>
            <w:r>
              <w:t xml:space="preserve"> </w:t>
            </w:r>
            <w:r>
              <w:rPr>
                <w:spacing w:val="-3"/>
              </w:rPr>
              <w:t>免费保修期内免费更换零配件、免工时费。</w:t>
            </w:r>
            <w:r>
              <w:rPr>
                <w:spacing w:val="-4"/>
              </w:rPr>
              <w:t>设备在免费保修期内需由原厂进行维修，出原厂维修报告。原厂售后全保包含维修人工及所有配件</w:t>
            </w:r>
            <w:r>
              <w:rPr>
                <w:spacing w:val="-3"/>
              </w:rPr>
              <w:t>及零备件费用, 安装、调试、定期校准及</w:t>
            </w:r>
            <w:r>
              <w:rPr>
                <w:spacing w:val="-4"/>
              </w:rPr>
              <w:t>保</w:t>
            </w:r>
            <w:r>
              <w:rPr>
                <w:rFonts w:hint="eastAsia"/>
                <w:spacing w:val="-4"/>
                <w:lang w:val="en-US" w:eastAsia="zh-CN"/>
              </w:rPr>
              <w:t>养</w:t>
            </w:r>
            <w:r>
              <w:rPr>
                <w:spacing w:val="-4"/>
              </w:rPr>
              <w:t>服务全由原厂工程师（合</w:t>
            </w:r>
            <w:r>
              <w:rPr>
                <w:spacing w:val="-1"/>
              </w:rPr>
              <w:t>资格）负责</w:t>
            </w:r>
            <w:r>
              <w:rPr>
                <w:rFonts w:hint="eastAsia"/>
                <w:spacing w:val="-1"/>
                <w:lang w:eastAsia="zh-CN"/>
              </w:rPr>
              <w:t>。</w:t>
            </w:r>
            <w:r>
              <w:rPr>
                <w:spacing w:val="-3"/>
              </w:rPr>
              <w:t>由设备制造商提供售后服务，</w:t>
            </w:r>
            <w:r>
              <w:rPr>
                <w:spacing w:val="-3"/>
                <w:u w:val="single" w:color="auto"/>
              </w:rPr>
              <w:t xml:space="preserve"> </w:t>
            </w:r>
            <w:r>
              <w:rPr>
                <w:rFonts w:hint="eastAsia"/>
                <w:spacing w:val="-3"/>
                <w:u w:val="single" w:color="auto"/>
                <w:lang w:val="en-US" w:eastAsia="zh-CN"/>
              </w:rPr>
              <w:t>2</w:t>
            </w:r>
            <w:r>
              <w:rPr>
                <w:spacing w:val="-3"/>
                <w:u w:val="single" w:color="auto"/>
              </w:rPr>
              <w:t xml:space="preserve"> </w:t>
            </w:r>
            <w:r>
              <w:rPr>
                <w:spacing w:val="-83"/>
              </w:rPr>
              <w:t xml:space="preserve"> </w:t>
            </w:r>
            <w:r>
              <w:rPr>
                <w:spacing w:val="-3"/>
              </w:rPr>
              <w:t>小时内响应，24</w:t>
            </w:r>
            <w:r>
              <w:rPr>
                <w:spacing w:val="-38"/>
              </w:rPr>
              <w:t xml:space="preserve"> </w:t>
            </w:r>
            <w:r>
              <w:rPr>
                <w:spacing w:val="-3"/>
              </w:rPr>
              <w:t>小时到达现场</w:t>
            </w:r>
            <w:r>
              <w:t xml:space="preserve"> </w:t>
            </w:r>
            <w:r>
              <w:rPr>
                <w:spacing w:val="-3"/>
              </w:rPr>
              <w:t>(包括所有节假日)。备件送达期限：国内＜2天，</w:t>
            </w:r>
            <w:r>
              <w:rPr>
                <w:spacing w:val="-25"/>
              </w:rPr>
              <w:t xml:space="preserve"> </w:t>
            </w:r>
            <w:r>
              <w:rPr>
                <w:spacing w:val="-3"/>
              </w:rPr>
              <w:t>国外</w:t>
            </w:r>
            <w:r>
              <w:rPr>
                <w:spacing w:val="-4"/>
              </w:rPr>
              <w:t>＜4</w:t>
            </w:r>
            <w:r>
              <w:rPr>
                <w:spacing w:val="-40"/>
              </w:rPr>
              <w:t xml:space="preserve"> </w:t>
            </w:r>
            <w:r>
              <w:rPr>
                <w:spacing w:val="-4"/>
              </w:rPr>
              <w:t>天。</w:t>
            </w:r>
          </w:p>
        </w:tc>
      </w:tr>
      <w:tr w14:paraId="7F6D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5518D6F9">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4</w:t>
            </w:r>
          </w:p>
        </w:tc>
        <w:tc>
          <w:tcPr>
            <w:tcW w:w="917" w:type="pct"/>
          </w:tcPr>
          <w:p w14:paraId="0AF4E231">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关于维修配件及软件升级</w:t>
            </w:r>
          </w:p>
        </w:tc>
        <w:tc>
          <w:tcPr>
            <w:tcW w:w="3377" w:type="pct"/>
          </w:tcPr>
          <w:p w14:paraId="0614D57E">
            <w:pPr>
              <w:rPr>
                <w:rFonts w:hint="eastAsia" w:ascii="宋体" w:hAnsi="宋体" w:eastAsia="宋体" w:cs="宋体"/>
                <w:color w:val="auto"/>
                <w:sz w:val="21"/>
                <w:szCs w:val="21"/>
              </w:rPr>
            </w:pPr>
            <w:r>
              <w:rPr>
                <w:rFonts w:hint="eastAsia" w:ascii="宋体" w:hAnsi="宋体" w:cs="宋体"/>
                <w:szCs w:val="21"/>
                <w:highlight w:val="none"/>
                <w:lang w:eastAsia="zh-CN"/>
              </w:rPr>
              <w:t>中标人</w:t>
            </w:r>
            <w:r>
              <w:rPr>
                <w:rFonts w:hint="eastAsia" w:ascii="宋体" w:hAnsi="宋体" w:eastAsia="宋体" w:cs="宋体"/>
                <w:szCs w:val="21"/>
                <w:highlight w:val="none"/>
              </w:rPr>
              <w:t>负责货物的终身维修，保证8年以上供应维修配件， 5 年内免费提供软件升级服务。</w:t>
            </w:r>
            <w:r>
              <w:rPr>
                <w:spacing w:val="-2"/>
              </w:rPr>
              <w:t>免费保修期到期前一个月内成交（中标）供应商需提</w:t>
            </w:r>
            <w:r>
              <w:rPr>
                <w:spacing w:val="-3"/>
              </w:rPr>
              <w:t>供设备运行状</w:t>
            </w:r>
            <w:r>
              <w:rPr>
                <w:spacing w:val="-4"/>
              </w:rPr>
              <w:t>态评估报告及过保后设备维护方案，保证提供有效的非现场技术支持服</w:t>
            </w:r>
            <w:r>
              <w:rPr>
                <w:spacing w:val="-3"/>
              </w:rPr>
              <w:t>务和联系方式。</w:t>
            </w:r>
          </w:p>
        </w:tc>
      </w:tr>
      <w:tr w14:paraId="5378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3C27791D">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5</w:t>
            </w:r>
          </w:p>
        </w:tc>
        <w:tc>
          <w:tcPr>
            <w:tcW w:w="917" w:type="pct"/>
          </w:tcPr>
          <w:p w14:paraId="3DE0CA33">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关于设备设计使用年限</w:t>
            </w:r>
          </w:p>
        </w:tc>
        <w:tc>
          <w:tcPr>
            <w:tcW w:w="3377" w:type="pct"/>
          </w:tcPr>
          <w:p w14:paraId="7DC62CCE">
            <w:pPr>
              <w:pStyle w:val="7"/>
              <w:rPr>
                <w:rFonts w:hint="eastAsia" w:ascii="宋体" w:hAnsi="宋体" w:eastAsia="宋体" w:cs="宋体"/>
                <w:b/>
                <w:bCs/>
                <w:color w:val="auto"/>
                <w:szCs w:val="21"/>
                <w:lang w:val="en-US" w:eastAsia="zh-CN"/>
              </w:rPr>
            </w:pPr>
            <w:r>
              <w:rPr>
                <w:rFonts w:hint="eastAsia" w:cs="宋体" w:asciiTheme="minorEastAsia" w:hAnsiTheme="minorEastAsia" w:eastAsiaTheme="minorEastAsia"/>
                <w:b/>
                <w:bCs/>
                <w:color w:val="auto"/>
                <w:szCs w:val="21"/>
              </w:rPr>
              <w:t>★</w:t>
            </w:r>
            <w:r>
              <w:rPr>
                <w:rFonts w:hint="eastAsia" w:ascii="宋体" w:hAnsi="宋体"/>
                <w:color w:val="auto"/>
                <w:kern w:val="0"/>
                <w:sz w:val="21"/>
                <w:szCs w:val="21"/>
                <w:highlight w:val="none"/>
              </w:rPr>
              <w:t>电子上消化道内窥镜</w:t>
            </w:r>
            <w:r>
              <w:rPr>
                <w:rFonts w:hint="eastAsia" w:ascii="宋体" w:hAnsi="宋体" w:cs="宋体"/>
                <w:color w:val="auto"/>
                <w:szCs w:val="21"/>
              </w:rPr>
              <w:t>设计使用年限</w:t>
            </w:r>
            <w:r>
              <w:rPr>
                <w:rFonts w:hint="eastAsia"/>
                <w:lang w:val="en-US" w:eastAsia="zh-CN"/>
              </w:rPr>
              <w:t>≥</w:t>
            </w:r>
            <w:r>
              <w:rPr>
                <w:rFonts w:hint="eastAsia" w:ascii="宋体" w:hAnsi="宋体" w:cs="宋体"/>
                <w:color w:val="auto"/>
                <w:szCs w:val="21"/>
                <w:lang w:val="en-US" w:eastAsia="zh-CN"/>
              </w:rPr>
              <w:t>6</w:t>
            </w:r>
            <w:r>
              <w:rPr>
                <w:rFonts w:hint="eastAsia" w:ascii="宋体" w:hAnsi="宋体" w:cs="宋体"/>
                <w:color w:val="auto"/>
                <w:szCs w:val="21"/>
              </w:rPr>
              <w:t>年。</w:t>
            </w:r>
          </w:p>
        </w:tc>
      </w:tr>
      <w:tr w14:paraId="2B03A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3BFEAE64">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6</w:t>
            </w:r>
          </w:p>
        </w:tc>
        <w:tc>
          <w:tcPr>
            <w:tcW w:w="917" w:type="pct"/>
          </w:tcPr>
          <w:p w14:paraId="01BD4199">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关于设备生产日期</w:t>
            </w:r>
          </w:p>
        </w:tc>
        <w:tc>
          <w:tcPr>
            <w:tcW w:w="3377" w:type="pct"/>
          </w:tcPr>
          <w:p w14:paraId="2D42F60B">
            <w:pPr>
              <w:rPr>
                <w:rFonts w:hint="eastAsia" w:ascii="宋体" w:hAnsi="宋体" w:cs="宋体"/>
                <w:color w:val="auto"/>
                <w:szCs w:val="21"/>
              </w:rPr>
            </w:pPr>
            <w:r>
              <w:rPr>
                <w:rFonts w:hint="eastAsia" w:cs="宋体" w:asciiTheme="minorEastAsia" w:hAnsiTheme="minorEastAsia" w:eastAsiaTheme="minorEastAsia"/>
                <w:b/>
                <w:bCs/>
                <w:color w:val="FF0000"/>
                <w:szCs w:val="21"/>
              </w:rPr>
              <w:t>★</w:t>
            </w:r>
            <w:r>
              <w:rPr>
                <w:rFonts w:hint="eastAsia" w:ascii="宋体" w:hAnsi="宋体" w:cs="宋体"/>
                <w:b/>
                <w:bCs/>
                <w:color w:val="FF0000"/>
                <w:szCs w:val="21"/>
              </w:rPr>
              <w:t>投标人提供的仪器设备的生产日期必须在1年内生产，</w:t>
            </w:r>
            <w:r>
              <w:rPr>
                <w:rFonts w:hint="eastAsia" w:asciiTheme="minorEastAsia" w:hAnsiTheme="minorEastAsia" w:eastAsiaTheme="minorEastAsia"/>
                <w:b/>
                <w:bCs/>
                <w:color w:val="FF0000"/>
                <w:szCs w:val="21"/>
              </w:rPr>
              <w:t>时间自设备到货日期起算</w:t>
            </w:r>
            <w:r>
              <w:rPr>
                <w:rFonts w:hint="eastAsia" w:ascii="宋体" w:hAnsi="宋体" w:cs="宋体"/>
                <w:b/>
                <w:bCs/>
                <w:color w:val="FF0000"/>
                <w:szCs w:val="21"/>
              </w:rPr>
              <w:t>【生产日期需提供承诺书（格式自拟）】</w:t>
            </w:r>
          </w:p>
        </w:tc>
      </w:tr>
      <w:tr w14:paraId="2DAC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vAlign w:val="center"/>
          </w:tcPr>
          <w:p w14:paraId="11E649AC">
            <w:pPr>
              <w:jc w:val="center"/>
              <w:rPr>
                <w:rFonts w:hint="default" w:asciiTheme="minorEastAsia" w:hAnsiTheme="minorEastAsia" w:eastAsiaTheme="minorEastAsia"/>
                <w:color w:val="auto"/>
                <w:szCs w:val="21"/>
                <w:lang w:val="en-US" w:eastAsia="zh-CN"/>
              </w:rPr>
            </w:pPr>
            <w:r>
              <w:rPr>
                <w:rFonts w:hint="eastAsia" w:asciiTheme="minorEastAsia" w:hAnsiTheme="minorEastAsia" w:eastAsiaTheme="minorEastAsia"/>
                <w:color w:val="auto"/>
                <w:szCs w:val="21"/>
                <w:lang w:val="en-US" w:eastAsia="zh-CN"/>
              </w:rPr>
              <w:t>7</w:t>
            </w:r>
          </w:p>
        </w:tc>
        <w:tc>
          <w:tcPr>
            <w:tcW w:w="917" w:type="pct"/>
          </w:tcPr>
          <w:p w14:paraId="221FF514">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eastAsia="zh-CN"/>
              </w:rPr>
              <w:t>关于设备开机率</w:t>
            </w:r>
          </w:p>
        </w:tc>
        <w:tc>
          <w:tcPr>
            <w:tcW w:w="3377" w:type="pct"/>
          </w:tcPr>
          <w:p w14:paraId="48DFF3C4">
            <w:pPr>
              <w:spacing w:line="360" w:lineRule="auto"/>
              <w:rPr>
                <w:rFonts w:ascii="宋体" w:hAnsi="宋体" w:cs="宋体"/>
                <w:bCs/>
                <w:color w:val="auto"/>
                <w:szCs w:val="21"/>
                <w:highlight w:val="none"/>
              </w:rPr>
            </w:pPr>
            <w:r>
              <w:rPr>
                <w:rFonts w:hint="eastAsia" w:ascii="宋体" w:hAnsi="宋体" w:cs="宋体"/>
                <w:bCs/>
                <w:color w:val="auto"/>
                <w:szCs w:val="21"/>
                <w:highlight w:val="none"/>
              </w:rPr>
              <w:t>在保修期内, 投标人应确保年开机率在95%</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含</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以上, 若不能达到此开机率，将作以下处理：</w:t>
            </w:r>
          </w:p>
          <w:p w14:paraId="4EED9DB8">
            <w:pPr>
              <w:spacing w:line="360" w:lineRule="auto"/>
              <w:ind w:left="420" w:leftChars="200"/>
              <w:rPr>
                <w:rFonts w:ascii="宋体" w:hAnsi="宋体" w:cs="宋体"/>
                <w:bCs/>
                <w:color w:val="auto"/>
                <w:szCs w:val="21"/>
                <w:highlight w:val="none"/>
              </w:rPr>
            </w:pPr>
            <w:r>
              <w:rPr>
                <w:rFonts w:hint="eastAsia" w:ascii="宋体" w:hAnsi="宋体" w:cs="宋体"/>
                <w:bCs/>
                <w:color w:val="auto"/>
                <w:szCs w:val="21"/>
                <w:highlight w:val="none"/>
              </w:rPr>
              <w:t>A</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年开机率在90（含）-95%（不含）之间按一赔</w:t>
            </w:r>
            <w:r>
              <w:rPr>
                <w:rFonts w:hint="eastAsia" w:ascii="宋体" w:hAnsi="宋体" w:cs="宋体"/>
                <w:bCs/>
                <w:color w:val="auto"/>
                <w:szCs w:val="21"/>
                <w:highlight w:val="none"/>
                <w:u w:val="single"/>
              </w:rPr>
              <w:t xml:space="preserve"> 二 </w:t>
            </w:r>
            <w:r>
              <w:rPr>
                <w:rFonts w:hint="eastAsia" w:ascii="宋体" w:hAnsi="宋体" w:cs="宋体"/>
                <w:bCs/>
                <w:color w:val="auto"/>
                <w:szCs w:val="21"/>
                <w:highlight w:val="none"/>
              </w:rPr>
              <w:t>延长保修期.</w:t>
            </w:r>
          </w:p>
          <w:p w14:paraId="1C30D996">
            <w:pPr>
              <w:spacing w:line="360" w:lineRule="auto"/>
              <w:ind w:left="420" w:leftChars="200"/>
              <w:rPr>
                <w:rFonts w:ascii="宋体" w:hAnsi="宋体" w:cs="宋体"/>
                <w:bCs/>
                <w:color w:val="auto"/>
                <w:szCs w:val="21"/>
                <w:highlight w:val="none"/>
              </w:rPr>
            </w:pPr>
            <w:r>
              <w:rPr>
                <w:rFonts w:hint="eastAsia" w:ascii="宋体" w:hAnsi="宋体" w:cs="宋体"/>
                <w:bCs/>
                <w:color w:val="auto"/>
                <w:szCs w:val="21"/>
                <w:highlight w:val="none"/>
              </w:rPr>
              <w:t>B</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年开机率在85（含）-90%（不含）之间按一赔</w:t>
            </w:r>
            <w:r>
              <w:rPr>
                <w:rFonts w:hint="eastAsia" w:ascii="宋体" w:hAnsi="宋体" w:cs="宋体"/>
                <w:bCs/>
                <w:color w:val="auto"/>
                <w:szCs w:val="21"/>
                <w:highlight w:val="none"/>
                <w:u w:val="single"/>
              </w:rPr>
              <w:t xml:space="preserve"> 五 </w:t>
            </w:r>
            <w:r>
              <w:rPr>
                <w:rFonts w:hint="eastAsia" w:ascii="宋体" w:hAnsi="宋体" w:cs="宋体"/>
                <w:bCs/>
                <w:color w:val="auto"/>
                <w:szCs w:val="21"/>
                <w:highlight w:val="none"/>
              </w:rPr>
              <w:t>延长保修期</w:t>
            </w:r>
          </w:p>
          <w:p w14:paraId="04630ACE">
            <w:pPr>
              <w:spacing w:line="360" w:lineRule="auto"/>
              <w:ind w:left="735" w:leftChars="200" w:hanging="315" w:hangingChars="150"/>
              <w:rPr>
                <w:rFonts w:ascii="宋体" w:hAnsi="宋体" w:cs="宋体"/>
                <w:bCs/>
                <w:color w:val="auto"/>
                <w:szCs w:val="21"/>
                <w:highlight w:val="none"/>
              </w:rPr>
            </w:pPr>
            <w:r>
              <w:rPr>
                <w:rFonts w:hint="eastAsia" w:ascii="宋体" w:hAnsi="宋体" w:cs="宋体"/>
                <w:bCs/>
                <w:color w:val="auto"/>
                <w:szCs w:val="21"/>
                <w:highlight w:val="none"/>
              </w:rPr>
              <w:t>C</w:t>
            </w:r>
            <w:r>
              <w:rPr>
                <w:rFonts w:hint="eastAsia" w:ascii="宋体" w:hAnsi="宋体" w:cs="宋体"/>
                <w:bCs/>
                <w:color w:val="auto"/>
                <w:szCs w:val="21"/>
                <w:highlight w:val="none"/>
                <w:lang w:val="en-US" w:eastAsia="zh-CN"/>
              </w:rPr>
              <w:t>.</w:t>
            </w:r>
            <w:r>
              <w:rPr>
                <w:rFonts w:hint="eastAsia" w:ascii="宋体" w:hAnsi="宋体" w:cs="宋体"/>
                <w:bCs/>
                <w:color w:val="auto"/>
                <w:szCs w:val="21"/>
                <w:highlight w:val="none"/>
              </w:rPr>
              <w:t>年开机率低于85%（</w:t>
            </w:r>
            <w:r>
              <w:rPr>
                <w:rFonts w:hint="eastAsia" w:ascii="宋体" w:hAnsi="宋体" w:cs="宋体"/>
                <w:bCs/>
                <w:color w:val="auto"/>
                <w:szCs w:val="21"/>
                <w:highlight w:val="none"/>
                <w:lang w:val="en-US" w:eastAsia="zh-CN"/>
              </w:rPr>
              <w:t>不</w:t>
            </w:r>
            <w:r>
              <w:rPr>
                <w:rFonts w:hint="eastAsia" w:ascii="宋体" w:hAnsi="宋体" w:cs="宋体"/>
                <w:bCs/>
                <w:color w:val="auto"/>
                <w:szCs w:val="21"/>
                <w:highlight w:val="none"/>
              </w:rPr>
              <w:t>含），投标人须无条件更换新机，并重新计算保修期，以及赔偿用户的直接经济损失和间接经济损失。</w:t>
            </w:r>
          </w:p>
          <w:p w14:paraId="22507445">
            <w:pPr>
              <w:rPr>
                <w:rFonts w:hint="eastAsia" w:ascii="宋体" w:hAnsi="宋体" w:cs="宋体"/>
                <w:color w:val="auto"/>
                <w:szCs w:val="21"/>
              </w:rPr>
            </w:pPr>
            <w:r>
              <w:rPr>
                <w:rFonts w:hint="eastAsia" w:ascii="宋体" w:hAnsi="宋体" w:cs="宋体"/>
                <w:b/>
                <w:bCs/>
                <w:color w:val="auto"/>
                <w:sz w:val="21"/>
                <w:szCs w:val="21"/>
                <w:highlight w:val="none"/>
              </w:rPr>
              <w:t>注：</w:t>
            </w:r>
            <w:r>
              <w:rPr>
                <w:rFonts w:hint="eastAsia" w:ascii="宋体" w:hAnsi="宋体" w:cs="宋体"/>
                <w:bCs/>
                <w:color w:val="auto"/>
                <w:sz w:val="21"/>
                <w:szCs w:val="21"/>
                <w:highlight w:val="none"/>
              </w:rPr>
              <w:t>年开机率</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rPr>
              <w:t>（实际开机天数/</w:t>
            </w:r>
            <w:r>
              <w:rPr>
                <w:rFonts w:hint="eastAsia"/>
                <w:color w:val="auto"/>
                <w:highlight w:val="none"/>
                <w:lang w:val="en-US" w:eastAsia="zh-CN"/>
              </w:rPr>
              <w:t>365天</w:t>
            </w:r>
            <w:r>
              <w:rPr>
                <w:rFonts w:hint="eastAsia" w:ascii="宋体" w:hAnsi="宋体" w:cs="宋体"/>
                <w:bCs/>
                <w:color w:val="auto"/>
                <w:sz w:val="21"/>
                <w:szCs w:val="21"/>
                <w:highlight w:val="none"/>
              </w:rPr>
              <w:t>*100%）</w:t>
            </w:r>
          </w:p>
        </w:tc>
      </w:tr>
      <w:tr w14:paraId="0771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pct"/>
            <w:vAlign w:val="center"/>
          </w:tcPr>
          <w:p w14:paraId="3DED9124">
            <w:pPr>
              <w:jc w:val="center"/>
              <w:rPr>
                <w:rFonts w:hint="default" w:asciiTheme="minorEastAsia" w:hAnsiTheme="minorEastAsia" w:eastAsiaTheme="minorEastAsia"/>
                <w:b/>
                <w:color w:val="auto"/>
                <w:szCs w:val="21"/>
                <w:lang w:val="en-US" w:eastAsia="zh-CN"/>
              </w:rPr>
            </w:pPr>
            <w:r>
              <w:rPr>
                <w:rFonts w:hint="eastAsia" w:asciiTheme="minorEastAsia" w:hAnsiTheme="minorEastAsia" w:eastAsiaTheme="minorEastAsia"/>
                <w:b/>
                <w:color w:val="auto"/>
                <w:szCs w:val="21"/>
                <w:lang w:val="en-US" w:eastAsia="zh-CN"/>
              </w:rPr>
              <w:t>8</w:t>
            </w:r>
          </w:p>
        </w:tc>
        <w:tc>
          <w:tcPr>
            <w:tcW w:w="917" w:type="pct"/>
            <w:vAlign w:val="center"/>
          </w:tcPr>
          <w:p w14:paraId="22DFD16A">
            <w:pPr>
              <w:rPr>
                <w:rFonts w:asciiTheme="minorEastAsia" w:hAnsiTheme="minorEastAsia" w:eastAsiaTheme="minorEastAsia"/>
                <w:b/>
                <w:color w:val="auto"/>
                <w:szCs w:val="21"/>
              </w:rPr>
            </w:pPr>
            <w:r>
              <w:rPr>
                <w:rFonts w:hint="eastAsia" w:asciiTheme="minorEastAsia" w:hAnsiTheme="minorEastAsia" w:eastAsiaTheme="minorEastAsia"/>
                <w:color w:val="auto"/>
                <w:szCs w:val="21"/>
              </w:rPr>
              <w:t>其他</w:t>
            </w:r>
          </w:p>
        </w:tc>
        <w:tc>
          <w:tcPr>
            <w:tcW w:w="3377" w:type="pct"/>
            <w:vAlign w:val="center"/>
          </w:tcPr>
          <w:p w14:paraId="567AB938">
            <w:pPr>
              <w:rPr>
                <w:rFonts w:asciiTheme="minorEastAsia" w:hAnsiTheme="minorEastAsia" w:eastAsiaTheme="minorEastAsia"/>
                <w:b/>
                <w:color w:val="auto"/>
                <w:szCs w:val="21"/>
              </w:rPr>
            </w:pPr>
            <w:r>
              <w:rPr>
                <w:rFonts w:hint="eastAsia" w:asciiTheme="minorEastAsia" w:hAnsiTheme="minorEastAsia" w:eastAsiaTheme="minorEastAsia"/>
                <w:bCs/>
                <w:color w:val="auto"/>
                <w:szCs w:val="21"/>
              </w:rPr>
              <w:t>投标人应按其投标文件中的承诺，进行其他售后服务工作。</w:t>
            </w:r>
          </w:p>
        </w:tc>
      </w:tr>
      <w:tr w14:paraId="5B37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tcPr>
          <w:p w14:paraId="420761C0">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（二）免费保修期外售后服务要求</w:t>
            </w:r>
          </w:p>
        </w:tc>
      </w:tr>
      <w:tr w14:paraId="249C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top"/>
          </w:tcPr>
          <w:p w14:paraId="548B77A6">
            <w:pPr>
              <w:pStyle w:val="56"/>
              <w:spacing w:before="68" w:line="242" w:lineRule="auto"/>
              <w:jc w:val="center"/>
              <w:rPr>
                <w:b/>
                <w:bCs/>
                <w:spacing w:val="-3"/>
              </w:rPr>
            </w:pPr>
          </w:p>
          <w:p w14:paraId="61753CD5">
            <w:pPr>
              <w:pStyle w:val="56"/>
              <w:spacing w:before="68" w:line="242" w:lineRule="auto"/>
              <w:jc w:val="center"/>
              <w:rPr>
                <w:b/>
                <w:bCs/>
                <w:spacing w:val="-3"/>
              </w:rPr>
            </w:pPr>
          </w:p>
          <w:p w14:paraId="4000BC0B">
            <w:pPr>
              <w:pStyle w:val="56"/>
              <w:spacing w:before="68" w:line="242" w:lineRule="auto"/>
              <w:jc w:val="center"/>
              <w:rPr>
                <w:b/>
                <w:bCs/>
                <w:spacing w:val="-3"/>
              </w:rPr>
            </w:pPr>
          </w:p>
          <w:p w14:paraId="79CD6B6D">
            <w:pPr>
              <w:pStyle w:val="56"/>
              <w:spacing w:before="68" w:line="242" w:lineRule="auto"/>
              <w:jc w:val="center"/>
              <w:rPr>
                <w:rFonts w:hint="eastAsia" w:asciiTheme="minorEastAsia" w:hAnsiTheme="minorEastAsia" w:eastAsiaTheme="minorEastAsia"/>
                <w:b/>
                <w:color w:val="auto"/>
                <w:szCs w:val="21"/>
                <w:highlight w:val="none"/>
              </w:rPr>
            </w:pPr>
            <w:r>
              <w:rPr>
                <w:b/>
                <w:bCs/>
                <w:spacing w:val="-3"/>
              </w:rPr>
              <w:t>1</w:t>
            </w:r>
          </w:p>
        </w:tc>
        <w:tc>
          <w:tcPr>
            <w:tcW w:w="917" w:type="pct"/>
            <w:vMerge w:val="restart"/>
            <w:vAlign w:val="top"/>
          </w:tcPr>
          <w:p w14:paraId="06727FB6">
            <w:pPr>
              <w:pStyle w:val="56"/>
              <w:spacing w:before="0" w:line="240" w:lineRule="auto"/>
              <w:ind w:left="0" w:leftChars="0" w:right="0" w:rightChars="0" w:firstLine="0" w:firstLineChars="0"/>
              <w:jc w:val="center"/>
              <w:rPr>
                <w:b/>
                <w:bCs/>
                <w:spacing w:val="-4"/>
              </w:rPr>
            </w:pPr>
          </w:p>
          <w:p w14:paraId="30B29C24">
            <w:pPr>
              <w:pStyle w:val="56"/>
              <w:spacing w:before="0" w:line="240" w:lineRule="auto"/>
              <w:ind w:left="0" w:leftChars="0" w:right="0" w:rightChars="0" w:firstLine="0" w:firstLineChars="0"/>
              <w:jc w:val="center"/>
              <w:rPr>
                <w:b/>
                <w:bCs/>
                <w:spacing w:val="-4"/>
              </w:rPr>
            </w:pPr>
          </w:p>
          <w:p w14:paraId="475B46C1">
            <w:pPr>
              <w:pStyle w:val="56"/>
              <w:spacing w:before="0" w:line="240" w:lineRule="auto"/>
              <w:ind w:left="0" w:leftChars="0" w:right="0" w:rightChars="0" w:firstLine="0" w:firstLineChars="0"/>
              <w:jc w:val="center"/>
              <w:rPr>
                <w:b/>
                <w:bCs/>
                <w:spacing w:val="-4"/>
              </w:rPr>
            </w:pPr>
          </w:p>
          <w:p w14:paraId="594BD68B">
            <w:pPr>
              <w:pStyle w:val="56"/>
              <w:spacing w:before="0" w:line="240" w:lineRule="auto"/>
              <w:ind w:left="0" w:leftChars="0" w:right="0" w:rightChars="0" w:firstLine="0" w:firstLineChars="0"/>
              <w:jc w:val="center"/>
              <w:rPr>
                <w:rFonts w:asciiTheme="minorEastAsia" w:hAnsiTheme="minorEastAsia" w:eastAsiaTheme="minorEastAsia"/>
                <w:b/>
                <w:color w:val="auto"/>
                <w:szCs w:val="21"/>
                <w:highlight w:val="none"/>
              </w:rPr>
            </w:pPr>
            <w:r>
              <w:rPr>
                <w:b/>
                <w:bCs/>
                <w:spacing w:val="-4"/>
              </w:rPr>
              <w:t>维修零配</w:t>
            </w:r>
            <w:r>
              <w:rPr>
                <w:b/>
                <w:bCs/>
                <w:spacing w:val="-3"/>
              </w:rPr>
              <w:t>件、消耗</w:t>
            </w:r>
            <w:r>
              <w:rPr>
                <w:b/>
                <w:bCs/>
                <w:spacing w:val="-7"/>
              </w:rPr>
              <w:t>品和延续</w:t>
            </w:r>
            <w:r>
              <w:rPr>
                <w:b/>
                <w:bCs/>
                <w:spacing w:val="-4"/>
              </w:rPr>
              <w:t>保修合同</w:t>
            </w:r>
            <w:r>
              <w:rPr>
                <w:b/>
                <w:bCs/>
                <w:spacing w:val="-8"/>
              </w:rPr>
              <w:t>的报价</w:t>
            </w:r>
          </w:p>
        </w:tc>
        <w:tc>
          <w:tcPr>
            <w:tcW w:w="3377" w:type="pct"/>
            <w:vAlign w:val="top"/>
          </w:tcPr>
          <w:p w14:paraId="2F768677">
            <w:pPr>
              <w:pStyle w:val="56"/>
              <w:spacing w:before="0" w:line="240" w:lineRule="auto"/>
              <w:ind w:left="0" w:leftChars="0" w:right="0" w:rightChars="0" w:firstLine="15" w:firstLineChars="0"/>
              <w:rPr>
                <w:rFonts w:hint="eastAsia" w:ascii="宋体" w:hAnsi="宋体" w:cs="宋体"/>
                <w:color w:val="auto"/>
                <w:szCs w:val="21"/>
                <w:highlight w:val="none"/>
              </w:rPr>
            </w:pPr>
            <w:r>
              <w:rPr>
                <w:spacing w:val="-4"/>
              </w:rPr>
              <w:t>1.1</w:t>
            </w:r>
            <w:r>
              <w:rPr>
                <w:rFonts w:hint="eastAsia"/>
                <w:spacing w:val="-4"/>
                <w:lang w:eastAsia="zh-CN"/>
              </w:rPr>
              <w:t>由设备制造商或制造商授权认可的代理商提供售后服务</w:t>
            </w:r>
            <w:r>
              <w:rPr>
                <w:spacing w:val="-4"/>
              </w:rPr>
              <w:t>，</w:t>
            </w:r>
            <w:r>
              <w:rPr>
                <w:rFonts w:hint="eastAsia"/>
                <w:spacing w:val="-4"/>
                <w:u w:val="single" w:color="auto"/>
                <w:lang w:val="en-US" w:eastAsia="zh-CN"/>
              </w:rPr>
              <w:t>4</w:t>
            </w:r>
            <w:r>
              <w:rPr>
                <w:spacing w:val="-4"/>
              </w:rPr>
              <w:t>小时内响应，</w:t>
            </w:r>
            <w:r>
              <w:rPr>
                <w:rFonts w:hint="eastAsia"/>
                <w:spacing w:val="-4"/>
                <w:u w:val="single" w:color="auto"/>
                <w:lang w:val="en-US" w:eastAsia="zh-CN"/>
              </w:rPr>
              <w:t>48</w:t>
            </w:r>
            <w:r>
              <w:rPr>
                <w:spacing w:val="-4"/>
                <w:u w:val="single" w:color="auto"/>
              </w:rPr>
              <w:t xml:space="preserve"> </w:t>
            </w:r>
            <w:r>
              <w:rPr>
                <w:spacing w:val="-4"/>
              </w:rPr>
              <w:t>小时维修到</w:t>
            </w:r>
            <w:r>
              <w:rPr>
                <w:spacing w:val="-1"/>
              </w:rPr>
              <w:t>位（不可抗力情况除外）。</w:t>
            </w:r>
          </w:p>
        </w:tc>
      </w:tr>
      <w:tr w14:paraId="34D8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top"/>
          </w:tcPr>
          <w:p w14:paraId="01C10C24">
            <w:pPr>
              <w:rPr>
                <w:rFonts w:hint="eastAsia" w:asciiTheme="minorEastAsia" w:hAnsiTheme="minorEastAsia" w:eastAsiaTheme="minorEastAsia"/>
                <w:b/>
                <w:color w:val="auto"/>
                <w:szCs w:val="21"/>
                <w:highlight w:val="none"/>
              </w:rPr>
            </w:pPr>
          </w:p>
        </w:tc>
        <w:tc>
          <w:tcPr>
            <w:tcW w:w="917" w:type="pct"/>
            <w:vMerge w:val="continue"/>
            <w:vAlign w:val="top"/>
          </w:tcPr>
          <w:p w14:paraId="4E15B206">
            <w:pPr>
              <w:rPr>
                <w:rFonts w:asciiTheme="minorEastAsia" w:hAnsiTheme="minorEastAsia" w:eastAsiaTheme="minorEastAsia"/>
                <w:b/>
                <w:color w:val="auto"/>
                <w:szCs w:val="21"/>
                <w:highlight w:val="none"/>
              </w:rPr>
            </w:pPr>
          </w:p>
        </w:tc>
        <w:tc>
          <w:tcPr>
            <w:tcW w:w="3377" w:type="pct"/>
            <w:vAlign w:val="top"/>
          </w:tcPr>
          <w:p w14:paraId="45B19CED">
            <w:pPr>
              <w:pStyle w:val="56"/>
              <w:spacing w:before="0" w:line="240" w:lineRule="auto"/>
              <w:ind w:left="0" w:leftChars="0" w:right="0" w:rightChars="0" w:firstLine="9" w:firstLineChars="0"/>
              <w:jc w:val="both"/>
              <w:rPr>
                <w:rFonts w:hint="eastAsia" w:ascii="宋体" w:hAnsi="宋体" w:cs="宋体"/>
                <w:color w:val="auto"/>
                <w:szCs w:val="21"/>
                <w:highlight w:val="none"/>
              </w:rPr>
            </w:pPr>
            <w:r>
              <w:rPr>
                <w:spacing w:val="-3"/>
              </w:rPr>
              <w:t>1.</w:t>
            </w:r>
            <w:r>
              <w:rPr>
                <w:rFonts w:hint="eastAsia"/>
                <w:spacing w:val="-3"/>
                <w:lang w:val="en-US" w:eastAsia="zh-CN"/>
              </w:rPr>
              <w:t>2</w:t>
            </w:r>
            <w:r>
              <w:rPr>
                <w:spacing w:val="-28"/>
              </w:rPr>
              <w:t xml:space="preserve"> </w:t>
            </w:r>
            <w:r>
              <w:rPr>
                <w:spacing w:val="-3"/>
              </w:rPr>
              <w:t>采购人可与成交（中标）供应商就优惠价进行谈判，但优惠价不得</w:t>
            </w:r>
            <w:r>
              <w:rPr>
                <w:spacing w:val="-7"/>
              </w:rPr>
              <w:t>高于成交（中标）供应商在</w:t>
            </w:r>
            <w:r>
              <w:rPr>
                <w:rFonts w:hint="eastAsia"/>
                <w:spacing w:val="-7"/>
                <w:lang w:eastAsia="zh-CN"/>
              </w:rPr>
              <w:t>投标</w:t>
            </w:r>
            <w:r>
              <w:rPr>
                <w:spacing w:val="-7"/>
              </w:rPr>
              <w:t>文件</w:t>
            </w:r>
            <w:r>
              <w:rPr>
                <w:spacing w:val="-1"/>
              </w:rPr>
              <w:t>中承诺的维修零配件和消耗品的报价。</w:t>
            </w:r>
          </w:p>
        </w:tc>
      </w:tr>
      <w:tr w14:paraId="02B1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top"/>
          </w:tcPr>
          <w:p w14:paraId="135C1CF5">
            <w:pPr>
              <w:rPr>
                <w:rFonts w:hint="eastAsia" w:asciiTheme="minorEastAsia" w:hAnsiTheme="minorEastAsia" w:eastAsiaTheme="minorEastAsia"/>
                <w:b/>
                <w:color w:val="auto"/>
                <w:szCs w:val="21"/>
                <w:highlight w:val="none"/>
                <w:lang w:eastAsia="zh-CN"/>
              </w:rPr>
            </w:pPr>
          </w:p>
        </w:tc>
        <w:tc>
          <w:tcPr>
            <w:tcW w:w="917" w:type="pct"/>
            <w:vMerge w:val="continue"/>
            <w:vAlign w:val="top"/>
          </w:tcPr>
          <w:p w14:paraId="422EB87C">
            <w:pPr>
              <w:rPr>
                <w:rFonts w:asciiTheme="minorEastAsia" w:hAnsiTheme="minorEastAsia" w:eastAsiaTheme="minorEastAsia"/>
                <w:b/>
                <w:color w:val="auto"/>
                <w:szCs w:val="21"/>
                <w:highlight w:val="none"/>
              </w:rPr>
            </w:pPr>
          </w:p>
        </w:tc>
        <w:tc>
          <w:tcPr>
            <w:tcW w:w="3377" w:type="pct"/>
            <w:vAlign w:val="top"/>
          </w:tcPr>
          <w:p w14:paraId="77FEEF9D">
            <w:pPr>
              <w:pStyle w:val="56"/>
              <w:spacing w:before="0" w:line="240" w:lineRule="auto"/>
              <w:ind w:left="0" w:leftChars="0"/>
              <w:rPr>
                <w:rFonts w:hint="eastAsia" w:ascii="宋体" w:hAnsi="宋体" w:cs="宋体"/>
                <w:color w:val="auto"/>
                <w:szCs w:val="21"/>
                <w:highlight w:val="none"/>
              </w:rPr>
            </w:pPr>
            <w:r>
              <w:rPr>
                <w:spacing w:val="-3"/>
              </w:rPr>
              <w:t>1.</w:t>
            </w:r>
            <w:r>
              <w:rPr>
                <w:rFonts w:hint="eastAsia"/>
                <w:spacing w:val="-3"/>
                <w:lang w:val="en-US" w:eastAsia="zh-CN"/>
              </w:rPr>
              <w:t>3</w:t>
            </w:r>
            <w:r>
              <w:rPr>
                <w:spacing w:val="-3"/>
              </w:rPr>
              <w:t>设备停产后的备件供应：保证</w:t>
            </w:r>
            <w:r>
              <w:rPr>
                <w:rFonts w:hint="eastAsia"/>
                <w:spacing w:val="-3"/>
                <w:lang w:val="en-US" w:eastAsia="zh-CN"/>
              </w:rPr>
              <w:t>5</w:t>
            </w:r>
            <w:r>
              <w:rPr>
                <w:spacing w:val="-3"/>
              </w:rPr>
              <w:t>年。</w:t>
            </w:r>
          </w:p>
        </w:tc>
      </w:tr>
      <w:tr w14:paraId="1E93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05" w:type="pct"/>
            <w:vMerge w:val="continue"/>
            <w:vAlign w:val="top"/>
          </w:tcPr>
          <w:p w14:paraId="0DC612D5">
            <w:pPr>
              <w:rPr>
                <w:rFonts w:hint="eastAsia" w:asciiTheme="minorEastAsia" w:hAnsiTheme="minorEastAsia" w:eastAsiaTheme="minorEastAsia"/>
                <w:b/>
                <w:color w:val="auto"/>
                <w:szCs w:val="21"/>
                <w:highlight w:val="none"/>
                <w:lang w:eastAsia="zh-CN"/>
              </w:rPr>
            </w:pPr>
          </w:p>
        </w:tc>
        <w:tc>
          <w:tcPr>
            <w:tcW w:w="917" w:type="pct"/>
            <w:vMerge w:val="continue"/>
            <w:vAlign w:val="top"/>
          </w:tcPr>
          <w:p w14:paraId="5AAE2ED3">
            <w:pPr>
              <w:rPr>
                <w:rFonts w:asciiTheme="minorEastAsia" w:hAnsiTheme="minorEastAsia" w:eastAsiaTheme="minorEastAsia"/>
                <w:b/>
                <w:color w:val="auto"/>
                <w:szCs w:val="21"/>
                <w:highlight w:val="none"/>
              </w:rPr>
            </w:pPr>
          </w:p>
        </w:tc>
        <w:tc>
          <w:tcPr>
            <w:tcW w:w="3377" w:type="pct"/>
            <w:vAlign w:val="top"/>
          </w:tcPr>
          <w:p w14:paraId="1A13EC24">
            <w:pPr>
              <w:pStyle w:val="56"/>
              <w:spacing w:before="0" w:line="240" w:lineRule="auto"/>
              <w:ind w:left="0" w:leftChars="0" w:right="0" w:rightChars="0" w:firstLine="14" w:firstLineChars="0"/>
              <w:jc w:val="both"/>
              <w:rPr>
                <w:rFonts w:hint="eastAsia" w:ascii="宋体" w:hAnsi="宋体" w:cs="宋体"/>
                <w:color w:val="auto"/>
                <w:szCs w:val="21"/>
                <w:highlight w:val="none"/>
              </w:rPr>
            </w:pPr>
            <w:r>
              <w:rPr>
                <w:spacing w:val="-2"/>
              </w:rPr>
              <w:t>1.</w:t>
            </w:r>
            <w:r>
              <w:rPr>
                <w:rFonts w:hint="eastAsia"/>
                <w:spacing w:val="-2"/>
                <w:lang w:val="en-US" w:eastAsia="zh-CN"/>
              </w:rPr>
              <w:t>4</w:t>
            </w:r>
            <w:r>
              <w:rPr>
                <w:spacing w:val="-44"/>
              </w:rPr>
              <w:t xml:space="preserve"> </w:t>
            </w:r>
            <w:r>
              <w:rPr>
                <w:rFonts w:ascii="宋体" w:hAnsi="宋体" w:eastAsia="宋体" w:cs="宋体"/>
                <w:sz w:val="21"/>
                <w:szCs w:val="21"/>
              </w:rPr>
              <w:t>在设备购买合同中约定在设备保修期外，</w:t>
            </w:r>
            <w:r>
              <w:rPr>
                <w:rFonts w:hint="eastAsia" w:ascii="宋体" w:hAnsi="宋体" w:eastAsia="宋体" w:cs="宋体"/>
                <w:sz w:val="21"/>
                <w:szCs w:val="21"/>
                <w:lang w:eastAsia="zh-CN"/>
              </w:rPr>
              <w:t>中标人</w:t>
            </w:r>
            <w:r>
              <w:rPr>
                <w:rFonts w:ascii="宋体" w:hAnsi="宋体" w:eastAsia="宋体" w:cs="宋体"/>
                <w:sz w:val="21"/>
                <w:szCs w:val="21"/>
              </w:rPr>
              <w:t>需承担采购人信息系统的连接项目产生的所有费用并无偿安排人员负责解决。</w:t>
            </w:r>
          </w:p>
        </w:tc>
      </w:tr>
      <w:tr w14:paraId="70B93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tcPr>
          <w:p w14:paraId="24CC90CA">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（三）其他商务要求</w:t>
            </w:r>
          </w:p>
        </w:tc>
      </w:tr>
      <w:tr w14:paraId="1616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restart"/>
            <w:vAlign w:val="center"/>
          </w:tcPr>
          <w:p w14:paraId="066FBCF1">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1</w:t>
            </w:r>
          </w:p>
        </w:tc>
        <w:tc>
          <w:tcPr>
            <w:tcW w:w="917" w:type="pct"/>
            <w:vMerge w:val="restart"/>
            <w:vAlign w:val="center"/>
          </w:tcPr>
          <w:p w14:paraId="068053EF">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关于交货</w:t>
            </w:r>
          </w:p>
        </w:tc>
        <w:tc>
          <w:tcPr>
            <w:tcW w:w="3377" w:type="pct"/>
          </w:tcPr>
          <w:p w14:paraId="52F0B85B">
            <w:pPr>
              <w:rPr>
                <w:rFonts w:asciiTheme="minorEastAsia" w:hAnsiTheme="minorEastAsia" w:eastAsiaTheme="minorEastAsia"/>
                <w:bCs/>
                <w:color w:val="auto"/>
                <w:szCs w:val="21"/>
              </w:rPr>
            </w:pPr>
            <w:r>
              <w:rPr>
                <w:rFonts w:hint="eastAsia" w:cs="宋体" w:asciiTheme="minorEastAsia" w:hAnsiTheme="minorEastAsia" w:eastAsiaTheme="minorEastAsia"/>
                <w:b/>
                <w:bCs/>
                <w:color w:val="auto"/>
                <w:szCs w:val="21"/>
              </w:rPr>
              <w:t>★</w:t>
            </w:r>
            <w:r>
              <w:rPr>
                <w:rFonts w:hint="eastAsia" w:asciiTheme="minorEastAsia" w:hAnsiTheme="minorEastAsia" w:eastAsiaTheme="minorEastAsia"/>
                <w:bCs/>
                <w:color w:val="auto"/>
                <w:szCs w:val="21"/>
              </w:rPr>
              <w:t>1.1</w:t>
            </w:r>
            <w:r>
              <w:rPr>
                <w:rFonts w:hint="eastAsia"/>
                <w:color w:val="auto"/>
              </w:rPr>
              <w:t xml:space="preserve">签订合同后  </w:t>
            </w:r>
            <w:r>
              <w:rPr>
                <w:rFonts w:hint="eastAsia"/>
                <w:color w:val="auto"/>
                <w:u w:val="single"/>
              </w:rPr>
              <w:t xml:space="preserve"> </w:t>
            </w:r>
            <w:r>
              <w:rPr>
                <w:rFonts w:hint="eastAsia"/>
                <w:color w:val="auto"/>
                <w:highlight w:val="yellow"/>
                <w:u w:val="single"/>
                <w:lang w:val="en-US" w:eastAsia="zh-CN"/>
              </w:rPr>
              <w:t>30</w:t>
            </w:r>
            <w:r>
              <w:rPr>
                <w:rFonts w:hint="eastAsia"/>
                <w:color w:val="auto"/>
                <w:u w:val="single"/>
              </w:rPr>
              <w:t xml:space="preserve"> </w:t>
            </w:r>
            <w:r>
              <w:rPr>
                <w:rFonts w:hint="eastAsia"/>
                <w:color w:val="auto"/>
              </w:rPr>
              <w:t xml:space="preserve"> 天（日历日）内交货。</w:t>
            </w:r>
          </w:p>
        </w:tc>
      </w:tr>
      <w:tr w14:paraId="61B4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continue"/>
            <w:vAlign w:val="center"/>
          </w:tcPr>
          <w:p w14:paraId="71AD0C9F">
            <w:pPr>
              <w:jc w:val="center"/>
              <w:rPr>
                <w:rFonts w:hint="eastAsia" w:asciiTheme="minorEastAsia" w:hAnsiTheme="minorEastAsia" w:eastAsiaTheme="minorEastAsia"/>
                <w:b/>
                <w:color w:val="auto"/>
                <w:szCs w:val="21"/>
              </w:rPr>
            </w:pPr>
          </w:p>
        </w:tc>
        <w:tc>
          <w:tcPr>
            <w:tcW w:w="917" w:type="pct"/>
            <w:vMerge w:val="continue"/>
            <w:vAlign w:val="center"/>
          </w:tcPr>
          <w:p w14:paraId="72B1E40D">
            <w:pPr>
              <w:jc w:val="center"/>
              <w:rPr>
                <w:rFonts w:hint="eastAsia" w:asciiTheme="minorEastAsia" w:hAnsiTheme="minorEastAsia" w:eastAsiaTheme="minorEastAsia"/>
                <w:color w:val="auto"/>
                <w:szCs w:val="21"/>
              </w:rPr>
            </w:pPr>
          </w:p>
        </w:tc>
        <w:tc>
          <w:tcPr>
            <w:tcW w:w="3377" w:type="pct"/>
          </w:tcPr>
          <w:p w14:paraId="411CD761">
            <w:pPr>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lang w:val="en-US" w:eastAsia="zh-CN"/>
              </w:rPr>
              <w:t>1.2</w:t>
            </w:r>
            <w:r>
              <w:rPr>
                <w:rFonts w:hint="eastAsia" w:asciiTheme="minorEastAsia" w:hAnsiTheme="minorEastAsia" w:eastAsiaTheme="minorEastAsia"/>
                <w:bCs/>
                <w:color w:val="auto"/>
                <w:szCs w:val="21"/>
              </w:rPr>
              <w:t>交货地点：</w:t>
            </w:r>
            <w:r>
              <w:rPr>
                <w:rFonts w:hint="eastAsia" w:ascii="宋体" w:hAnsi="宋体"/>
                <w:color w:val="auto"/>
                <w:szCs w:val="21"/>
              </w:rPr>
              <w:t>中标人</w:t>
            </w:r>
            <w:r>
              <w:rPr>
                <w:rFonts w:hint="eastAsia" w:ascii="宋体" w:hAnsi="宋体" w:cs="宋体"/>
                <w:bCs/>
                <w:color w:val="auto"/>
                <w:szCs w:val="21"/>
                <w:highlight w:val="none"/>
              </w:rPr>
              <w:t>负责将</w:t>
            </w:r>
            <w:r>
              <w:rPr>
                <w:rFonts w:hint="eastAsia" w:ascii="宋体" w:hAnsi="宋体" w:cs="宋体"/>
                <w:color w:val="auto"/>
                <w:szCs w:val="21"/>
                <w:highlight w:val="none"/>
              </w:rPr>
              <w:t>货物</w:t>
            </w:r>
            <w:r>
              <w:rPr>
                <w:rFonts w:hint="eastAsia" w:ascii="宋体" w:hAnsi="宋体" w:cs="宋体"/>
                <w:bCs/>
                <w:color w:val="auto"/>
                <w:szCs w:val="21"/>
                <w:highlight w:val="none"/>
              </w:rPr>
              <w:t>安全无损运抵采购人指定地点,并承担设备的包装、运输、保险、装卸、安装调试、培训、商检及计量检测、关税、增值税和进口代理等费用</w:t>
            </w:r>
            <w:r>
              <w:rPr>
                <w:rFonts w:hint="eastAsia" w:ascii="宋体" w:hAnsi="宋体" w:cs="宋体"/>
                <w:color w:val="auto"/>
                <w:szCs w:val="21"/>
                <w:highlight w:val="none"/>
              </w:rPr>
              <w:t>。</w:t>
            </w:r>
          </w:p>
        </w:tc>
      </w:tr>
      <w:tr w14:paraId="6F30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7D97AFE5">
            <w:pPr>
              <w:jc w:val="center"/>
              <w:rPr>
                <w:rFonts w:asciiTheme="minorEastAsia" w:hAnsiTheme="minorEastAsia" w:eastAsiaTheme="minorEastAsia"/>
                <w:b/>
                <w:color w:val="auto"/>
                <w:szCs w:val="21"/>
              </w:rPr>
            </w:pPr>
          </w:p>
        </w:tc>
        <w:tc>
          <w:tcPr>
            <w:tcW w:w="917" w:type="pct"/>
            <w:vMerge w:val="continue"/>
            <w:vAlign w:val="center"/>
          </w:tcPr>
          <w:p w14:paraId="722C22DC">
            <w:pPr>
              <w:jc w:val="center"/>
              <w:rPr>
                <w:rFonts w:asciiTheme="minorEastAsia" w:hAnsiTheme="minorEastAsia" w:eastAsiaTheme="minorEastAsia"/>
                <w:color w:val="auto"/>
                <w:szCs w:val="21"/>
              </w:rPr>
            </w:pPr>
          </w:p>
        </w:tc>
        <w:tc>
          <w:tcPr>
            <w:tcW w:w="3377" w:type="pct"/>
          </w:tcPr>
          <w:p w14:paraId="54C88635">
            <w:pPr>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w:t>
            </w:r>
            <w:r>
              <w:rPr>
                <w:rFonts w:hint="eastAsia" w:asciiTheme="minorEastAsia" w:hAnsiTheme="minorEastAsia" w:eastAsiaTheme="minorEastAsia"/>
                <w:bCs/>
                <w:color w:val="auto"/>
                <w:szCs w:val="21"/>
                <w:lang w:val="en-US" w:eastAsia="zh-CN"/>
              </w:rPr>
              <w:t>3</w:t>
            </w:r>
            <w:r>
              <w:rPr>
                <w:rFonts w:hint="eastAsia" w:ascii="宋体" w:hAnsi="宋体"/>
                <w:color w:val="auto"/>
                <w:szCs w:val="21"/>
              </w:rPr>
              <w:t>中标人</w:t>
            </w:r>
            <w:r>
              <w:rPr>
                <w:rFonts w:hint="eastAsia" w:ascii="宋体" w:hAnsi="宋体" w:cs="宋体"/>
                <w:bCs/>
                <w:color w:val="auto"/>
                <w:szCs w:val="21"/>
                <w:highlight w:val="none"/>
              </w:rPr>
              <w:t>应提供货物的技术文件，包括但不限于设备配置清单、产品说明书、图纸、操作手册等，所有外文资料须提供中文译本。文件应随货物一并交付至采购人指定地点</w:t>
            </w:r>
            <w:r>
              <w:rPr>
                <w:rFonts w:hint="eastAsia" w:ascii="宋体" w:hAnsi="宋体" w:cs="宋体"/>
                <w:color w:val="auto"/>
                <w:szCs w:val="21"/>
                <w:highlight w:val="none"/>
              </w:rPr>
              <w:t>。</w:t>
            </w:r>
          </w:p>
        </w:tc>
      </w:tr>
      <w:tr w14:paraId="4D36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2F7181CC">
            <w:pPr>
              <w:jc w:val="center"/>
              <w:rPr>
                <w:rFonts w:asciiTheme="minorEastAsia" w:hAnsiTheme="minorEastAsia" w:eastAsiaTheme="minorEastAsia"/>
                <w:b/>
                <w:color w:val="auto"/>
                <w:szCs w:val="21"/>
              </w:rPr>
            </w:pPr>
          </w:p>
        </w:tc>
        <w:tc>
          <w:tcPr>
            <w:tcW w:w="917" w:type="pct"/>
            <w:vMerge w:val="continue"/>
            <w:vAlign w:val="center"/>
          </w:tcPr>
          <w:p w14:paraId="441EEE06">
            <w:pPr>
              <w:jc w:val="center"/>
              <w:rPr>
                <w:rFonts w:asciiTheme="minorEastAsia" w:hAnsiTheme="minorEastAsia" w:eastAsiaTheme="minorEastAsia"/>
                <w:color w:val="auto"/>
                <w:szCs w:val="21"/>
              </w:rPr>
            </w:pPr>
          </w:p>
        </w:tc>
        <w:tc>
          <w:tcPr>
            <w:tcW w:w="3377" w:type="pct"/>
          </w:tcPr>
          <w:p w14:paraId="7CD6B547">
            <w:pPr>
              <w:rPr>
                <w:rFonts w:hint="eastAsia" w:asciiTheme="minorEastAsia" w:hAnsiTheme="minorEastAsia" w:eastAsiaTheme="minorEastAsia"/>
                <w:bCs/>
                <w:color w:val="auto"/>
                <w:szCs w:val="21"/>
              </w:rPr>
            </w:pPr>
            <w:r>
              <w:rPr>
                <w:rFonts w:hint="eastAsia" w:ascii="宋体" w:hAnsi="宋体" w:eastAsia="宋体" w:cs="宋体"/>
                <w:szCs w:val="21"/>
                <w:highlight w:val="none"/>
              </w:rPr>
              <w:t>1.4中标人提供的货物必须为全新、经检验合格的产品。产品如需要计量检定的应提供相关计量检定部门出具的合法检定报告。</w:t>
            </w:r>
            <w:r>
              <w:rPr>
                <w:rFonts w:hint="eastAsia" w:ascii="宋体" w:hAnsi="宋体" w:cs="宋体"/>
                <w:bCs/>
                <w:color w:val="auto"/>
                <w:szCs w:val="21"/>
                <w:highlight w:val="none"/>
              </w:rPr>
              <w:t>进口设备必须具有报关证明文件和商检证明文件（免检设备</w:t>
            </w:r>
            <w:r>
              <w:rPr>
                <w:rFonts w:hint="eastAsia" w:ascii="宋体" w:hAnsi="宋体" w:cs="宋体"/>
                <w:bCs/>
                <w:color w:val="auto"/>
                <w:szCs w:val="21"/>
                <w:highlight w:val="none"/>
                <w:lang w:eastAsia="zh-CN"/>
              </w:rPr>
              <w:t>提供免检证明</w:t>
            </w:r>
            <w:r>
              <w:rPr>
                <w:rFonts w:hint="eastAsia" w:ascii="宋体" w:hAnsi="宋体" w:cs="宋体"/>
                <w:bCs/>
                <w:color w:val="auto"/>
                <w:szCs w:val="21"/>
                <w:highlight w:val="none"/>
              </w:rPr>
              <w:t>）</w:t>
            </w:r>
            <w:r>
              <w:rPr>
                <w:rFonts w:hint="eastAsia" w:ascii="宋体" w:hAnsi="宋体" w:cs="宋体"/>
                <w:color w:val="auto"/>
                <w:szCs w:val="21"/>
                <w:highlight w:val="none"/>
              </w:rPr>
              <w:t>。</w:t>
            </w:r>
            <w:r>
              <w:rPr>
                <w:spacing w:val="-2"/>
              </w:rPr>
              <w:t>需提供足够的场地所需的连接管线</w:t>
            </w:r>
            <w:r>
              <w:rPr>
                <w:spacing w:val="-3"/>
              </w:rPr>
              <w:t>和备件，包</w:t>
            </w:r>
            <w:r>
              <w:rPr>
                <w:spacing w:val="-2"/>
              </w:rPr>
              <w:t>括所有附属设施，线柜以及相关的通讯和</w:t>
            </w:r>
            <w:r>
              <w:rPr>
                <w:spacing w:val="-31"/>
              </w:rPr>
              <w:t xml:space="preserve"> </w:t>
            </w:r>
            <w:r>
              <w:rPr>
                <w:spacing w:val="-2"/>
              </w:rPr>
              <w:t>IT</w:t>
            </w:r>
            <w:r>
              <w:rPr>
                <w:spacing w:val="-45"/>
              </w:rPr>
              <w:t xml:space="preserve"> </w:t>
            </w:r>
            <w:r>
              <w:rPr>
                <w:spacing w:val="-2"/>
              </w:rPr>
              <w:t>连接配件。所供货的产品需符合中国电源标准及规范国际</w:t>
            </w:r>
            <w:r>
              <w:rPr>
                <w:spacing w:val="-3"/>
              </w:rPr>
              <w:t>接插头，如不符合厂</w:t>
            </w:r>
            <w:r>
              <w:rPr>
                <w:spacing w:val="-4"/>
              </w:rPr>
              <w:t>家及成交（中标）供应商负责免费更换，并配齐与用户响应的水电气接</w:t>
            </w:r>
            <w:r>
              <w:rPr>
                <w:spacing w:val="-8"/>
              </w:rPr>
              <w:t>插件。</w:t>
            </w:r>
          </w:p>
        </w:tc>
      </w:tr>
      <w:tr w14:paraId="569E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vAlign w:val="center"/>
          </w:tcPr>
          <w:p w14:paraId="66688633">
            <w:pPr>
              <w:jc w:val="center"/>
              <w:rPr>
                <w:rFonts w:asciiTheme="minorEastAsia" w:hAnsiTheme="minorEastAsia" w:eastAsiaTheme="minorEastAsia"/>
                <w:b/>
                <w:color w:val="auto"/>
                <w:szCs w:val="21"/>
              </w:rPr>
            </w:pPr>
          </w:p>
        </w:tc>
        <w:tc>
          <w:tcPr>
            <w:tcW w:w="917" w:type="pct"/>
            <w:vMerge w:val="continue"/>
            <w:vAlign w:val="center"/>
          </w:tcPr>
          <w:p w14:paraId="080E4CF5">
            <w:pPr>
              <w:jc w:val="center"/>
              <w:rPr>
                <w:rFonts w:asciiTheme="minorEastAsia" w:hAnsiTheme="minorEastAsia" w:eastAsiaTheme="minorEastAsia"/>
                <w:color w:val="auto"/>
                <w:szCs w:val="21"/>
              </w:rPr>
            </w:pPr>
          </w:p>
        </w:tc>
        <w:tc>
          <w:tcPr>
            <w:tcW w:w="3377" w:type="pct"/>
          </w:tcPr>
          <w:p w14:paraId="05F901DA">
            <w:pPr>
              <w:rPr>
                <w:rFonts w:hint="eastAsia" w:eastAsia="宋体"/>
                <w:color w:val="auto"/>
                <w:lang w:eastAsia="zh-CN"/>
              </w:rPr>
            </w:pPr>
            <w:r>
              <w:rPr>
                <w:rFonts w:hint="eastAsia" w:ascii="宋体" w:hAnsi="宋体" w:cs="宋体"/>
                <w:bCs/>
                <w:color w:val="auto"/>
                <w:szCs w:val="21"/>
                <w:highlight w:val="none"/>
                <w:lang w:val="en-US" w:eastAsia="zh-CN"/>
              </w:rPr>
              <w:t>1.5</w:t>
            </w:r>
            <w:r>
              <w:rPr>
                <w:rFonts w:hint="eastAsia" w:ascii="宋体" w:hAnsi="宋体" w:cs="宋体"/>
                <w:bCs/>
                <w:color w:val="auto"/>
                <w:szCs w:val="21"/>
                <w:highlight w:val="none"/>
              </w:rPr>
              <w:t>采购人有权检验或测试货物，以确认货物是否符合合同规格的要求。如果发现所交货物与投标文件中所承诺的不符或存在质量、技术缺陷等,采购人可以拒绝接收该货物</w:t>
            </w:r>
            <w:r>
              <w:rPr>
                <w:rFonts w:hint="eastAsia" w:ascii="宋体" w:hAnsi="宋体" w:cs="宋体"/>
                <w:bCs/>
                <w:color w:val="auto"/>
                <w:szCs w:val="21"/>
                <w:highlight w:val="none"/>
                <w:lang w:eastAsia="zh-CN"/>
              </w:rPr>
              <w:t>。</w:t>
            </w:r>
          </w:p>
        </w:tc>
      </w:tr>
      <w:tr w14:paraId="4E64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5" w:type="pct"/>
            <w:vMerge w:val="continue"/>
            <w:vAlign w:val="center"/>
          </w:tcPr>
          <w:p w14:paraId="3350F7B3">
            <w:pPr>
              <w:jc w:val="center"/>
              <w:rPr>
                <w:rFonts w:asciiTheme="minorEastAsia" w:hAnsiTheme="minorEastAsia" w:eastAsiaTheme="minorEastAsia"/>
                <w:b/>
                <w:color w:val="auto"/>
                <w:szCs w:val="21"/>
              </w:rPr>
            </w:pPr>
          </w:p>
        </w:tc>
        <w:tc>
          <w:tcPr>
            <w:tcW w:w="917" w:type="pct"/>
            <w:vMerge w:val="continue"/>
            <w:vAlign w:val="center"/>
          </w:tcPr>
          <w:p w14:paraId="4709A6ED">
            <w:pPr>
              <w:jc w:val="center"/>
              <w:rPr>
                <w:rFonts w:asciiTheme="minorEastAsia" w:hAnsiTheme="minorEastAsia" w:eastAsiaTheme="minorEastAsia"/>
                <w:color w:val="auto"/>
                <w:szCs w:val="21"/>
              </w:rPr>
            </w:pPr>
          </w:p>
        </w:tc>
        <w:tc>
          <w:tcPr>
            <w:tcW w:w="3377" w:type="pct"/>
          </w:tcPr>
          <w:p w14:paraId="35B6AF88">
            <w:pPr>
              <w:rPr>
                <w:rFonts w:hint="eastAsia"/>
                <w:color w:val="auto"/>
                <w:lang w:val="en-US" w:eastAsia="zh-CN"/>
              </w:rPr>
            </w:pPr>
            <w:r>
              <w:rPr>
                <w:rFonts w:hint="eastAsia" w:ascii="宋体" w:hAnsi="宋体" w:cs="宋体"/>
                <w:color w:val="auto"/>
                <w:szCs w:val="21"/>
                <w:highlight w:val="none"/>
                <w:lang w:val="en-US" w:eastAsia="zh-CN"/>
              </w:rPr>
              <w:t>1.6</w:t>
            </w:r>
            <w:r>
              <w:rPr>
                <w:rFonts w:hint="eastAsia" w:ascii="宋体" w:hAnsi="宋体"/>
                <w:color w:val="auto"/>
                <w:szCs w:val="21"/>
              </w:rPr>
              <w:t>中标人</w:t>
            </w:r>
            <w:r>
              <w:rPr>
                <w:rFonts w:hint="eastAsia" w:ascii="宋体" w:hAnsi="宋体" w:cs="宋体"/>
                <w:color w:val="auto"/>
                <w:szCs w:val="21"/>
                <w:highlight w:val="none"/>
              </w:rPr>
              <w:t>负责货物的现场安装和调试,提供货物安装、调试和维修所需的专用工具和辅助材料。</w:t>
            </w:r>
            <w:r>
              <w:rPr>
                <w:rFonts w:hint="eastAsia" w:ascii="宋体" w:hAnsi="宋体"/>
                <w:color w:val="auto"/>
                <w:szCs w:val="21"/>
              </w:rPr>
              <w:t>中标人</w:t>
            </w:r>
            <w:r>
              <w:rPr>
                <w:rFonts w:hint="eastAsia" w:ascii="宋体" w:hAnsi="宋体" w:cs="宋体"/>
                <w:color w:val="auto"/>
                <w:szCs w:val="21"/>
                <w:highlight w:val="none"/>
              </w:rPr>
              <w:t>应在货物运至指定地点后</w:t>
            </w:r>
            <w:r>
              <w:rPr>
                <w:rFonts w:hint="eastAsia" w:ascii="宋体" w:hAnsi="宋体" w:cs="宋体"/>
                <w:color w:val="auto"/>
                <w:szCs w:val="21"/>
                <w:highlight w:val="yellow"/>
                <w:u w:val="single"/>
                <w:lang w:val="en-US" w:eastAsia="zh-CN"/>
              </w:rPr>
              <w:t xml:space="preserve"> 5 </w:t>
            </w:r>
            <w:r>
              <w:rPr>
                <w:rFonts w:hint="eastAsia" w:ascii="宋体" w:hAnsi="宋体" w:cs="宋体"/>
                <w:color w:val="auto"/>
                <w:szCs w:val="21"/>
                <w:highlight w:val="none"/>
                <w:lang w:val="en-US" w:eastAsia="zh-CN"/>
              </w:rPr>
              <w:t>天</w:t>
            </w:r>
            <w:r>
              <w:rPr>
                <w:rFonts w:hint="eastAsia" w:ascii="宋体" w:hAnsi="宋体" w:cs="宋体"/>
                <w:color w:val="auto"/>
                <w:szCs w:val="21"/>
                <w:highlight w:val="none"/>
              </w:rPr>
              <w:t>内开始安装调试,并在</w:t>
            </w:r>
            <w:r>
              <w:rPr>
                <w:rFonts w:hint="eastAsia" w:ascii="宋体" w:hAnsi="宋体" w:cs="宋体"/>
                <w:bCs/>
                <w:color w:val="auto"/>
                <w:szCs w:val="21"/>
                <w:highlight w:val="yellow"/>
                <w:u w:val="single"/>
              </w:rPr>
              <w:t xml:space="preserve"> 5 </w:t>
            </w:r>
            <w:r>
              <w:rPr>
                <w:rFonts w:hint="eastAsia" w:ascii="宋体" w:hAnsi="宋体" w:cs="宋体"/>
                <w:color w:val="auto"/>
                <w:szCs w:val="21"/>
                <w:highlight w:val="none"/>
              </w:rPr>
              <w:t>天内安装调试完毕。</w:t>
            </w:r>
          </w:p>
        </w:tc>
      </w:tr>
      <w:tr w14:paraId="07A4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center"/>
          </w:tcPr>
          <w:p w14:paraId="04CEF254">
            <w:pPr>
              <w:jc w:val="cente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2</w:t>
            </w:r>
          </w:p>
        </w:tc>
        <w:tc>
          <w:tcPr>
            <w:tcW w:w="917" w:type="pct"/>
            <w:vMerge w:val="restart"/>
            <w:vAlign w:val="center"/>
          </w:tcPr>
          <w:p w14:paraId="18621C26">
            <w:pPr>
              <w:jc w:val="center"/>
              <w:rPr>
                <w:rFonts w:asciiTheme="minorEastAsia" w:hAnsiTheme="minorEastAsia" w:eastAsiaTheme="minorEastAsia"/>
                <w:color w:val="auto"/>
                <w:szCs w:val="21"/>
              </w:rPr>
            </w:pPr>
            <w:r>
              <w:rPr>
                <w:rFonts w:hint="eastAsia" w:cs="宋体" w:asciiTheme="minorEastAsia" w:hAnsiTheme="minorEastAsia" w:eastAsiaTheme="minorEastAsia"/>
                <w:b/>
                <w:bCs/>
                <w:color w:val="auto"/>
                <w:szCs w:val="21"/>
              </w:rPr>
              <w:t>★</w:t>
            </w:r>
            <w:r>
              <w:rPr>
                <w:rFonts w:hint="eastAsia" w:asciiTheme="minorEastAsia" w:hAnsiTheme="minorEastAsia" w:eastAsiaTheme="minorEastAsia"/>
                <w:color w:val="auto"/>
                <w:szCs w:val="21"/>
              </w:rPr>
              <w:t>关于验收</w:t>
            </w:r>
          </w:p>
        </w:tc>
        <w:tc>
          <w:tcPr>
            <w:tcW w:w="3377" w:type="pct"/>
          </w:tcPr>
          <w:p w14:paraId="0B536CD4">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2.1</w:t>
            </w:r>
            <w:r>
              <w:rPr>
                <w:rFonts w:hint="eastAsia" w:ascii="宋体" w:hAnsi="宋体"/>
                <w:color w:val="auto"/>
                <w:szCs w:val="21"/>
              </w:rPr>
              <w:t>中标人</w:t>
            </w:r>
            <w:r>
              <w:rPr>
                <w:rFonts w:hint="eastAsia" w:asciiTheme="minorEastAsia" w:hAnsiTheme="minorEastAsia" w:eastAsiaTheme="minorEastAsia"/>
                <w:bCs/>
                <w:color w:val="auto"/>
                <w:szCs w:val="21"/>
              </w:rPr>
              <w:t>货物经过双方检验认可后，签署验收报告，产品保修期自验收合格之日起算，由投标人提供产品保修文件。</w:t>
            </w:r>
          </w:p>
        </w:tc>
      </w:tr>
      <w:tr w14:paraId="1CF8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322B168F">
            <w:pPr>
              <w:jc w:val="center"/>
              <w:rPr>
                <w:rFonts w:asciiTheme="minorEastAsia" w:hAnsiTheme="minorEastAsia" w:eastAsiaTheme="minorEastAsia"/>
                <w:b/>
                <w:color w:val="auto"/>
                <w:szCs w:val="21"/>
              </w:rPr>
            </w:pPr>
          </w:p>
        </w:tc>
        <w:tc>
          <w:tcPr>
            <w:tcW w:w="917" w:type="pct"/>
            <w:vMerge w:val="continue"/>
            <w:vAlign w:val="center"/>
          </w:tcPr>
          <w:p w14:paraId="3591EA7F">
            <w:pPr>
              <w:jc w:val="center"/>
              <w:rPr>
                <w:rFonts w:asciiTheme="minorEastAsia" w:hAnsiTheme="minorEastAsia" w:eastAsiaTheme="minorEastAsia"/>
                <w:b/>
                <w:color w:val="auto"/>
                <w:szCs w:val="21"/>
              </w:rPr>
            </w:pPr>
          </w:p>
        </w:tc>
        <w:tc>
          <w:tcPr>
            <w:tcW w:w="3377" w:type="pct"/>
          </w:tcPr>
          <w:p w14:paraId="5072D713">
            <w:pPr>
              <w:spacing w:line="340" w:lineRule="exact"/>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2.2当满足以下条件时，采购人才向中标人签发货物验收报告：</w:t>
            </w:r>
          </w:p>
          <w:p w14:paraId="16FD88BA">
            <w:pPr>
              <w:tabs>
                <w:tab w:val="left" w:pos="1260"/>
              </w:tabs>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a</w:t>
            </w:r>
            <w:r>
              <w:rPr>
                <w:rFonts w:hint="eastAsia" w:asciiTheme="minorEastAsia" w:hAnsiTheme="minorEastAsia" w:eastAsiaTheme="minorEastAsia"/>
                <w:bCs/>
                <w:color w:val="auto"/>
                <w:szCs w:val="21"/>
              </w:rPr>
              <w:t>、中标人已按照合同规定提供了全部产品及完整的技术资料。</w:t>
            </w:r>
          </w:p>
          <w:p w14:paraId="68B05863">
            <w:pPr>
              <w:tabs>
                <w:tab w:val="left" w:pos="1260"/>
              </w:tabs>
              <w:spacing w:line="340" w:lineRule="exact"/>
              <w:rPr>
                <w:rFonts w:asciiTheme="minorEastAsia" w:hAnsiTheme="minorEastAsia" w:eastAsiaTheme="minorEastAsia"/>
                <w:bCs/>
                <w:color w:val="auto"/>
                <w:szCs w:val="21"/>
              </w:rPr>
            </w:pPr>
            <w:r>
              <w:rPr>
                <w:rFonts w:asciiTheme="minorEastAsia" w:hAnsiTheme="minorEastAsia" w:eastAsiaTheme="minorEastAsia"/>
                <w:bCs/>
                <w:color w:val="auto"/>
                <w:szCs w:val="21"/>
              </w:rPr>
              <w:t>b</w:t>
            </w:r>
            <w:r>
              <w:rPr>
                <w:rFonts w:hint="eastAsia" w:asciiTheme="minorEastAsia" w:hAnsiTheme="minorEastAsia" w:eastAsiaTheme="minorEastAsia"/>
                <w:bCs/>
                <w:color w:val="auto"/>
                <w:szCs w:val="21"/>
              </w:rPr>
              <w:t>、货物符合招标文件技术规格书的要求，性能满足要求。</w:t>
            </w:r>
          </w:p>
        </w:tc>
      </w:tr>
      <w:tr w14:paraId="276B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06F3BB2C">
            <w:pPr>
              <w:jc w:val="center"/>
              <w:rPr>
                <w:rFonts w:asciiTheme="minorEastAsia" w:hAnsiTheme="minorEastAsia" w:eastAsiaTheme="minorEastAsia"/>
                <w:b/>
                <w:color w:val="auto"/>
                <w:szCs w:val="21"/>
              </w:rPr>
            </w:pPr>
          </w:p>
        </w:tc>
        <w:tc>
          <w:tcPr>
            <w:tcW w:w="917" w:type="pct"/>
            <w:vMerge w:val="continue"/>
            <w:vAlign w:val="center"/>
          </w:tcPr>
          <w:p w14:paraId="0EE8B5AA">
            <w:pPr>
              <w:jc w:val="center"/>
              <w:rPr>
                <w:rFonts w:asciiTheme="minorEastAsia" w:hAnsiTheme="minorEastAsia" w:eastAsiaTheme="minorEastAsia"/>
                <w:b/>
                <w:color w:val="auto"/>
                <w:szCs w:val="21"/>
              </w:rPr>
            </w:pPr>
          </w:p>
        </w:tc>
        <w:tc>
          <w:tcPr>
            <w:tcW w:w="3377" w:type="pct"/>
          </w:tcPr>
          <w:p w14:paraId="7AAA23FE">
            <w:pPr>
              <w:rPr>
                <w:rFonts w:asciiTheme="minorEastAsia" w:hAnsiTheme="minorEastAsia" w:eastAsiaTheme="minorEastAsia"/>
                <w:b/>
                <w:color w:val="auto"/>
                <w:szCs w:val="21"/>
              </w:rPr>
            </w:pPr>
            <w:r>
              <w:rPr>
                <w:rFonts w:hint="eastAsia" w:asciiTheme="minorEastAsia" w:hAnsiTheme="minorEastAsia" w:eastAsiaTheme="minorEastAsia"/>
                <w:bCs/>
                <w:color w:val="auto"/>
                <w:szCs w:val="21"/>
              </w:rPr>
              <w:t>2.3</w:t>
            </w:r>
            <w:r>
              <w:rPr>
                <w:rFonts w:hint="eastAsia" w:ascii="宋体" w:hAnsi="宋体" w:cs="宋体"/>
                <w:color w:val="auto"/>
                <w:szCs w:val="21"/>
                <w:highlight w:val="none"/>
              </w:rPr>
              <w:t>由</w:t>
            </w:r>
            <w:r>
              <w:rPr>
                <w:rFonts w:hint="eastAsia" w:ascii="宋体" w:hAnsi="宋体"/>
                <w:color w:val="auto"/>
                <w:szCs w:val="21"/>
              </w:rPr>
              <w:t>中标人</w:t>
            </w:r>
            <w:r>
              <w:rPr>
                <w:rFonts w:hint="eastAsia" w:ascii="宋体" w:hAnsi="宋体" w:cs="宋体"/>
                <w:color w:val="auto"/>
                <w:szCs w:val="21"/>
                <w:highlight w:val="none"/>
              </w:rPr>
              <w:t>代表和采购人组成验收小组对产品进行验收。验收标准按照国家规定标准执行。经检验设备正常运作后签署验收报告,产品保修期自验收合格之日起算。</w:t>
            </w:r>
          </w:p>
        </w:tc>
      </w:tr>
      <w:tr w14:paraId="0568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vAlign w:val="center"/>
          </w:tcPr>
          <w:p w14:paraId="16F68F3D">
            <w:pPr>
              <w:jc w:val="center"/>
              <w:rPr>
                <w:rFonts w:asciiTheme="minorEastAsia" w:hAnsiTheme="minorEastAsia" w:eastAsiaTheme="minorEastAsia"/>
                <w:color w:val="auto"/>
                <w:szCs w:val="21"/>
              </w:rPr>
            </w:pPr>
            <w:r>
              <w:rPr>
                <w:rFonts w:hint="eastAsia" w:asciiTheme="minorEastAsia" w:hAnsiTheme="minorEastAsia" w:eastAsiaTheme="minorEastAsia"/>
                <w:b/>
                <w:color w:val="auto"/>
                <w:szCs w:val="21"/>
              </w:rPr>
              <w:t>3</w:t>
            </w:r>
          </w:p>
        </w:tc>
        <w:tc>
          <w:tcPr>
            <w:tcW w:w="917" w:type="pct"/>
            <w:vMerge w:val="restart"/>
            <w:vAlign w:val="center"/>
          </w:tcPr>
          <w:p w14:paraId="3087C84D">
            <w:pPr>
              <w:jc w:val="center"/>
              <w:rPr>
                <w:rFonts w:asciiTheme="minorEastAsia" w:hAnsiTheme="minorEastAsia" w:eastAsiaTheme="minorEastAsia"/>
                <w:b/>
                <w:color w:val="auto"/>
                <w:szCs w:val="21"/>
              </w:rPr>
            </w:pPr>
            <w:r>
              <w:rPr>
                <w:rFonts w:hint="eastAsia" w:cs="宋体" w:asciiTheme="minorEastAsia" w:hAnsiTheme="minorEastAsia" w:eastAsiaTheme="minorEastAsia"/>
                <w:b/>
                <w:bCs/>
                <w:color w:val="auto"/>
                <w:szCs w:val="21"/>
              </w:rPr>
              <w:t>★</w:t>
            </w:r>
            <w:r>
              <w:rPr>
                <w:rFonts w:hint="eastAsia" w:asciiTheme="minorEastAsia" w:hAnsiTheme="minorEastAsia" w:eastAsiaTheme="minorEastAsia"/>
                <w:color w:val="auto"/>
                <w:szCs w:val="21"/>
              </w:rPr>
              <w:t>关于违约</w:t>
            </w:r>
          </w:p>
        </w:tc>
        <w:tc>
          <w:tcPr>
            <w:tcW w:w="3377" w:type="pct"/>
          </w:tcPr>
          <w:p w14:paraId="7EDE44F2">
            <w:pPr>
              <w:rPr>
                <w:rFonts w:asciiTheme="minorEastAsia" w:hAnsiTheme="minorEastAsia" w:eastAsiaTheme="minorEastAsia"/>
                <w:b/>
                <w:color w:val="auto"/>
                <w:szCs w:val="21"/>
              </w:rPr>
            </w:pPr>
            <w:r>
              <w:rPr>
                <w:rFonts w:hint="eastAsia" w:asciiTheme="minorEastAsia" w:hAnsiTheme="minorEastAsia" w:eastAsiaTheme="minorEastAsia"/>
                <w:b w:val="0"/>
                <w:bCs/>
                <w:color w:val="auto"/>
                <w:szCs w:val="21"/>
              </w:rPr>
              <w:t>3.1</w:t>
            </w:r>
            <w:r>
              <w:rPr>
                <w:rFonts w:hint="eastAsia" w:ascii="宋体" w:hAnsi="宋体"/>
                <w:b w:val="0"/>
                <w:bCs/>
                <w:color w:val="auto"/>
                <w:szCs w:val="21"/>
              </w:rPr>
              <w:t>中标</w:t>
            </w:r>
            <w:r>
              <w:rPr>
                <w:rFonts w:hint="eastAsia" w:ascii="宋体" w:hAnsi="宋体"/>
                <w:color w:val="auto"/>
                <w:szCs w:val="21"/>
              </w:rPr>
              <w:t>人</w:t>
            </w:r>
            <w:r>
              <w:rPr>
                <w:rFonts w:hint="eastAsia" w:ascii="宋体" w:hAnsi="宋体" w:cs="宋体"/>
                <w:bCs/>
                <w:color w:val="auto"/>
                <w:szCs w:val="21"/>
                <w:highlight w:val="none"/>
              </w:rPr>
              <w:t>未按照投标文件中承诺的时间交货或提供服务，投标人</w:t>
            </w:r>
            <w:r>
              <w:rPr>
                <w:rFonts w:hint="eastAsia" w:ascii="宋体" w:hAnsi="宋体" w:cs="宋体"/>
                <w:color w:val="auto"/>
                <w:szCs w:val="21"/>
                <w:highlight w:val="none"/>
              </w:rPr>
              <w:t>应承担</w:t>
            </w:r>
            <w:r>
              <w:rPr>
                <w:rFonts w:hint="eastAsia" w:ascii="宋体" w:hAnsi="宋体" w:cs="宋体"/>
                <w:bCs/>
                <w:color w:val="auto"/>
                <w:szCs w:val="21"/>
                <w:highlight w:val="none"/>
              </w:rPr>
              <w:t>延期交货和延期服务的违约责任，并赔偿采购人因此造成的实际经济损失。实际经济损失超出履约保证金额，采购人有权终止合同。</w:t>
            </w:r>
          </w:p>
        </w:tc>
      </w:tr>
      <w:tr w14:paraId="4141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18B01FDA">
            <w:pPr>
              <w:jc w:val="center"/>
              <w:rPr>
                <w:rFonts w:hint="eastAsia" w:asciiTheme="minorEastAsia" w:hAnsiTheme="minorEastAsia" w:eastAsiaTheme="minorEastAsia"/>
                <w:b/>
                <w:color w:val="auto"/>
                <w:szCs w:val="21"/>
              </w:rPr>
            </w:pPr>
          </w:p>
        </w:tc>
        <w:tc>
          <w:tcPr>
            <w:tcW w:w="917" w:type="pct"/>
            <w:vMerge w:val="continue"/>
            <w:vAlign w:val="center"/>
          </w:tcPr>
          <w:p w14:paraId="34AACD00">
            <w:pPr>
              <w:jc w:val="center"/>
              <w:rPr>
                <w:rFonts w:hint="eastAsia" w:asciiTheme="minorEastAsia" w:hAnsiTheme="minorEastAsia" w:eastAsiaTheme="minorEastAsia"/>
                <w:color w:val="auto"/>
                <w:szCs w:val="21"/>
              </w:rPr>
            </w:pPr>
          </w:p>
        </w:tc>
        <w:tc>
          <w:tcPr>
            <w:tcW w:w="3377" w:type="pct"/>
          </w:tcPr>
          <w:p w14:paraId="1F5DBE00">
            <w:pPr>
              <w:rPr>
                <w:rFonts w:hint="eastAsia" w:asciiTheme="minorEastAsia" w:hAnsiTheme="minorEastAsia" w:eastAsiaTheme="minorEastAsia"/>
                <w:b/>
                <w:color w:val="auto"/>
                <w:szCs w:val="21"/>
              </w:rPr>
            </w:pPr>
            <w:r>
              <w:rPr>
                <w:rFonts w:hint="eastAsia" w:ascii="宋体" w:hAnsi="宋体" w:cs="宋体"/>
                <w:bCs/>
                <w:color w:val="auto"/>
                <w:szCs w:val="21"/>
                <w:highlight w:val="none"/>
                <w:lang w:val="en-US" w:eastAsia="zh-CN"/>
              </w:rPr>
              <w:t>3.2</w:t>
            </w:r>
            <w:r>
              <w:rPr>
                <w:rFonts w:hint="eastAsia" w:ascii="宋体" w:hAnsi="宋体"/>
                <w:color w:val="auto"/>
                <w:szCs w:val="21"/>
              </w:rPr>
              <w:t>中标人</w:t>
            </w:r>
            <w:r>
              <w:rPr>
                <w:rFonts w:hint="eastAsia" w:ascii="宋体" w:hAnsi="宋体" w:cs="宋体"/>
                <w:bCs/>
                <w:color w:val="auto"/>
                <w:szCs w:val="21"/>
                <w:highlight w:val="none"/>
              </w:rPr>
              <w:t>所交设备的品种、型号、规格、质量、功能、技术参数等方面不能实质性满足招标文件</w:t>
            </w:r>
            <w:r>
              <w:rPr>
                <w:rFonts w:hint="eastAsia" w:ascii="宋体" w:hAnsi="宋体" w:cs="宋体"/>
                <w:bCs/>
                <w:color w:val="auto"/>
                <w:szCs w:val="21"/>
                <w:highlight w:val="none"/>
                <w:lang w:eastAsia="zh-CN"/>
              </w:rPr>
              <w:t>要求</w:t>
            </w:r>
            <w:r>
              <w:rPr>
                <w:rFonts w:hint="eastAsia" w:ascii="宋体" w:hAnsi="宋体" w:cs="宋体"/>
                <w:bCs/>
                <w:color w:val="auto"/>
                <w:szCs w:val="21"/>
                <w:highlight w:val="none"/>
              </w:rPr>
              <w:t>的，采购人有权拒绝收货，</w:t>
            </w:r>
            <w:r>
              <w:rPr>
                <w:rFonts w:hint="eastAsia" w:ascii="宋体" w:hAnsi="宋体"/>
                <w:color w:val="auto"/>
                <w:szCs w:val="21"/>
              </w:rPr>
              <w:t>中标人</w:t>
            </w:r>
            <w:r>
              <w:rPr>
                <w:rFonts w:hint="eastAsia" w:ascii="宋体" w:hAnsi="宋体" w:cs="宋体"/>
                <w:bCs/>
                <w:color w:val="auto"/>
                <w:szCs w:val="21"/>
                <w:highlight w:val="none"/>
              </w:rPr>
              <w:t>向采购人偿付项目采购金额千分之</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的违约金；造成严重后果的，根据《深圳经济特区政府采购条例》第五十七条第（二）款规定，由主管部门对投标人进行处罚。</w:t>
            </w:r>
          </w:p>
        </w:tc>
      </w:tr>
      <w:tr w14:paraId="02EB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4E5A90D7">
            <w:pPr>
              <w:jc w:val="center"/>
              <w:rPr>
                <w:rFonts w:hint="eastAsia" w:asciiTheme="minorEastAsia" w:hAnsiTheme="minorEastAsia" w:eastAsiaTheme="minorEastAsia"/>
                <w:b/>
                <w:color w:val="auto"/>
                <w:szCs w:val="21"/>
              </w:rPr>
            </w:pPr>
          </w:p>
        </w:tc>
        <w:tc>
          <w:tcPr>
            <w:tcW w:w="917" w:type="pct"/>
            <w:vMerge w:val="continue"/>
            <w:vAlign w:val="center"/>
          </w:tcPr>
          <w:p w14:paraId="0FB908C2">
            <w:pPr>
              <w:jc w:val="center"/>
              <w:rPr>
                <w:rFonts w:hint="eastAsia" w:asciiTheme="minorEastAsia" w:hAnsiTheme="minorEastAsia" w:eastAsiaTheme="minorEastAsia"/>
                <w:color w:val="auto"/>
                <w:szCs w:val="21"/>
              </w:rPr>
            </w:pPr>
          </w:p>
        </w:tc>
        <w:tc>
          <w:tcPr>
            <w:tcW w:w="3377" w:type="pct"/>
          </w:tcPr>
          <w:p w14:paraId="755584FB">
            <w:pP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3.3</w:t>
            </w:r>
            <w:r>
              <w:rPr>
                <w:rFonts w:hint="eastAsia" w:ascii="宋体" w:hAnsi="宋体"/>
                <w:color w:val="auto"/>
                <w:szCs w:val="21"/>
                <w:highlight w:val="none"/>
              </w:rPr>
              <w:t>中标人</w:t>
            </w:r>
            <w:r>
              <w:rPr>
                <w:rFonts w:hint="eastAsia" w:ascii="宋体" w:hAnsi="宋体" w:cs="宋体"/>
                <w:bCs/>
                <w:color w:val="auto"/>
                <w:szCs w:val="21"/>
                <w:highlight w:val="none"/>
              </w:rPr>
              <w:t>不能交付设备的，投标人向采购人偿付项目采购金额百分之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的违约金；造成严重后果的，根据《深圳经济特区政府采购条例》第五十七条第（二）款规定，由主管部门对投标人进行处罚。</w:t>
            </w:r>
          </w:p>
        </w:tc>
      </w:tr>
      <w:tr w14:paraId="5A70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vAlign w:val="center"/>
          </w:tcPr>
          <w:p w14:paraId="6B0CCFAF">
            <w:pPr>
              <w:jc w:val="center"/>
              <w:rPr>
                <w:rFonts w:hint="eastAsia" w:asciiTheme="minorEastAsia" w:hAnsiTheme="minorEastAsia" w:eastAsiaTheme="minorEastAsia"/>
                <w:b/>
                <w:color w:val="auto"/>
                <w:szCs w:val="21"/>
              </w:rPr>
            </w:pPr>
          </w:p>
        </w:tc>
        <w:tc>
          <w:tcPr>
            <w:tcW w:w="917" w:type="pct"/>
            <w:vMerge w:val="continue"/>
            <w:vAlign w:val="center"/>
          </w:tcPr>
          <w:p w14:paraId="0729959A">
            <w:pPr>
              <w:jc w:val="center"/>
              <w:rPr>
                <w:rFonts w:hint="eastAsia" w:asciiTheme="minorEastAsia" w:hAnsiTheme="minorEastAsia" w:eastAsiaTheme="minorEastAsia"/>
                <w:color w:val="auto"/>
                <w:szCs w:val="21"/>
              </w:rPr>
            </w:pPr>
          </w:p>
        </w:tc>
        <w:tc>
          <w:tcPr>
            <w:tcW w:w="3377" w:type="pct"/>
          </w:tcPr>
          <w:p w14:paraId="41FE93D5">
            <w:pP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3.4</w:t>
            </w:r>
            <w:r>
              <w:rPr>
                <w:rFonts w:hint="eastAsia" w:ascii="宋体" w:hAnsi="宋体"/>
                <w:color w:val="auto"/>
                <w:szCs w:val="21"/>
                <w:highlight w:val="none"/>
              </w:rPr>
              <w:t>中标人</w:t>
            </w:r>
            <w:r>
              <w:rPr>
                <w:rFonts w:hint="eastAsia" w:ascii="宋体" w:hAnsi="宋体" w:cs="宋体"/>
                <w:bCs/>
                <w:color w:val="auto"/>
                <w:szCs w:val="21"/>
                <w:highlight w:val="none"/>
              </w:rPr>
              <w:t>逾期未交设备的，</w:t>
            </w:r>
            <w:r>
              <w:rPr>
                <w:rFonts w:hint="eastAsia" w:ascii="宋体" w:hAnsi="宋体"/>
                <w:color w:val="auto"/>
                <w:szCs w:val="21"/>
                <w:highlight w:val="none"/>
              </w:rPr>
              <w:t>中标人</w:t>
            </w:r>
            <w:r>
              <w:rPr>
                <w:rFonts w:hint="eastAsia" w:ascii="宋体" w:hAnsi="宋体" w:cs="宋体"/>
                <w:bCs/>
                <w:color w:val="auto"/>
                <w:szCs w:val="21"/>
                <w:highlight w:val="none"/>
              </w:rPr>
              <w:t>向采购人每日偿付设备款千分之</w:t>
            </w:r>
            <w:r>
              <w:rPr>
                <w:rFonts w:hint="eastAsia" w:ascii="宋体" w:hAnsi="宋体" w:cs="宋体"/>
                <w:bCs/>
                <w:color w:val="auto"/>
                <w:szCs w:val="21"/>
                <w:highlight w:val="none"/>
                <w:u w:val="single"/>
              </w:rPr>
              <w:t xml:space="preserve"> 1</w:t>
            </w:r>
            <w:r>
              <w:rPr>
                <w:rFonts w:hint="eastAsia" w:ascii="宋体" w:hAnsi="宋体" w:cs="宋体"/>
                <w:bCs/>
                <w:color w:val="auto"/>
                <w:szCs w:val="21"/>
                <w:highlight w:val="none"/>
              </w:rPr>
              <w:t>的违约金。中标人超过交货期限</w:t>
            </w:r>
            <w:r>
              <w:rPr>
                <w:rFonts w:hint="eastAsia" w:ascii="宋体" w:hAnsi="宋体" w:cs="宋体"/>
                <w:bCs/>
                <w:color w:val="auto"/>
                <w:szCs w:val="21"/>
                <w:highlight w:val="none"/>
                <w:u w:val="single"/>
              </w:rPr>
              <w:t xml:space="preserve"> 10 </w:t>
            </w:r>
            <w:r>
              <w:rPr>
                <w:rFonts w:hint="eastAsia" w:ascii="宋体" w:hAnsi="宋体" w:cs="宋体"/>
                <w:bCs/>
                <w:color w:val="auto"/>
                <w:szCs w:val="21"/>
                <w:highlight w:val="none"/>
              </w:rPr>
              <w:t>日仍未交货，采购人有权解除合同</w:t>
            </w:r>
          </w:p>
        </w:tc>
      </w:tr>
      <w:tr w14:paraId="1469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05" w:type="pct"/>
            <w:vMerge w:val="continue"/>
            <w:vAlign w:val="center"/>
          </w:tcPr>
          <w:p w14:paraId="5F662760">
            <w:pPr>
              <w:jc w:val="center"/>
              <w:rPr>
                <w:rFonts w:hint="eastAsia" w:asciiTheme="minorEastAsia" w:hAnsiTheme="minorEastAsia" w:eastAsiaTheme="minorEastAsia"/>
                <w:b/>
                <w:color w:val="auto"/>
                <w:szCs w:val="21"/>
              </w:rPr>
            </w:pPr>
          </w:p>
        </w:tc>
        <w:tc>
          <w:tcPr>
            <w:tcW w:w="917" w:type="pct"/>
            <w:vMerge w:val="continue"/>
            <w:vAlign w:val="center"/>
          </w:tcPr>
          <w:p w14:paraId="67F3C26A">
            <w:pPr>
              <w:jc w:val="center"/>
              <w:rPr>
                <w:rFonts w:hint="eastAsia" w:asciiTheme="minorEastAsia" w:hAnsiTheme="minorEastAsia" w:eastAsiaTheme="minorEastAsia"/>
                <w:color w:val="auto"/>
                <w:szCs w:val="21"/>
              </w:rPr>
            </w:pPr>
          </w:p>
        </w:tc>
        <w:tc>
          <w:tcPr>
            <w:tcW w:w="3377" w:type="pct"/>
          </w:tcPr>
          <w:p w14:paraId="2B708612">
            <w:pPr>
              <w:rPr>
                <w:rFonts w:hint="eastAsia" w:ascii="宋体" w:hAnsi="宋体" w:cs="宋体"/>
                <w:bCs/>
                <w:color w:val="auto"/>
                <w:szCs w:val="21"/>
                <w:highlight w:val="none"/>
              </w:rPr>
            </w:pPr>
            <w:r>
              <w:rPr>
                <w:rFonts w:hint="eastAsia" w:ascii="宋体" w:hAnsi="宋体" w:cs="宋体"/>
                <w:b w:val="0"/>
                <w:bCs/>
                <w:color w:val="auto"/>
                <w:szCs w:val="21"/>
                <w:highlight w:val="none"/>
                <w:lang w:val="en-US" w:eastAsia="zh-CN"/>
              </w:rPr>
              <w:t>3.5</w:t>
            </w:r>
            <w:r>
              <w:rPr>
                <w:rFonts w:hint="eastAsia" w:ascii="宋体" w:hAnsi="宋体"/>
                <w:b w:val="0"/>
                <w:bCs/>
                <w:color w:val="auto"/>
                <w:szCs w:val="21"/>
              </w:rPr>
              <w:t>中标人</w:t>
            </w:r>
            <w:r>
              <w:rPr>
                <w:rFonts w:hint="eastAsia" w:asciiTheme="minorEastAsia" w:hAnsiTheme="minorEastAsia" w:eastAsiaTheme="minorEastAsia"/>
                <w:b w:val="0"/>
                <w:bCs/>
                <w:color w:val="auto"/>
                <w:szCs w:val="21"/>
              </w:rPr>
              <w:t>逾期交货的，将被没收履约保证金并按主管部门相关规定处理</w:t>
            </w:r>
            <w:r>
              <w:rPr>
                <w:rFonts w:hint="eastAsia" w:asciiTheme="minorEastAsia" w:hAnsiTheme="minorEastAsia" w:eastAsiaTheme="minorEastAsia"/>
                <w:b w:val="0"/>
                <w:bCs/>
                <w:color w:val="auto"/>
                <w:szCs w:val="21"/>
                <w:lang w:eastAsia="zh-CN"/>
              </w:rPr>
              <w:t>，</w:t>
            </w:r>
            <w:r>
              <w:rPr>
                <w:rFonts w:hint="eastAsia" w:ascii="宋体" w:hAnsi="宋体" w:cs="宋体"/>
                <w:b w:val="0"/>
                <w:bCs/>
                <w:color w:val="auto"/>
                <w:szCs w:val="21"/>
                <w:highlight w:val="none"/>
              </w:rPr>
              <w:t>违约金先从由投标人履约保证金中扣除，若有不足部分则由</w:t>
            </w:r>
            <w:r>
              <w:rPr>
                <w:rFonts w:hint="eastAsia" w:ascii="宋体" w:hAnsi="宋体"/>
                <w:b w:val="0"/>
                <w:bCs/>
                <w:color w:val="auto"/>
                <w:szCs w:val="21"/>
              </w:rPr>
              <w:t>中标人</w:t>
            </w:r>
            <w:r>
              <w:rPr>
                <w:rFonts w:hint="eastAsia" w:ascii="宋体" w:hAnsi="宋体" w:cs="宋体"/>
                <w:b w:val="0"/>
                <w:bCs/>
                <w:color w:val="auto"/>
                <w:szCs w:val="21"/>
                <w:highlight w:val="none"/>
              </w:rPr>
              <w:t>补齐。</w:t>
            </w:r>
          </w:p>
        </w:tc>
      </w:tr>
      <w:tr w14:paraId="11F2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05" w:type="pct"/>
            <w:vMerge w:val="continue"/>
            <w:vAlign w:val="center"/>
          </w:tcPr>
          <w:p w14:paraId="3567123B">
            <w:pPr>
              <w:jc w:val="center"/>
              <w:rPr>
                <w:rFonts w:asciiTheme="minorEastAsia" w:hAnsiTheme="minorEastAsia" w:eastAsiaTheme="minorEastAsia"/>
                <w:b/>
                <w:color w:val="auto"/>
                <w:szCs w:val="21"/>
              </w:rPr>
            </w:pPr>
          </w:p>
        </w:tc>
        <w:tc>
          <w:tcPr>
            <w:tcW w:w="917" w:type="pct"/>
            <w:vMerge w:val="continue"/>
            <w:vAlign w:val="center"/>
          </w:tcPr>
          <w:p w14:paraId="4949E817">
            <w:pPr>
              <w:jc w:val="center"/>
              <w:rPr>
                <w:rFonts w:asciiTheme="minorEastAsia" w:hAnsiTheme="minorEastAsia" w:eastAsiaTheme="minorEastAsia"/>
                <w:color w:val="auto"/>
                <w:szCs w:val="21"/>
              </w:rPr>
            </w:pPr>
          </w:p>
        </w:tc>
        <w:tc>
          <w:tcPr>
            <w:tcW w:w="3377" w:type="pct"/>
          </w:tcPr>
          <w:p w14:paraId="76519196">
            <w:pPr>
              <w:rPr>
                <w:rFonts w:asciiTheme="minorEastAsia" w:hAnsiTheme="minorEastAsia" w:eastAsiaTheme="minorEastAsia"/>
                <w:b/>
                <w:color w:val="auto"/>
                <w:szCs w:val="21"/>
              </w:rPr>
            </w:pPr>
            <w:r>
              <w:rPr>
                <w:rFonts w:hint="eastAsia" w:asciiTheme="minorEastAsia" w:hAnsiTheme="minorEastAsia" w:eastAsiaTheme="minorEastAsia"/>
                <w:b w:val="0"/>
                <w:bCs/>
                <w:color w:val="auto"/>
                <w:szCs w:val="21"/>
                <w:highlight w:val="none"/>
              </w:rPr>
              <w:t>3.</w:t>
            </w:r>
            <w:r>
              <w:rPr>
                <w:rFonts w:hint="eastAsia" w:asciiTheme="minorEastAsia" w:hAnsiTheme="minorEastAsia" w:eastAsiaTheme="minorEastAsia"/>
                <w:b w:val="0"/>
                <w:bCs/>
                <w:color w:val="auto"/>
                <w:szCs w:val="21"/>
                <w:highlight w:val="none"/>
                <w:lang w:val="en-US" w:eastAsia="zh-CN"/>
              </w:rPr>
              <w:t>6</w:t>
            </w:r>
            <w:r>
              <w:rPr>
                <w:rFonts w:hint="eastAsia" w:ascii="宋体" w:hAnsi="宋体"/>
                <w:b w:val="0"/>
                <w:bCs/>
                <w:color w:val="auto"/>
                <w:szCs w:val="21"/>
                <w:highlight w:val="none"/>
              </w:rPr>
              <w:t>中标人</w:t>
            </w:r>
            <w:r>
              <w:rPr>
                <w:rFonts w:hint="eastAsia" w:asciiTheme="minorEastAsia" w:hAnsiTheme="minorEastAsia" w:eastAsiaTheme="minorEastAsia"/>
                <w:b w:val="0"/>
                <w:bCs/>
                <w:color w:val="auto"/>
                <w:szCs w:val="21"/>
                <w:highlight w:val="none"/>
              </w:rPr>
              <w:t>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4D49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4C9B2103">
            <w:pPr>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917" w:type="pct"/>
            <w:vAlign w:val="center"/>
          </w:tcPr>
          <w:p w14:paraId="703018B8">
            <w:pPr>
              <w:jc w:val="center"/>
              <w:rPr>
                <w:rFonts w:asciiTheme="minorEastAsia" w:hAnsiTheme="minorEastAsia" w:eastAsiaTheme="minorEastAsia"/>
                <w:b/>
                <w:szCs w:val="21"/>
              </w:rPr>
            </w:pPr>
            <w:r>
              <w:rPr>
                <w:rFonts w:hint="eastAsia" w:cs="宋体" w:asciiTheme="minorEastAsia" w:hAnsiTheme="minorEastAsia" w:eastAsiaTheme="minorEastAsia"/>
                <w:b/>
                <w:bCs/>
                <w:color w:val="auto"/>
                <w:szCs w:val="21"/>
              </w:rPr>
              <w:t>★</w:t>
            </w:r>
            <w:r>
              <w:rPr>
                <w:rFonts w:hint="eastAsia" w:asciiTheme="minorEastAsia" w:hAnsiTheme="minorEastAsia" w:eastAsiaTheme="minorEastAsia"/>
                <w:b/>
                <w:szCs w:val="21"/>
              </w:rPr>
              <w:t>关于付款</w:t>
            </w:r>
          </w:p>
        </w:tc>
        <w:tc>
          <w:tcPr>
            <w:tcW w:w="3377" w:type="pct"/>
          </w:tcPr>
          <w:p w14:paraId="2E547351">
            <w:pPr>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lang w:val="en-US" w:eastAsia="zh-CN"/>
              </w:rPr>
              <w:t>4.1</w:t>
            </w:r>
            <w:r>
              <w:rPr>
                <w:rFonts w:hint="eastAsia" w:asciiTheme="minorEastAsia" w:hAnsiTheme="minorEastAsia" w:eastAsiaTheme="minorEastAsia"/>
                <w:b w:val="0"/>
                <w:bCs/>
                <w:color w:val="auto"/>
                <w:szCs w:val="21"/>
              </w:rPr>
              <w:t>全部合同货物到达交货地点，并安装调试且验收合格后，</w:t>
            </w:r>
            <w:r>
              <w:rPr>
                <w:rFonts w:hint="eastAsia" w:asciiTheme="minorEastAsia" w:hAnsiTheme="minorEastAsia" w:eastAsiaTheme="minorEastAsia"/>
                <w:b w:val="0"/>
                <w:bCs/>
                <w:color w:val="auto"/>
                <w:szCs w:val="21"/>
                <w:lang w:eastAsia="zh-CN"/>
              </w:rPr>
              <w:t>提交验收资料</w:t>
            </w:r>
            <w:r>
              <w:rPr>
                <w:rFonts w:hint="eastAsia" w:asciiTheme="minorEastAsia" w:hAnsiTheme="minorEastAsia" w:eastAsiaTheme="minorEastAsia"/>
                <w:b w:val="0"/>
                <w:bCs/>
                <w:color w:val="auto"/>
                <w:szCs w:val="21"/>
              </w:rPr>
              <w:t>，采购人在收到</w:t>
            </w:r>
            <w:r>
              <w:rPr>
                <w:rFonts w:hint="eastAsia" w:asciiTheme="minorEastAsia" w:hAnsiTheme="minorEastAsia" w:eastAsiaTheme="minorEastAsia"/>
                <w:b w:val="0"/>
                <w:bCs/>
                <w:color w:val="auto"/>
                <w:szCs w:val="21"/>
                <w:lang w:eastAsia="zh-CN"/>
              </w:rPr>
              <w:t>验收资料和</w:t>
            </w:r>
            <w:r>
              <w:rPr>
                <w:rFonts w:hint="eastAsia" w:asciiTheme="minorEastAsia" w:hAnsiTheme="minorEastAsia" w:eastAsiaTheme="minorEastAsia"/>
                <w:b w:val="0"/>
                <w:bCs/>
                <w:color w:val="auto"/>
                <w:szCs w:val="21"/>
              </w:rPr>
              <w:t>发票后向中标人支付合同总价的</w:t>
            </w:r>
            <w:r>
              <w:rPr>
                <w:rFonts w:hint="eastAsia" w:asciiTheme="minorEastAsia" w:hAnsiTheme="minorEastAsia" w:eastAsiaTheme="minorEastAsia"/>
                <w:b w:val="0"/>
                <w:bCs/>
                <w:color w:val="auto"/>
                <w:szCs w:val="21"/>
                <w:u w:val="single"/>
              </w:rPr>
              <w:t xml:space="preserve"> </w:t>
            </w:r>
            <w:r>
              <w:rPr>
                <w:rFonts w:hint="eastAsia" w:asciiTheme="minorEastAsia" w:hAnsiTheme="minorEastAsia" w:eastAsiaTheme="minorEastAsia"/>
                <w:b w:val="0"/>
                <w:bCs/>
                <w:color w:val="auto"/>
                <w:szCs w:val="21"/>
                <w:u w:val="single"/>
                <w:lang w:val="en-US" w:eastAsia="zh-CN"/>
              </w:rPr>
              <w:t>100</w:t>
            </w:r>
            <w:r>
              <w:rPr>
                <w:rFonts w:hint="eastAsia" w:asciiTheme="minorEastAsia" w:hAnsiTheme="minorEastAsia" w:eastAsiaTheme="minorEastAsia"/>
                <w:b w:val="0"/>
                <w:bCs/>
                <w:color w:val="auto"/>
                <w:szCs w:val="21"/>
                <w:u w:val="single"/>
              </w:rPr>
              <w:t xml:space="preserve"> </w:t>
            </w:r>
            <w:r>
              <w:rPr>
                <w:rFonts w:hint="eastAsia" w:asciiTheme="minorEastAsia" w:hAnsiTheme="minorEastAsia" w:eastAsiaTheme="minorEastAsia"/>
                <w:b w:val="0"/>
                <w:bCs/>
                <w:color w:val="auto"/>
                <w:szCs w:val="21"/>
              </w:rPr>
              <w:t xml:space="preserve"> %。</w:t>
            </w:r>
          </w:p>
          <w:p w14:paraId="5CBCA372">
            <w:pPr>
              <w:rPr>
                <w:rFonts w:hint="eastAsia" w:asciiTheme="minorEastAsia" w:hAnsiTheme="minorEastAsia" w:eastAsiaTheme="minorEastAsia"/>
                <w:b w:val="0"/>
                <w:bCs/>
                <w:color w:val="auto"/>
                <w:szCs w:val="21"/>
              </w:rPr>
            </w:pPr>
            <w:r>
              <w:rPr>
                <w:rFonts w:hint="eastAsia" w:asciiTheme="minorEastAsia" w:hAnsiTheme="minorEastAsia" w:eastAsiaTheme="minorEastAsia"/>
                <w:b w:val="0"/>
                <w:bCs/>
                <w:color w:val="auto"/>
                <w:szCs w:val="21"/>
                <w:lang w:val="en-US" w:eastAsia="zh-CN"/>
              </w:rPr>
              <w:t>4.2</w:t>
            </w:r>
            <w:r>
              <w:rPr>
                <w:rFonts w:hint="eastAsia" w:asciiTheme="minorEastAsia" w:hAnsiTheme="minorEastAsia" w:eastAsiaTheme="minorEastAsia"/>
                <w:b w:val="0"/>
                <w:bCs/>
                <w:color w:val="auto"/>
                <w:szCs w:val="21"/>
              </w:rPr>
              <w:t>每次</w:t>
            </w:r>
            <w:r>
              <w:rPr>
                <w:rFonts w:hint="eastAsia" w:asciiTheme="minorEastAsia" w:hAnsiTheme="minorEastAsia" w:eastAsiaTheme="minorEastAsia"/>
                <w:b w:val="0"/>
                <w:bCs/>
                <w:color w:val="auto"/>
                <w:szCs w:val="21"/>
                <w:lang w:eastAsia="zh-TW"/>
              </w:rPr>
              <w:t>按合同支付款项前，</w:t>
            </w:r>
            <w:r>
              <w:rPr>
                <w:rFonts w:hint="eastAsia" w:asciiTheme="minorEastAsia" w:hAnsiTheme="minorEastAsia" w:eastAsiaTheme="minorEastAsia"/>
                <w:b w:val="0"/>
                <w:bCs/>
                <w:color w:val="auto"/>
                <w:szCs w:val="21"/>
              </w:rPr>
              <w:t>中标人应</w:t>
            </w:r>
            <w:r>
              <w:rPr>
                <w:rFonts w:hint="eastAsia" w:asciiTheme="minorEastAsia" w:hAnsiTheme="minorEastAsia" w:eastAsiaTheme="minorEastAsia"/>
                <w:b w:val="0"/>
                <w:bCs/>
                <w:color w:val="auto"/>
                <w:szCs w:val="21"/>
                <w:lang w:eastAsia="zh-TW"/>
              </w:rPr>
              <w:t>向采购人提供与支付金额相符的有效发票，且收款方、出具发票方、合同乙方均必须与</w:t>
            </w:r>
            <w:r>
              <w:rPr>
                <w:rFonts w:hint="eastAsia" w:asciiTheme="minorEastAsia" w:hAnsiTheme="minorEastAsia" w:eastAsiaTheme="minorEastAsia"/>
                <w:b w:val="0"/>
                <w:bCs/>
                <w:color w:val="auto"/>
                <w:szCs w:val="21"/>
              </w:rPr>
              <w:t>中标人</w:t>
            </w:r>
            <w:r>
              <w:rPr>
                <w:rFonts w:hint="eastAsia" w:asciiTheme="minorEastAsia" w:hAnsiTheme="minorEastAsia" w:eastAsiaTheme="minorEastAsia"/>
                <w:b w:val="0"/>
                <w:bCs/>
                <w:color w:val="auto"/>
                <w:szCs w:val="21"/>
                <w:lang w:eastAsia="zh-TW"/>
              </w:rPr>
              <w:t>名称一致；</w:t>
            </w:r>
          </w:p>
          <w:p w14:paraId="03B223B1">
            <w:pPr>
              <w:rPr>
                <w:rFonts w:asciiTheme="minorEastAsia" w:hAnsiTheme="minorEastAsia" w:eastAsiaTheme="minorEastAsia"/>
                <w:b/>
                <w:szCs w:val="21"/>
              </w:rPr>
            </w:pPr>
            <w:r>
              <w:rPr>
                <w:rFonts w:hint="eastAsia" w:asciiTheme="minorEastAsia" w:hAnsiTheme="minorEastAsia" w:eastAsiaTheme="minorEastAsia"/>
                <w:b w:val="0"/>
                <w:bCs/>
                <w:color w:val="auto"/>
                <w:szCs w:val="21"/>
                <w:lang w:val="en-US" w:eastAsia="zh-CN"/>
              </w:rPr>
              <w:t>4.3</w:t>
            </w:r>
            <w:r>
              <w:rPr>
                <w:rFonts w:hint="eastAsia" w:asciiTheme="minorEastAsia" w:hAnsiTheme="minorEastAsia" w:eastAsiaTheme="minorEastAsia"/>
                <w:b w:val="0"/>
                <w:bCs/>
                <w:color w:val="auto"/>
                <w:szCs w:val="21"/>
              </w:rPr>
              <w:t>违约责任：</w:t>
            </w:r>
            <w:r>
              <w:rPr>
                <w:rFonts w:hint="eastAsia" w:asciiTheme="minorEastAsia" w:hAnsiTheme="minorEastAsia" w:eastAsiaTheme="minorEastAsia"/>
                <w:b w:val="0"/>
                <w:bCs/>
                <w:color w:val="auto"/>
                <w:szCs w:val="21"/>
                <w:lang w:eastAsia="zh-TW"/>
              </w:rPr>
              <w:t>采购人逾期</w:t>
            </w:r>
            <w:r>
              <w:rPr>
                <w:rFonts w:hint="eastAsia" w:asciiTheme="minorEastAsia" w:hAnsiTheme="minorEastAsia" w:eastAsiaTheme="minorEastAsia"/>
                <w:b w:val="0"/>
                <w:bCs/>
                <w:color w:val="auto"/>
                <w:szCs w:val="21"/>
              </w:rPr>
              <w:t>支付合同款项</w:t>
            </w:r>
            <w:r>
              <w:rPr>
                <w:rFonts w:hint="eastAsia" w:asciiTheme="minorEastAsia" w:hAnsiTheme="minorEastAsia" w:eastAsiaTheme="minorEastAsia"/>
                <w:b w:val="0"/>
                <w:bCs/>
                <w:color w:val="auto"/>
                <w:szCs w:val="21"/>
                <w:lang w:eastAsia="zh-TW"/>
              </w:rPr>
              <w:t>的，除应当</w:t>
            </w:r>
            <w:r>
              <w:rPr>
                <w:rFonts w:hint="eastAsia" w:asciiTheme="minorEastAsia" w:hAnsiTheme="minorEastAsia" w:eastAsiaTheme="minorEastAsia"/>
                <w:b w:val="0"/>
                <w:bCs/>
                <w:color w:val="auto"/>
                <w:szCs w:val="21"/>
              </w:rPr>
              <w:t>支付合同款项</w:t>
            </w:r>
            <w:r>
              <w:rPr>
                <w:rFonts w:hint="eastAsia" w:asciiTheme="minorEastAsia" w:hAnsiTheme="minorEastAsia" w:eastAsiaTheme="minorEastAsia"/>
                <w:b w:val="0"/>
                <w:bCs/>
                <w:color w:val="auto"/>
                <w:szCs w:val="21"/>
                <w:lang w:eastAsia="zh-TW"/>
              </w:rPr>
              <w:t>外，还应当每日按合同总价的</w:t>
            </w:r>
            <w:r>
              <w:rPr>
                <w:rFonts w:hint="eastAsia" w:asciiTheme="minorEastAsia" w:hAnsiTheme="minorEastAsia" w:eastAsiaTheme="minorEastAsia"/>
                <w:b w:val="0"/>
                <w:bCs/>
                <w:color w:val="auto"/>
                <w:szCs w:val="21"/>
                <w:lang w:val="en-US" w:eastAsia="zh-CN"/>
              </w:rPr>
              <w:t>1</w:t>
            </w:r>
            <w:r>
              <w:rPr>
                <w:rFonts w:hint="eastAsia" w:asciiTheme="minorEastAsia" w:hAnsiTheme="minorEastAsia" w:eastAsiaTheme="minorEastAsia"/>
                <w:b w:val="0"/>
                <w:bCs/>
                <w:color w:val="auto"/>
                <w:szCs w:val="21"/>
                <w:lang w:eastAsia="zh-TW"/>
              </w:rPr>
              <w:t>‰向</w:t>
            </w:r>
            <w:r>
              <w:rPr>
                <w:rFonts w:hint="eastAsia" w:asciiTheme="minorEastAsia" w:hAnsiTheme="minorEastAsia" w:eastAsiaTheme="minorEastAsia"/>
                <w:b w:val="0"/>
                <w:bCs/>
                <w:color w:val="auto"/>
                <w:szCs w:val="21"/>
              </w:rPr>
              <w:t>中标人</w:t>
            </w:r>
            <w:r>
              <w:rPr>
                <w:rFonts w:hint="eastAsia" w:asciiTheme="minorEastAsia" w:hAnsiTheme="minorEastAsia" w:eastAsiaTheme="minorEastAsia"/>
                <w:b w:val="0"/>
                <w:bCs/>
                <w:color w:val="auto"/>
                <w:szCs w:val="21"/>
                <w:lang w:eastAsia="zh-TW"/>
              </w:rPr>
              <w:t>偿付违约金，但因</w:t>
            </w:r>
            <w:r>
              <w:rPr>
                <w:rFonts w:hint="eastAsia" w:asciiTheme="minorEastAsia" w:hAnsiTheme="minorEastAsia" w:eastAsiaTheme="minorEastAsia"/>
                <w:b w:val="0"/>
                <w:bCs/>
                <w:color w:val="auto"/>
                <w:szCs w:val="21"/>
              </w:rPr>
              <w:t>中标人</w:t>
            </w:r>
            <w:r>
              <w:rPr>
                <w:rFonts w:hint="eastAsia" w:asciiTheme="minorEastAsia" w:hAnsiTheme="minorEastAsia" w:eastAsiaTheme="minorEastAsia"/>
                <w:b w:val="0"/>
                <w:bCs/>
                <w:color w:val="auto"/>
                <w:szCs w:val="21"/>
                <w:lang w:eastAsia="zh-TW"/>
              </w:rPr>
              <w:t>自身原因导致无法及时</w:t>
            </w:r>
            <w:r>
              <w:rPr>
                <w:rFonts w:hint="eastAsia" w:asciiTheme="minorEastAsia" w:hAnsiTheme="minorEastAsia" w:eastAsiaTheme="minorEastAsia"/>
                <w:b w:val="0"/>
                <w:bCs/>
                <w:color w:val="auto"/>
                <w:szCs w:val="21"/>
              </w:rPr>
              <w:t>支付</w:t>
            </w:r>
            <w:r>
              <w:rPr>
                <w:rFonts w:hint="eastAsia" w:asciiTheme="minorEastAsia" w:hAnsiTheme="minorEastAsia" w:eastAsiaTheme="minorEastAsia"/>
                <w:b w:val="0"/>
                <w:bCs/>
                <w:color w:val="auto"/>
                <w:szCs w:val="21"/>
                <w:lang w:eastAsia="zh-TW"/>
              </w:rPr>
              <w:t>的除外</w:t>
            </w:r>
            <w:r>
              <w:rPr>
                <w:rFonts w:hint="eastAsia" w:asciiTheme="minorEastAsia" w:hAnsiTheme="minorEastAsia" w:eastAsiaTheme="minorEastAsia"/>
                <w:b w:val="0"/>
                <w:bCs/>
                <w:color w:val="auto"/>
                <w:szCs w:val="21"/>
              </w:rPr>
              <w:t>。</w:t>
            </w:r>
          </w:p>
        </w:tc>
      </w:tr>
      <w:tr w14:paraId="6DA0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7EB73E4E">
            <w:pPr>
              <w:jc w:val="center"/>
              <w:rPr>
                <w:rFonts w:asciiTheme="minorEastAsia" w:hAnsiTheme="minorEastAsia" w:eastAsiaTheme="minorEastAsia"/>
                <w:b w:val="0"/>
                <w:bCs w:val="0"/>
                <w:color w:val="auto"/>
                <w:szCs w:val="21"/>
                <w:highlight w:val="none"/>
              </w:rPr>
            </w:pPr>
            <w:r>
              <w:rPr>
                <w:rFonts w:hint="eastAsia" w:asciiTheme="minorEastAsia" w:hAnsiTheme="minorEastAsia" w:eastAsiaTheme="minorEastAsia"/>
                <w:b w:val="0"/>
                <w:bCs w:val="0"/>
                <w:color w:val="auto"/>
                <w:szCs w:val="21"/>
                <w:highlight w:val="none"/>
              </w:rPr>
              <w:t>5</w:t>
            </w:r>
          </w:p>
        </w:tc>
        <w:tc>
          <w:tcPr>
            <w:tcW w:w="917" w:type="pct"/>
            <w:vAlign w:val="center"/>
          </w:tcPr>
          <w:p w14:paraId="5AECB848">
            <w:pPr>
              <w:jc w:val="center"/>
              <w:rPr>
                <w:rFonts w:asciiTheme="minorEastAsia" w:hAnsiTheme="minorEastAsia" w:eastAsiaTheme="minorEastAsia"/>
                <w:b/>
                <w:bCs/>
                <w:color w:val="FF0000"/>
                <w:szCs w:val="21"/>
                <w:highlight w:val="none"/>
              </w:rPr>
            </w:pPr>
            <w:r>
              <w:rPr>
                <w:rFonts w:hint="eastAsia" w:cs="宋体" w:asciiTheme="minorEastAsia" w:hAnsiTheme="minorEastAsia" w:eastAsiaTheme="minorEastAsia"/>
                <w:b/>
                <w:bCs/>
                <w:color w:val="auto"/>
                <w:szCs w:val="21"/>
              </w:rPr>
              <w:t>★</w:t>
            </w:r>
            <w:r>
              <w:rPr>
                <w:rFonts w:hint="eastAsia" w:asciiTheme="minorEastAsia" w:hAnsiTheme="minorEastAsia" w:eastAsiaTheme="minorEastAsia"/>
                <w:b/>
                <w:bCs/>
                <w:color w:val="FF0000"/>
                <w:szCs w:val="21"/>
                <w:highlight w:val="none"/>
              </w:rPr>
              <w:t>项目（产品）要求</w:t>
            </w:r>
          </w:p>
        </w:tc>
        <w:tc>
          <w:tcPr>
            <w:tcW w:w="3377" w:type="pct"/>
          </w:tcPr>
          <w:p w14:paraId="75D714BC">
            <w:pPr>
              <w:rPr>
                <w:rFonts w:asciiTheme="minorEastAsia" w:hAnsiTheme="minorEastAsia" w:eastAsiaTheme="minorEastAsia"/>
                <w:b/>
                <w:bCs/>
                <w:color w:val="FF0000"/>
                <w:szCs w:val="21"/>
                <w:highlight w:val="none"/>
              </w:rPr>
            </w:pPr>
            <w:r>
              <w:rPr>
                <w:rFonts w:hint="eastAsia" w:asciiTheme="minorEastAsia" w:hAnsiTheme="minorEastAsia" w:eastAsiaTheme="minorEastAsia"/>
                <w:b/>
                <w:bCs/>
                <w:color w:val="FF0000"/>
                <w:szCs w:val="21"/>
                <w:highlight w:val="none"/>
              </w:rPr>
              <w:t>若所投产品为进口，则投标人必须提供由设备制造商或授权的中国总代理签署的合法有效的保修、维修承诺函（免费保修期满足招标文件要求）扫描件；若所投产品为国产产品，则无需提供。</w:t>
            </w:r>
          </w:p>
        </w:tc>
      </w:tr>
      <w:tr w14:paraId="4BFD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29C2B7DB">
            <w:pPr>
              <w:jc w:val="center"/>
              <w:rPr>
                <w:rFonts w:hint="eastAsia" w:asciiTheme="minorEastAsia" w:hAnsiTheme="minorEastAsia" w:eastAsiaTheme="minorEastAsia"/>
                <w:b/>
                <w:szCs w:val="21"/>
                <w:lang w:val="en-US" w:eastAsia="zh-CN"/>
              </w:rPr>
            </w:pPr>
            <w:r>
              <w:rPr>
                <w:rFonts w:hint="eastAsia" w:asciiTheme="minorEastAsia" w:hAnsiTheme="minorEastAsia" w:eastAsiaTheme="minorEastAsia" w:cstheme="minorEastAsia"/>
                <w:b/>
                <w:bCs/>
                <w:color w:val="auto"/>
                <w:sz w:val="21"/>
                <w:szCs w:val="21"/>
                <w:lang w:val="en-US" w:eastAsia="zh-CN"/>
              </w:rPr>
              <w:t>6</w:t>
            </w:r>
          </w:p>
        </w:tc>
        <w:tc>
          <w:tcPr>
            <w:tcW w:w="917" w:type="pct"/>
            <w:vAlign w:val="center"/>
          </w:tcPr>
          <w:p w14:paraId="583B097B">
            <w:pPr>
              <w:numPr>
                <w:ilvl w:val="0"/>
                <w:numId w:val="0"/>
              </w:numPr>
              <w:tabs>
                <w:tab w:val="left" w:pos="540"/>
              </w:tabs>
              <w:adjustRightInd w:val="0"/>
              <w:snapToGrid w:val="0"/>
              <w:spacing w:line="360" w:lineRule="auto"/>
              <w:ind w:leftChars="0"/>
              <w:jc w:val="center"/>
              <w:rPr>
                <w:rFonts w:asciiTheme="minorEastAsia" w:hAnsiTheme="minorEastAsia" w:eastAsiaTheme="minorEastAsia"/>
                <w:b/>
                <w:szCs w:val="21"/>
              </w:rPr>
            </w:pPr>
            <w:r>
              <w:rPr>
                <w:rFonts w:hint="eastAsia" w:asciiTheme="minorEastAsia" w:hAnsiTheme="minorEastAsia" w:eastAsiaTheme="minorEastAsia" w:cstheme="minorEastAsia"/>
                <w:b/>
                <w:bCs/>
                <w:color w:val="auto"/>
                <w:sz w:val="21"/>
                <w:szCs w:val="21"/>
              </w:rPr>
              <w:t>知识产权合规承诺</w:t>
            </w:r>
          </w:p>
        </w:tc>
        <w:tc>
          <w:tcPr>
            <w:tcW w:w="3377" w:type="pct"/>
          </w:tcPr>
          <w:p w14:paraId="6C3E58A7">
            <w:pPr>
              <w:rPr>
                <w:rFonts w:hint="eastAsia" w:ascii="宋体" w:hAnsi="宋体" w:eastAsia="宋体" w:cs="宋体"/>
                <w:color w:val="auto"/>
                <w:kern w:val="0"/>
                <w:sz w:val="21"/>
                <w:szCs w:val="21"/>
                <w:lang w:val="en-US"/>
              </w:rPr>
            </w:pPr>
            <w:r>
              <w:rPr>
                <w:rFonts w:hint="eastAsia" w:ascii="宋体" w:hAnsi="宋体" w:cs="宋体"/>
                <w:color w:val="auto"/>
                <w:kern w:val="0"/>
                <w:sz w:val="21"/>
                <w:szCs w:val="21"/>
                <w:lang w:val="en-US" w:eastAsia="zh-CN" w:bidi="ar"/>
              </w:rPr>
              <w:t>6.1</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lang w:val="en-US" w:eastAsia="zh-CN" w:bidi="ar"/>
              </w:rPr>
              <w:t>在履行合同的过程中不得侵犯他人知识产权，不得提供虚假知识产权申请材料或者违背知识产权合规性承诺，否则依法追究其违约等责任，并将其失信违法信息依法纳入公共信用信息系统。</w:t>
            </w:r>
          </w:p>
          <w:p w14:paraId="2119BA9D">
            <w:pPr>
              <w:rPr>
                <w:rFonts w:hint="eastAsia" w:ascii="宋体" w:hAnsi="宋体" w:eastAsia="宋体" w:cs="宋体"/>
                <w:color w:val="auto"/>
                <w:kern w:val="0"/>
                <w:sz w:val="21"/>
                <w:szCs w:val="21"/>
                <w:lang w:val="en-US"/>
              </w:rPr>
            </w:pPr>
            <w:r>
              <w:rPr>
                <w:rFonts w:hint="eastAsia" w:ascii="宋体" w:hAnsi="宋体" w:cs="宋体"/>
                <w:color w:val="auto"/>
                <w:kern w:val="0"/>
                <w:sz w:val="21"/>
                <w:szCs w:val="21"/>
                <w:lang w:val="en-US" w:eastAsia="zh-CN" w:bidi="ar"/>
              </w:rPr>
              <w:t>6.2</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lang w:val="en-US" w:eastAsia="zh-CN"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cs="宋体"/>
                <w:bCs/>
                <w:color w:val="000000"/>
                <w:szCs w:val="21"/>
                <w:highlight w:val="none"/>
              </w:rPr>
              <w:t>投标人</w:t>
            </w:r>
            <w:r>
              <w:rPr>
                <w:rFonts w:hint="eastAsia" w:ascii="宋体" w:hAnsi="宋体" w:eastAsia="宋体" w:cs="宋体"/>
                <w:color w:val="auto"/>
                <w:kern w:val="0"/>
                <w:sz w:val="21"/>
                <w:szCs w:val="21"/>
                <w:lang w:val="en-US" w:eastAsia="zh-CN" w:bidi="ar"/>
              </w:rPr>
              <w:t>应赔偿因采购人被第三方索赔所引起的一切损失，包括但不限于采购人所支付的侵权损害赔偿费、律师费、诉讼费、仲裁费、办案差旅费等因应诉、沟通协调所发的一切费用。</w:t>
            </w:r>
          </w:p>
          <w:p w14:paraId="6D92507F">
            <w:pPr>
              <w:numPr>
                <w:ilvl w:val="0"/>
                <w:numId w:val="0"/>
              </w:numPr>
              <w:tabs>
                <w:tab w:val="left" w:pos="540"/>
              </w:tabs>
              <w:adjustRightInd w:val="0"/>
              <w:snapToGrid w:val="0"/>
              <w:spacing w:line="360" w:lineRule="auto"/>
              <w:ind w:leftChars="0"/>
              <w:rPr>
                <w:rFonts w:asciiTheme="minorEastAsia" w:hAnsiTheme="minorEastAsia" w:eastAsiaTheme="minorEastAsia"/>
                <w:b/>
                <w:szCs w:val="21"/>
              </w:rPr>
            </w:pPr>
            <w:r>
              <w:rPr>
                <w:rFonts w:hint="eastAsia" w:ascii="宋体" w:hAnsi="宋体" w:cs="宋体"/>
                <w:bCs/>
                <w:color w:val="auto"/>
                <w:kern w:val="0"/>
                <w:sz w:val="21"/>
                <w:szCs w:val="21"/>
                <w:lang w:val="en-US" w:eastAsia="zh-CN" w:bidi="ar"/>
              </w:rPr>
              <w:t>6.3</w:t>
            </w:r>
            <w:r>
              <w:rPr>
                <w:rFonts w:hint="eastAsia" w:ascii="宋体" w:hAnsi="宋体" w:cs="宋体"/>
                <w:bCs/>
                <w:color w:val="000000"/>
                <w:szCs w:val="21"/>
                <w:highlight w:val="none"/>
              </w:rPr>
              <w:t>投标人</w:t>
            </w:r>
            <w:r>
              <w:rPr>
                <w:rFonts w:hint="eastAsia" w:ascii="宋体" w:hAnsi="宋体" w:eastAsia="宋体" w:cs="宋体"/>
                <w:bCs/>
                <w:color w:val="auto"/>
                <w:kern w:val="0"/>
                <w:sz w:val="21"/>
                <w:szCs w:val="21"/>
                <w:lang w:val="en-US" w:eastAsia="zh-CN" w:bidi="ar"/>
              </w:rPr>
              <w:t>实施本项目所形成成果的知识产权归采购人所有，未经采购人许可，</w:t>
            </w:r>
            <w:r>
              <w:rPr>
                <w:rFonts w:hint="eastAsia" w:ascii="宋体" w:hAnsi="宋体" w:cs="宋体"/>
                <w:bCs/>
                <w:color w:val="000000"/>
                <w:szCs w:val="21"/>
                <w:highlight w:val="none"/>
              </w:rPr>
              <w:t>投标人</w:t>
            </w:r>
            <w:r>
              <w:rPr>
                <w:rFonts w:hint="eastAsia" w:ascii="宋体" w:hAnsi="宋体" w:eastAsia="宋体" w:cs="宋体"/>
                <w:bCs/>
                <w:color w:val="auto"/>
                <w:kern w:val="0"/>
                <w:sz w:val="21"/>
                <w:szCs w:val="21"/>
                <w:lang w:val="en-US" w:eastAsia="zh-CN" w:bidi="ar"/>
              </w:rPr>
              <w:t>不得随意使用。</w:t>
            </w:r>
          </w:p>
        </w:tc>
      </w:tr>
      <w:tr w14:paraId="4B61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2D6F2CD6">
            <w:pPr>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lang w:val="en-US" w:eastAsia="zh-CN"/>
              </w:rPr>
              <w:t>7</w:t>
            </w:r>
          </w:p>
        </w:tc>
        <w:tc>
          <w:tcPr>
            <w:tcW w:w="917" w:type="pct"/>
            <w:vAlign w:val="center"/>
          </w:tcPr>
          <w:p w14:paraId="0EF8C7E4">
            <w:pPr>
              <w:jc w:val="center"/>
              <w:rPr>
                <w:rFonts w:asciiTheme="minorEastAsia" w:hAnsiTheme="minorEastAsia" w:eastAsiaTheme="minorEastAsia"/>
                <w:b/>
                <w:szCs w:val="21"/>
              </w:rPr>
            </w:pPr>
            <w:r>
              <w:rPr>
                <w:rFonts w:hint="eastAsia" w:asciiTheme="minorEastAsia" w:hAnsiTheme="minorEastAsia" w:eastAsiaTheme="minorEastAsia"/>
                <w:b/>
                <w:szCs w:val="21"/>
              </w:rPr>
              <w:t>履约保证金</w:t>
            </w:r>
          </w:p>
        </w:tc>
        <w:tc>
          <w:tcPr>
            <w:tcW w:w="3377" w:type="pct"/>
          </w:tcPr>
          <w:p w14:paraId="6671C697">
            <w:pPr>
              <w:numPr>
                <w:ilvl w:val="0"/>
                <w:numId w:val="2"/>
              </w:numPr>
              <w:adjustRightInd w:val="0"/>
              <w:snapToGrid w:val="0"/>
              <w:spacing w:line="360" w:lineRule="auto"/>
              <w:rPr>
                <w:rFonts w:hint="eastAsia" w:ascii="宋体" w:hAnsi="宋体"/>
                <w:szCs w:val="21"/>
                <w:highlight w:val="none"/>
              </w:rPr>
            </w:pPr>
            <w:r>
              <w:rPr>
                <w:rFonts w:hint="eastAsia" w:ascii="宋体" w:hAnsi="宋体"/>
                <w:szCs w:val="21"/>
                <w:highlight w:val="none"/>
              </w:rPr>
              <w:t>提交说明</w:t>
            </w:r>
          </w:p>
          <w:p w14:paraId="6F9E8682">
            <w:pPr>
              <w:numPr>
                <w:ilvl w:val="0"/>
                <w:numId w:val="3"/>
              </w:numPr>
              <w:tabs>
                <w:tab w:val="clear" w:pos="84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收到中标通知书后</w:t>
            </w:r>
            <w:r>
              <w:rPr>
                <w:rFonts w:hint="eastAsia" w:ascii="宋体" w:hAnsi="宋体" w:eastAsia="宋体" w:cs="宋体"/>
                <w:sz w:val="21"/>
                <w:szCs w:val="21"/>
                <w:shd w:val="clear" w:fill="FFFF00"/>
              </w:rPr>
              <w:t>五个工作日内提交</w:t>
            </w:r>
            <w:r>
              <w:rPr>
                <w:rFonts w:hint="eastAsia" w:ascii="宋体" w:hAnsi="宋体" w:eastAsia="宋体" w:cs="宋体"/>
                <w:sz w:val="21"/>
                <w:szCs w:val="21"/>
                <w:highlight w:val="none"/>
              </w:rPr>
              <w:t>；</w:t>
            </w:r>
          </w:p>
          <w:p w14:paraId="65F0FAF8">
            <w:pPr>
              <w:numPr>
                <w:ilvl w:val="0"/>
                <w:numId w:val="3"/>
              </w:numPr>
              <w:tabs>
                <w:tab w:val="clear" w:pos="840"/>
              </w:tabs>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金额：合同（成交）金额的</w:t>
            </w:r>
            <w:r>
              <w:rPr>
                <w:rFonts w:hint="eastAsia" w:ascii="宋体" w:hAnsi="宋体" w:eastAsia="宋体" w:cs="宋体"/>
                <w:sz w:val="21"/>
                <w:szCs w:val="21"/>
                <w:highlight w:val="none"/>
                <w:u w:val="single"/>
                <w:lang w:val="en-US" w:eastAsia="zh-CN"/>
              </w:rPr>
              <w:t xml:space="preserve">   5   </w:t>
            </w:r>
            <w:r>
              <w:rPr>
                <w:rFonts w:hint="eastAsia" w:ascii="宋体" w:hAnsi="宋体" w:eastAsia="宋体" w:cs="宋体"/>
                <w:sz w:val="21"/>
                <w:szCs w:val="21"/>
                <w:highlight w:val="none"/>
              </w:rPr>
              <w:t>%；</w:t>
            </w:r>
          </w:p>
          <w:p w14:paraId="3F21BBE2">
            <w:pPr>
              <w:numPr>
                <w:ilvl w:val="0"/>
                <w:numId w:val="3"/>
              </w:numPr>
              <w:tabs>
                <w:tab w:val="clear" w:pos="84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方式：中标人自主选择；</w:t>
            </w:r>
          </w:p>
          <w:p w14:paraId="4E750960">
            <w:pPr>
              <w:numPr>
                <w:ilvl w:val="0"/>
                <w:numId w:val="2"/>
              </w:num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退还说明：</w:t>
            </w:r>
          </w:p>
          <w:p w14:paraId="4E2143E4">
            <w:pPr>
              <w:numPr>
                <w:ilvl w:val="0"/>
                <w:numId w:val="4"/>
              </w:numPr>
              <w:tabs>
                <w:tab w:val="clear" w:pos="840"/>
              </w:tabs>
              <w:snapToGrid w:val="0"/>
              <w:spacing w:line="360" w:lineRule="auto"/>
              <w:ind w:left="674" w:hanging="284"/>
              <w:rPr>
                <w:rFonts w:hint="eastAsia" w:ascii="宋体" w:hAnsi="宋体"/>
                <w:szCs w:val="21"/>
              </w:rPr>
            </w:pPr>
            <w:r>
              <w:rPr>
                <w:rFonts w:hint="eastAsia" w:ascii="宋体" w:hAnsi="宋体"/>
                <w:szCs w:val="21"/>
              </w:rPr>
              <w:t>时间、方式和条件：</w:t>
            </w:r>
            <w:r>
              <w:rPr>
                <w:rFonts w:hint="eastAsia" w:ascii="宋体" w:hAnsi="宋体" w:cs="宋体"/>
                <w:bCs/>
                <w:color w:val="000000"/>
                <w:szCs w:val="21"/>
                <w:highlight w:val="none"/>
                <w:lang w:eastAsia="zh-CN"/>
              </w:rPr>
              <w:t>中标</w:t>
            </w:r>
            <w:r>
              <w:rPr>
                <w:rFonts w:hint="eastAsia" w:ascii="宋体" w:hAnsi="宋体" w:cs="宋体"/>
                <w:bCs/>
                <w:color w:val="000000"/>
                <w:szCs w:val="21"/>
                <w:highlight w:val="none"/>
              </w:rPr>
              <w:t>人</w:t>
            </w:r>
            <w:r>
              <w:rPr>
                <w:rFonts w:hint="eastAsia"/>
                <w:lang w:eastAsia="zh-CN"/>
              </w:rPr>
              <w:t>供货完成调试、验收、培训且提供了厂家（或厂家授权）的售后服务承诺书后</w:t>
            </w:r>
            <w:r>
              <w:rPr>
                <w:rFonts w:hint="eastAsia"/>
                <w:color w:val="auto"/>
                <w:szCs w:val="21"/>
              </w:rPr>
              <w:t>向甲方申请退回该履约保证金，甲方收到申请审核同意后，无息返还乙方的履约保证金。因乙方原因而未能达到本项目验收标准或验收不通过的，履约保证金不予退还。</w:t>
            </w:r>
          </w:p>
          <w:p w14:paraId="34C56E3F">
            <w:pPr>
              <w:numPr>
                <w:ilvl w:val="0"/>
                <w:numId w:val="4"/>
              </w:numPr>
              <w:tabs>
                <w:tab w:val="clear" w:pos="840"/>
              </w:tabs>
              <w:snapToGrid w:val="0"/>
              <w:spacing w:line="360" w:lineRule="auto"/>
              <w:ind w:left="674" w:hanging="284"/>
              <w:rPr>
                <w:rFonts w:hint="eastAsia" w:ascii="宋体" w:hAnsi="宋体"/>
                <w:szCs w:val="21"/>
              </w:rPr>
            </w:pPr>
            <w:r>
              <w:rPr>
                <w:rFonts w:hint="eastAsia" w:ascii="宋体" w:hAnsi="宋体"/>
                <w:szCs w:val="21"/>
              </w:rPr>
              <w:t>违约责任：</w:t>
            </w:r>
            <w:r>
              <w:rPr>
                <w:rFonts w:hint="eastAsia" w:ascii="宋体" w:hAnsi="宋体" w:eastAsia="宋体" w:cs="宋体"/>
                <w:sz w:val="21"/>
                <w:szCs w:val="21"/>
              </w:rPr>
              <w:t>采购人逾期退还履约保证金的，除应当退还履约保证</w:t>
            </w:r>
            <w:r>
              <w:rPr>
                <w:rFonts w:hint="eastAsia" w:ascii="宋体" w:hAnsi="宋体"/>
                <w:szCs w:val="21"/>
              </w:rPr>
              <w:t>金本金外，还应当每日按合同总价的</w:t>
            </w:r>
            <w:r>
              <w:rPr>
                <w:rFonts w:hint="eastAsia" w:ascii="宋体" w:hAnsi="宋体"/>
                <w:szCs w:val="21"/>
                <w:lang w:val="en-US" w:eastAsia="zh-CN"/>
              </w:rPr>
              <w:t>1</w:t>
            </w:r>
            <w:r>
              <w:rPr>
                <w:rFonts w:hint="eastAsia" w:ascii="宋体" w:hAnsi="宋体"/>
                <w:szCs w:val="21"/>
              </w:rPr>
              <w:t>‰向中标人偿付违约金，但因</w:t>
            </w:r>
            <w:r>
              <w:rPr>
                <w:rFonts w:hint="eastAsia" w:ascii="宋体" w:hAnsi="宋体" w:cs="宋体"/>
                <w:bCs/>
                <w:color w:val="000000"/>
                <w:szCs w:val="21"/>
                <w:highlight w:val="none"/>
              </w:rPr>
              <w:t>投标人</w:t>
            </w:r>
            <w:r>
              <w:rPr>
                <w:rFonts w:hint="eastAsia" w:ascii="宋体" w:hAnsi="宋体"/>
                <w:szCs w:val="21"/>
              </w:rPr>
              <w:t>自身原因导致无法及时退还的除外。</w:t>
            </w:r>
          </w:p>
          <w:p w14:paraId="1C4E41C8">
            <w:pPr>
              <w:numPr>
                <w:ilvl w:val="0"/>
                <w:numId w:val="4"/>
              </w:numPr>
              <w:tabs>
                <w:tab w:val="clear" w:pos="840"/>
              </w:tabs>
              <w:snapToGrid w:val="0"/>
              <w:spacing w:line="360" w:lineRule="auto"/>
              <w:ind w:left="674" w:hanging="284"/>
              <w:rPr>
                <w:rFonts w:asciiTheme="minorEastAsia" w:hAnsiTheme="minorEastAsia" w:eastAsiaTheme="minorEastAsia"/>
                <w:b/>
                <w:szCs w:val="21"/>
              </w:rPr>
            </w:pPr>
            <w:r>
              <w:rPr>
                <w:rFonts w:hint="eastAsia" w:ascii="宋体" w:hAnsi="宋体"/>
                <w:szCs w:val="21"/>
                <w:highlight w:val="none"/>
              </w:rPr>
              <w:t>中标人违反合同及其附件约定的任何义务，采购人有权在履约保证金中直接扣除</w:t>
            </w:r>
            <w:r>
              <w:rPr>
                <w:rFonts w:hint="eastAsia" w:ascii="宋体" w:hAnsi="宋体" w:cs="宋体"/>
                <w:bCs/>
                <w:szCs w:val="21"/>
                <w:highlight w:val="none"/>
              </w:rPr>
              <w:t>投标人</w:t>
            </w:r>
            <w:r>
              <w:rPr>
                <w:rFonts w:hint="eastAsia" w:ascii="宋体" w:hAnsi="宋体"/>
                <w:szCs w:val="21"/>
                <w:highlight w:val="none"/>
              </w:rPr>
              <w:t>应向采购人支付的违约金或损失赔偿额，如有不足的，中标人应对超过的部分予以赔偿。</w:t>
            </w:r>
          </w:p>
        </w:tc>
      </w:tr>
      <w:tr w14:paraId="29165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Align w:val="center"/>
          </w:tcPr>
          <w:p w14:paraId="53DE8757">
            <w:pPr>
              <w:jc w:val="center"/>
              <w:rPr>
                <w:rFonts w:hint="eastAsia"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szCs w:val="21"/>
                <w:lang w:val="en-US" w:eastAsia="zh-CN"/>
              </w:rPr>
              <w:t>8</w:t>
            </w:r>
          </w:p>
        </w:tc>
        <w:tc>
          <w:tcPr>
            <w:tcW w:w="917" w:type="pct"/>
            <w:vAlign w:val="top"/>
          </w:tcPr>
          <w:p w14:paraId="305AF4B0">
            <w:pPr>
              <w:rPr>
                <w:rFonts w:cs="Times New Roman" w:asciiTheme="minorEastAsia" w:hAnsiTheme="minorEastAsia" w:eastAsiaTheme="minorEastAsia"/>
                <w:b/>
                <w:kern w:val="2"/>
                <w:sz w:val="21"/>
                <w:szCs w:val="21"/>
                <w:lang w:val="en-US" w:eastAsia="zh-CN" w:bidi="ar-SA"/>
              </w:rPr>
            </w:pPr>
            <w:r>
              <w:rPr>
                <w:rFonts w:hint="eastAsia" w:asciiTheme="minorEastAsia" w:hAnsiTheme="minorEastAsia" w:eastAsiaTheme="minorEastAsia"/>
                <w:b/>
                <w:bCs/>
                <w:color w:val="FF0000"/>
                <w:szCs w:val="21"/>
              </w:rPr>
              <w:t>医疗器械注册证</w:t>
            </w:r>
          </w:p>
        </w:tc>
        <w:tc>
          <w:tcPr>
            <w:tcW w:w="3377" w:type="pct"/>
            <w:vAlign w:val="center"/>
          </w:tcPr>
          <w:p w14:paraId="48377A47">
            <w:pPr>
              <w:spacing w:line="360" w:lineRule="auto"/>
              <w:rPr>
                <w:rFonts w:hint="eastAsia" w:ascii="宋体" w:hAnsi="宋体" w:eastAsia="宋体" w:cs="宋体"/>
                <w:bCs/>
                <w:color w:val="000000"/>
                <w:kern w:val="2"/>
                <w:sz w:val="21"/>
                <w:szCs w:val="21"/>
                <w:highlight w:val="none"/>
                <w:lang w:val="en-US" w:eastAsia="zh-CN" w:bidi="ar-SA"/>
              </w:rPr>
            </w:pPr>
            <w:r>
              <w:rPr>
                <w:rFonts w:hint="eastAsia" w:cs="宋体" w:asciiTheme="minorEastAsia" w:hAnsiTheme="minorEastAsia" w:eastAsiaTheme="minorEastAsia"/>
                <w:b/>
                <w:bCs/>
                <w:color w:val="auto"/>
                <w:szCs w:val="21"/>
              </w:rPr>
              <w:t>★</w:t>
            </w:r>
            <w:r>
              <w:rPr>
                <w:rFonts w:hint="eastAsia" w:ascii="宋体" w:hAnsi="宋体" w:cs="宋体"/>
                <w:b w:val="0"/>
                <w:bCs/>
                <w:color w:val="auto"/>
                <w:szCs w:val="21"/>
                <w:highlight w:val="none"/>
              </w:rPr>
              <w:t>投标人所投产品具备相关主管部门要求的认证资料：所投产品为第一类医疗器械的，提供监督管理部门签发的有效的《医疗器械备案凭证》扫描件；所投产品为第二、三类医疗器械的，提供监督管理部门签发的涵盖所投产品的《医疗器械注册证》(有效期内)扫描件。</w:t>
            </w:r>
          </w:p>
        </w:tc>
      </w:tr>
    </w:tbl>
    <w:p w14:paraId="0CDA562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rPr>
      </w:pPr>
      <w:bookmarkStart w:id="0" w:name="_GoBack"/>
      <w:bookmarkEnd w:id="0"/>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2"/>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2"/>
          <w:jc w:val="center"/>
        </w:pPr>
      </w:p>
    </w:sdtContent>
  </w:sdt>
  <w:p w14:paraId="7FA6150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3"/>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2"/>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1">
    <w:nsid w:val="16294DEB"/>
    <w:multiLevelType w:val="multilevel"/>
    <w:tmpl w:val="16294DEB"/>
    <w:lvl w:ilvl="0" w:tentative="0">
      <w:start w:val="1"/>
      <w:numFmt w:val="decimal"/>
      <w:lvlText w:val="%1."/>
      <w:lvlJc w:val="left"/>
      <w:pPr>
        <w:tabs>
          <w:tab w:val="left" w:pos="425"/>
        </w:tabs>
        <w:ind w:left="425" w:hanging="425"/>
      </w:pPr>
      <w:rPr>
        <w:rFonts w:hint="default"/>
      </w:r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rPr>
        <w:rFonts w:hint="default" w:ascii="Times New Roman" w:hAnsi="Times New Roman" w:cs="Times New Roman"/>
      </w:rPr>
    </w:lvl>
    <w:lvl w:ilvl="3" w:tentative="0">
      <w:start w:val="1"/>
      <w:numFmt w:val="decimal"/>
      <w:lvlText w:val="%1.%2.%3.%4."/>
      <w:lvlJc w:val="left"/>
      <w:pPr>
        <w:tabs>
          <w:tab w:val="left" w:pos="851"/>
        </w:tabs>
        <w:ind w:left="851" w:hanging="851"/>
      </w:pPr>
      <w:rPr>
        <w:rFonts w:hint="default" w:ascii="Times New Roman" w:hAnsi="Times New Roman" w:cs="Times New Roman"/>
      </w:rPr>
    </w:lvl>
    <w:lvl w:ilvl="4" w:tentative="0">
      <w:start w:val="1"/>
      <w:numFmt w:val="decimal"/>
      <w:lvlText w:val="%1.%2.%3.%4.%5."/>
      <w:lvlJc w:val="left"/>
      <w:pPr>
        <w:tabs>
          <w:tab w:val="left" w:pos="992"/>
        </w:tabs>
        <w:ind w:left="992" w:hanging="992"/>
      </w:pPr>
      <w:rPr>
        <w:rFonts w:hint="default" w:ascii="Times New Roman" w:hAnsi="Times New Roman" w:cs="Times New Roman"/>
      </w:rPr>
    </w:lvl>
    <w:lvl w:ilvl="5" w:tentative="0">
      <w:start w:val="1"/>
      <w:numFmt w:val="decimal"/>
      <w:lvlText w:val="%1.%2.%3.%4.%5.%6."/>
      <w:lvlJc w:val="left"/>
      <w:pPr>
        <w:tabs>
          <w:tab w:val="left" w:pos="1134"/>
        </w:tabs>
        <w:ind w:left="1134" w:hanging="1134"/>
      </w:pPr>
      <w:rPr>
        <w:rFonts w:hint="default" w:ascii="Times New Roman" w:hAnsi="Times New Roman" w:cs="Times New Roman"/>
      </w:rPr>
    </w:lvl>
    <w:lvl w:ilvl="6" w:tentative="0">
      <w:start w:val="1"/>
      <w:numFmt w:val="decimal"/>
      <w:lvlText w:val="%1.%2.%3.%4.%5.%6.%7."/>
      <w:lvlJc w:val="left"/>
      <w:pPr>
        <w:tabs>
          <w:tab w:val="left" w:pos="1276"/>
        </w:tabs>
        <w:ind w:left="1276" w:hanging="1276"/>
      </w:pPr>
      <w:rPr>
        <w:rFonts w:hint="default" w:ascii="Times New Roman" w:hAnsi="Times New Roman" w:cs="Times New Roman"/>
      </w:rPr>
    </w:lvl>
    <w:lvl w:ilvl="7" w:tentative="0">
      <w:start w:val="1"/>
      <w:numFmt w:val="decimal"/>
      <w:lvlText w:val="%1.%2.%3.%4.%5.%6.%7.%8."/>
      <w:lvlJc w:val="left"/>
      <w:pPr>
        <w:tabs>
          <w:tab w:val="left" w:pos="1418"/>
        </w:tabs>
        <w:ind w:left="1418" w:hanging="1418"/>
      </w:pPr>
      <w:rPr>
        <w:rFonts w:hint="default" w:ascii="Times New Roman" w:hAnsi="Times New Roman" w:cs="Times New Roman"/>
      </w:rPr>
    </w:lvl>
    <w:lvl w:ilvl="8" w:tentative="0">
      <w:start w:val="1"/>
      <w:numFmt w:val="decimal"/>
      <w:lvlText w:val="%1.%2.%3.%4.%5.%6.%7.%8.%9."/>
      <w:lvlJc w:val="left"/>
      <w:pPr>
        <w:tabs>
          <w:tab w:val="left" w:pos="1559"/>
        </w:tabs>
        <w:ind w:left="1559" w:hanging="1559"/>
      </w:pPr>
      <w:rPr>
        <w:rFonts w:hint="default" w:ascii="Times New Roman" w:hAnsi="Times New Roman" w:cs="Times New Roman"/>
      </w:rPr>
    </w:lvl>
  </w:abstractNum>
  <w:abstractNum w:abstractNumId="2">
    <w:nsid w:val="1CF63C98"/>
    <w:multiLevelType w:val="multilevel"/>
    <w:tmpl w:val="1CF63C98"/>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abstractNum w:abstractNumId="3">
    <w:nsid w:val="61623B4C"/>
    <w:multiLevelType w:val="multilevel"/>
    <w:tmpl w:val="61623B4C"/>
    <w:lvl w:ilvl="0" w:tentative="0">
      <w:start w:val="1"/>
      <w:numFmt w:val="decimal"/>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rPr>
        <w:rFonts w:hint="default" w:ascii="Times New Roman" w:hAnsi="Times New Roman" w:cs="Times New Roman"/>
      </w:rPr>
    </w:lvl>
    <w:lvl w:ilvl="2" w:tentative="0">
      <w:start w:val="1"/>
      <w:numFmt w:val="lowerRoman"/>
      <w:lvlText w:val="%3."/>
      <w:lvlJc w:val="right"/>
      <w:pPr>
        <w:tabs>
          <w:tab w:val="left" w:pos="1680"/>
        </w:tabs>
        <w:ind w:left="1680" w:hanging="420"/>
      </w:pPr>
      <w:rPr>
        <w:rFonts w:hint="default" w:ascii="Times New Roman" w:hAnsi="Times New Roman" w:cs="Times New Roman"/>
      </w:rPr>
    </w:lvl>
    <w:lvl w:ilvl="3" w:tentative="0">
      <w:start w:val="1"/>
      <w:numFmt w:val="decimal"/>
      <w:lvlText w:val="%4."/>
      <w:lvlJc w:val="left"/>
      <w:pPr>
        <w:tabs>
          <w:tab w:val="left" w:pos="2100"/>
        </w:tabs>
        <w:ind w:left="2100" w:hanging="420"/>
      </w:pPr>
      <w:rPr>
        <w:rFonts w:hint="default" w:ascii="Times New Roman" w:hAnsi="Times New Roman" w:cs="Times New Roman"/>
      </w:rPr>
    </w:lvl>
    <w:lvl w:ilvl="4" w:tentative="0">
      <w:start w:val="1"/>
      <w:numFmt w:val="lowerLetter"/>
      <w:lvlText w:val="%5)"/>
      <w:lvlJc w:val="left"/>
      <w:pPr>
        <w:tabs>
          <w:tab w:val="left" w:pos="2520"/>
        </w:tabs>
        <w:ind w:left="2520" w:hanging="420"/>
      </w:pPr>
      <w:rPr>
        <w:rFonts w:hint="default" w:ascii="Times New Roman" w:hAnsi="Times New Roman" w:cs="Times New Roman"/>
      </w:rPr>
    </w:lvl>
    <w:lvl w:ilvl="5" w:tentative="0">
      <w:start w:val="1"/>
      <w:numFmt w:val="lowerRoman"/>
      <w:lvlText w:val="%6."/>
      <w:lvlJc w:val="right"/>
      <w:pPr>
        <w:tabs>
          <w:tab w:val="left" w:pos="2940"/>
        </w:tabs>
        <w:ind w:left="2940" w:hanging="420"/>
      </w:pPr>
      <w:rPr>
        <w:rFonts w:hint="default" w:ascii="Times New Roman" w:hAnsi="Times New Roman" w:cs="Times New Roman"/>
      </w:rPr>
    </w:lvl>
    <w:lvl w:ilvl="6" w:tentative="0">
      <w:start w:val="1"/>
      <w:numFmt w:val="decimal"/>
      <w:lvlText w:val="%7."/>
      <w:lvlJc w:val="left"/>
      <w:pPr>
        <w:tabs>
          <w:tab w:val="left" w:pos="3360"/>
        </w:tabs>
        <w:ind w:left="3360" w:hanging="420"/>
      </w:pPr>
      <w:rPr>
        <w:rFonts w:hint="default" w:ascii="Times New Roman" w:hAnsi="Times New Roman" w:cs="Times New Roman"/>
      </w:rPr>
    </w:lvl>
    <w:lvl w:ilvl="7" w:tentative="0">
      <w:start w:val="1"/>
      <w:numFmt w:val="lowerLetter"/>
      <w:lvlText w:val="%8)"/>
      <w:lvlJc w:val="left"/>
      <w:pPr>
        <w:tabs>
          <w:tab w:val="left" w:pos="3780"/>
        </w:tabs>
        <w:ind w:left="3780" w:hanging="420"/>
      </w:pPr>
      <w:rPr>
        <w:rFonts w:hint="default" w:ascii="Times New Roman" w:hAnsi="Times New Roman" w:cs="Times New Roman"/>
      </w:rPr>
    </w:lvl>
    <w:lvl w:ilvl="8" w:tentative="0">
      <w:start w:val="1"/>
      <w:numFmt w:val="lowerRoman"/>
      <w:lvlText w:val="%9."/>
      <w:lvlJc w:val="right"/>
      <w:pPr>
        <w:tabs>
          <w:tab w:val="left" w:pos="4200"/>
        </w:tabs>
        <w:ind w:left="4200" w:hanging="420"/>
      </w:pPr>
      <w:rPr>
        <w:rFonts w:hint="default" w:ascii="Times New Roman" w:hAnsi="Times New Roman"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8B1624"/>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EF6634E"/>
    <w:rsid w:val="0F622805"/>
    <w:rsid w:val="0F987405"/>
    <w:rsid w:val="0FDC42A7"/>
    <w:rsid w:val="10367123"/>
    <w:rsid w:val="10417984"/>
    <w:rsid w:val="10895666"/>
    <w:rsid w:val="1090553E"/>
    <w:rsid w:val="10AA3894"/>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8A4831"/>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CB5D6C"/>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B3277F"/>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8116B"/>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B41EA6"/>
    <w:rsid w:val="7CF0563E"/>
    <w:rsid w:val="7D060CAB"/>
    <w:rsid w:val="7D0B50EE"/>
    <w:rsid w:val="7D7942E8"/>
    <w:rsid w:val="7D9552CA"/>
    <w:rsid w:val="7DF42BD8"/>
    <w:rsid w:val="7E255143"/>
    <w:rsid w:val="7E7200FE"/>
    <w:rsid w:val="7E9975A5"/>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4"/>
    <w:autoRedefine/>
    <w:qFormat/>
    <w:uiPriority w:val="0"/>
    <w:pPr>
      <w:keepNext/>
      <w:autoSpaceDE w:val="0"/>
      <w:autoSpaceDN w:val="0"/>
      <w:adjustRightInd w:val="0"/>
      <w:jc w:val="center"/>
      <w:outlineLvl w:val="0"/>
    </w:pPr>
    <w:rPr>
      <w:rFonts w:ascii="宋体"/>
      <w:color w:val="000000"/>
      <w:sz w:val="28"/>
      <w:szCs w:val="20"/>
    </w:rPr>
  </w:style>
  <w:style w:type="paragraph" w:styleId="4">
    <w:name w:val="heading 2"/>
    <w:basedOn w:val="1"/>
    <w:next w:val="1"/>
    <w:link w:val="39"/>
    <w:autoRedefine/>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40"/>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annotation text"/>
    <w:basedOn w:val="1"/>
    <w:link w:val="55"/>
    <w:autoRedefine/>
    <w:unhideWhenUsed/>
    <w:qFormat/>
    <w:uiPriority w:val="99"/>
    <w:pPr>
      <w:jc w:val="left"/>
    </w:pPr>
  </w:style>
  <w:style w:type="paragraph" w:styleId="8">
    <w:name w:val="Body Text Indent"/>
    <w:basedOn w:val="1"/>
    <w:autoRedefine/>
    <w:unhideWhenUsed/>
    <w:qFormat/>
    <w:uiPriority w:val="99"/>
    <w:pPr>
      <w:spacing w:after="120"/>
      <w:ind w:left="420" w:leftChars="200"/>
    </w:pPr>
  </w:style>
  <w:style w:type="paragraph" w:styleId="9">
    <w:name w:val="Plain Text"/>
    <w:basedOn w:val="1"/>
    <w:link w:val="38"/>
    <w:autoRedefine/>
    <w:qFormat/>
    <w:uiPriority w:val="0"/>
    <w:rPr>
      <w:rFonts w:ascii="宋体" w:hAnsi="Courier New" w:eastAsiaTheme="minorEastAsia" w:cstheme="minorBidi"/>
    </w:rPr>
  </w:style>
  <w:style w:type="paragraph" w:styleId="10">
    <w:name w:val="Date"/>
    <w:basedOn w:val="1"/>
    <w:next w:val="1"/>
    <w:link w:val="30"/>
    <w:autoRedefine/>
    <w:qFormat/>
    <w:uiPriority w:val="0"/>
    <w:rPr>
      <w:rFonts w:ascii="宋体" w:hAnsi="Courier New"/>
      <w:kern w:val="0"/>
      <w:sz w:val="32"/>
      <w:szCs w:val="20"/>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33"/>
    <w:autoRedefine/>
    <w:unhideWhenUsed/>
    <w:qFormat/>
    <w:uiPriority w:val="99"/>
    <w:pPr>
      <w:tabs>
        <w:tab w:val="center" w:pos="4153"/>
        <w:tab w:val="right" w:pos="8306"/>
      </w:tabs>
      <w:snapToGrid w:val="0"/>
      <w:jc w:val="left"/>
    </w:pPr>
    <w:rPr>
      <w:sz w:val="18"/>
      <w:szCs w:val="18"/>
    </w:rPr>
  </w:style>
  <w:style w:type="paragraph" w:styleId="13">
    <w:name w:val="header"/>
    <w:basedOn w:val="1"/>
    <w:link w:val="3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semiHidden/>
    <w:qFormat/>
    <w:uiPriority w:val="0"/>
    <w:pPr>
      <w:tabs>
        <w:tab w:val="right" w:leader="dot" w:pos="8296"/>
      </w:tabs>
      <w:ind w:left="210"/>
      <w:jc w:val="left"/>
    </w:pPr>
    <w:rPr>
      <w:smallCaps/>
    </w:rPr>
  </w:style>
  <w:style w:type="paragraph" w:styleId="15">
    <w:name w:val="Body Text 2"/>
    <w:basedOn w:val="1"/>
    <w:qFormat/>
    <w:uiPriority w:val="0"/>
    <w:pPr>
      <w:spacing w:line="360" w:lineRule="auto"/>
    </w:pPr>
    <w:rPr>
      <w:sz w:val="24"/>
    </w:rPr>
  </w:style>
  <w:style w:type="paragraph" w:styleId="1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7">
    <w:name w:val="annotation subject"/>
    <w:basedOn w:val="7"/>
    <w:next w:val="7"/>
    <w:link w:val="36"/>
    <w:autoRedefine/>
    <w:semiHidden/>
    <w:unhideWhenUsed/>
    <w:qFormat/>
    <w:uiPriority w:val="99"/>
    <w:rPr>
      <w:b/>
      <w:bCs/>
    </w:rPr>
  </w:style>
  <w:style w:type="paragraph" w:styleId="18">
    <w:name w:val="Body Text First Indent 2"/>
    <w:basedOn w:val="8"/>
    <w:autoRedefine/>
    <w:qFormat/>
    <w:uiPriority w:val="0"/>
    <w:pPr>
      <w:ind w:firstLine="420" w:firstLineChars="200"/>
    </w:pPr>
    <w:rPr>
      <w:szCs w:val="24"/>
    </w:rPr>
  </w:style>
  <w:style w:type="table" w:styleId="20">
    <w:name w:val="Table Grid"/>
    <w:basedOn w:val="1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qFormat/>
    <w:uiPriority w:val="0"/>
    <w:rPr>
      <w:rFonts w:ascii="Times New Roman" w:hAnsi="Times New Roman" w:eastAsia="宋体" w:cs="Times New Roman"/>
      <w:b/>
      <w:bCs/>
    </w:rPr>
  </w:style>
  <w:style w:type="character" w:styleId="23">
    <w:name w:val="page number"/>
    <w:basedOn w:val="21"/>
    <w:qFormat/>
    <w:uiPriority w:val="0"/>
  </w:style>
  <w:style w:type="character" w:styleId="24">
    <w:name w:val="Hyperlink"/>
    <w:autoRedefine/>
    <w:qFormat/>
    <w:uiPriority w:val="99"/>
    <w:rPr>
      <w:color w:val="0000FF"/>
      <w:u w:val="single"/>
    </w:rPr>
  </w:style>
  <w:style w:type="character" w:styleId="25">
    <w:name w:val="annotation reference"/>
    <w:basedOn w:val="21"/>
    <w:autoRedefine/>
    <w:semiHidden/>
    <w:unhideWhenUsed/>
    <w:qFormat/>
    <w:uiPriority w:val="99"/>
    <w:rPr>
      <w:sz w:val="21"/>
      <w:szCs w:val="21"/>
    </w:rPr>
  </w:style>
  <w:style w:type="paragraph" w:customStyle="1" w:styleId="26">
    <w:name w:val="表格文字"/>
    <w:basedOn w:val="1"/>
    <w:autoRedefine/>
    <w:qFormat/>
    <w:uiPriority w:val="0"/>
    <w:pPr>
      <w:spacing w:before="25" w:after="25" w:line="240" w:lineRule="auto"/>
      <w:ind w:firstLine="0"/>
      <w:jc w:val="left"/>
    </w:pPr>
    <w:rPr>
      <w:bCs/>
      <w:spacing w:val="10"/>
      <w:kern w:val="0"/>
      <w:sz w:val="24"/>
    </w:rPr>
  </w:style>
  <w:style w:type="paragraph" w:styleId="27">
    <w:name w:val="List Paragraph"/>
    <w:basedOn w:val="1"/>
    <w:autoRedefine/>
    <w:qFormat/>
    <w:uiPriority w:val="34"/>
    <w:pPr>
      <w:ind w:firstLine="420" w:firstLineChars="200"/>
    </w:pPr>
  </w:style>
  <w:style w:type="paragraph" w:customStyle="1" w:styleId="28">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character" w:customStyle="1" w:styleId="29">
    <w:name w:val="日期 Char"/>
    <w:basedOn w:val="21"/>
    <w:link w:val="10"/>
    <w:autoRedefine/>
    <w:qFormat/>
    <w:uiPriority w:val="0"/>
    <w:rPr>
      <w:rFonts w:ascii="宋体" w:hAnsi="Courier New" w:eastAsia="宋体" w:cs="Times New Roman"/>
      <w:kern w:val="0"/>
      <w:sz w:val="32"/>
      <w:szCs w:val="20"/>
    </w:rPr>
  </w:style>
  <w:style w:type="character" w:customStyle="1" w:styleId="30">
    <w:name w:val="日期 Char1"/>
    <w:basedOn w:val="21"/>
    <w:link w:val="10"/>
    <w:autoRedefine/>
    <w:semiHidden/>
    <w:qFormat/>
    <w:uiPriority w:val="99"/>
    <w:rPr>
      <w:rFonts w:ascii="Calibri" w:hAnsi="Calibri" w:eastAsia="宋体" w:cs="Times New Roman"/>
    </w:rPr>
  </w:style>
  <w:style w:type="character" w:customStyle="1" w:styleId="31">
    <w:name w:val="批注框文本 Char"/>
    <w:basedOn w:val="21"/>
    <w:link w:val="11"/>
    <w:autoRedefine/>
    <w:semiHidden/>
    <w:qFormat/>
    <w:uiPriority w:val="99"/>
    <w:rPr>
      <w:rFonts w:ascii="Calibri" w:hAnsi="Calibri" w:eastAsia="宋体" w:cs="Times New Roman"/>
      <w:sz w:val="18"/>
      <w:szCs w:val="18"/>
    </w:rPr>
  </w:style>
  <w:style w:type="character" w:customStyle="1" w:styleId="32">
    <w:name w:val="页眉 Char"/>
    <w:basedOn w:val="21"/>
    <w:link w:val="13"/>
    <w:autoRedefine/>
    <w:semiHidden/>
    <w:qFormat/>
    <w:uiPriority w:val="99"/>
    <w:rPr>
      <w:rFonts w:ascii="Calibri" w:hAnsi="Calibri" w:eastAsia="宋体" w:cs="Times New Roman"/>
      <w:sz w:val="18"/>
      <w:szCs w:val="18"/>
    </w:rPr>
  </w:style>
  <w:style w:type="character" w:customStyle="1" w:styleId="33">
    <w:name w:val="页脚 Char"/>
    <w:basedOn w:val="21"/>
    <w:link w:val="12"/>
    <w:autoRedefine/>
    <w:qFormat/>
    <w:uiPriority w:val="99"/>
    <w:rPr>
      <w:rFonts w:ascii="Calibri" w:hAnsi="Calibri" w:eastAsia="宋体" w:cs="Times New Roman"/>
      <w:sz w:val="18"/>
      <w:szCs w:val="18"/>
    </w:rPr>
  </w:style>
  <w:style w:type="character" w:customStyle="1" w:styleId="34">
    <w:name w:val="标题 1 Char"/>
    <w:basedOn w:val="21"/>
    <w:link w:val="3"/>
    <w:autoRedefine/>
    <w:qFormat/>
    <w:uiPriority w:val="0"/>
    <w:rPr>
      <w:rFonts w:ascii="宋体" w:hAnsi="Calibri" w:eastAsia="宋体" w:cs="Times New Roman"/>
      <w:color w:val="000000"/>
      <w:sz w:val="28"/>
      <w:szCs w:val="20"/>
    </w:rPr>
  </w:style>
  <w:style w:type="character" w:customStyle="1" w:styleId="35">
    <w:name w:val="批注文字 Char"/>
    <w:basedOn w:val="21"/>
    <w:link w:val="7"/>
    <w:autoRedefine/>
    <w:qFormat/>
    <w:uiPriority w:val="99"/>
    <w:rPr>
      <w:rFonts w:ascii="Calibri" w:hAnsi="Calibri" w:eastAsia="宋体" w:cs="Times New Roman"/>
    </w:rPr>
  </w:style>
  <w:style w:type="character" w:customStyle="1" w:styleId="36">
    <w:name w:val="批注主题 Char"/>
    <w:basedOn w:val="35"/>
    <w:link w:val="17"/>
    <w:autoRedefine/>
    <w:semiHidden/>
    <w:qFormat/>
    <w:uiPriority w:val="99"/>
    <w:rPr>
      <w:b/>
      <w:bCs/>
    </w:rPr>
  </w:style>
  <w:style w:type="character" w:customStyle="1" w:styleId="37">
    <w:name w:val="纯文本 Char"/>
    <w:link w:val="9"/>
    <w:autoRedefine/>
    <w:qFormat/>
    <w:uiPriority w:val="0"/>
    <w:rPr>
      <w:rFonts w:ascii="宋体" w:hAnsi="Courier New"/>
    </w:rPr>
  </w:style>
  <w:style w:type="character" w:customStyle="1" w:styleId="38">
    <w:name w:val="纯文本 Char1"/>
    <w:basedOn w:val="21"/>
    <w:link w:val="9"/>
    <w:autoRedefine/>
    <w:semiHidden/>
    <w:qFormat/>
    <w:uiPriority w:val="99"/>
    <w:rPr>
      <w:rFonts w:ascii="宋体" w:hAnsi="Courier New" w:eastAsia="宋体" w:cs="Courier New"/>
      <w:szCs w:val="21"/>
    </w:rPr>
  </w:style>
  <w:style w:type="character" w:customStyle="1" w:styleId="39">
    <w:name w:val="标题 2 Char"/>
    <w:basedOn w:val="21"/>
    <w:link w:val="4"/>
    <w:autoRedefine/>
    <w:qFormat/>
    <w:uiPriority w:val="0"/>
    <w:rPr>
      <w:rFonts w:ascii="Arial" w:hAnsi="Arial" w:eastAsia="宋体" w:cs="Times New Roman"/>
      <w:b/>
      <w:bCs/>
      <w:sz w:val="32"/>
      <w:szCs w:val="32"/>
    </w:rPr>
  </w:style>
  <w:style w:type="character" w:customStyle="1" w:styleId="40">
    <w:name w:val="标题 3 Char"/>
    <w:basedOn w:val="21"/>
    <w:link w:val="5"/>
    <w:autoRedefine/>
    <w:semiHidden/>
    <w:qFormat/>
    <w:uiPriority w:val="9"/>
    <w:rPr>
      <w:rFonts w:ascii="Calibri" w:hAnsi="Calibri" w:eastAsia="宋体" w:cs="Times New Roman"/>
      <w:b/>
      <w:bCs/>
      <w:sz w:val="32"/>
      <w:szCs w:val="32"/>
    </w:rPr>
  </w:style>
  <w:style w:type="character" w:customStyle="1" w:styleId="41">
    <w:name w:val="标题 4 Char"/>
    <w:basedOn w:val="21"/>
    <w:link w:val="6"/>
    <w:autoRedefine/>
    <w:qFormat/>
    <w:uiPriority w:val="0"/>
    <w:rPr>
      <w:rFonts w:ascii="Cambria" w:hAnsi="Cambria" w:eastAsia="宋体" w:cs="Times New Roman"/>
      <w:b/>
      <w:bCs/>
      <w:sz w:val="28"/>
      <w:szCs w:val="28"/>
    </w:rPr>
  </w:style>
  <w:style w:type="paragraph" w:customStyle="1" w:styleId="42">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3">
    <w:name w:val="1"/>
    <w:basedOn w:val="1"/>
    <w:next w:val="9"/>
    <w:autoRedefine/>
    <w:qFormat/>
    <w:uiPriority w:val="0"/>
    <w:rPr>
      <w:rFonts w:ascii="宋体" w:hAnsi="Courier New"/>
      <w:szCs w:val="20"/>
    </w:rPr>
  </w:style>
  <w:style w:type="paragraph" w:customStyle="1" w:styleId="44">
    <w:name w:val="8"/>
    <w:basedOn w:val="1"/>
    <w:next w:val="9"/>
    <w:autoRedefine/>
    <w:qFormat/>
    <w:uiPriority w:val="0"/>
    <w:rPr>
      <w:rFonts w:ascii="宋体" w:hAnsi="Courier New"/>
      <w:szCs w:val="20"/>
    </w:rPr>
  </w:style>
  <w:style w:type="paragraph" w:customStyle="1" w:styleId="45">
    <w:name w:val="_Style 55"/>
    <w:basedOn w:val="1"/>
    <w:next w:val="9"/>
    <w:autoRedefine/>
    <w:qFormat/>
    <w:uiPriority w:val="0"/>
    <w:rPr>
      <w:rFonts w:ascii="宋体" w:hAnsi="Courier New"/>
      <w:szCs w:val="20"/>
    </w:rPr>
  </w:style>
  <w:style w:type="paragraph" w:customStyle="1" w:styleId="46">
    <w:name w:val="7"/>
    <w:basedOn w:val="1"/>
    <w:next w:val="9"/>
    <w:link w:val="47"/>
    <w:autoRedefine/>
    <w:qFormat/>
    <w:uiPriority w:val="0"/>
    <w:rPr>
      <w:rFonts w:ascii="宋体" w:hAnsi="Courier New"/>
      <w:szCs w:val="20"/>
    </w:rPr>
  </w:style>
  <w:style w:type="character" w:customStyle="1" w:styleId="47">
    <w:name w:val="Char1"/>
    <w:link w:val="46"/>
    <w:autoRedefine/>
    <w:qFormat/>
    <w:uiPriority w:val="0"/>
    <w:rPr>
      <w:rFonts w:ascii="宋体" w:hAnsi="Courier New" w:eastAsia="宋体" w:cs="Times New Roman"/>
      <w:szCs w:val="20"/>
    </w:rPr>
  </w:style>
  <w:style w:type="paragraph" w:customStyle="1" w:styleId="48">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4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0">
    <w:name w:val="表正文"/>
    <w:basedOn w:val="1"/>
    <w:qFormat/>
    <w:uiPriority w:val="0"/>
    <w:rPr>
      <w:sz w:val="18"/>
    </w:rPr>
  </w:style>
  <w:style w:type="paragraph" w:customStyle="1" w:styleId="51">
    <w:name w:val="表格并列项"/>
    <w:basedOn w:val="52"/>
    <w:qFormat/>
    <w:uiPriority w:val="0"/>
    <w:pPr>
      <w:tabs>
        <w:tab w:val="left" w:pos="839"/>
      </w:tabs>
      <w:spacing w:before="40" w:after="40"/>
      <w:ind w:left="840" w:firstLineChars="0"/>
    </w:pPr>
  </w:style>
  <w:style w:type="paragraph" w:customStyle="1" w:styleId="52">
    <w:name w:val="并列项"/>
    <w:basedOn w:val="27"/>
    <w:qFormat/>
    <w:uiPriority w:val="0"/>
    <w:pPr>
      <w:numPr>
        <w:ilvl w:val="0"/>
        <w:numId w:val="1"/>
      </w:numPr>
      <w:snapToGrid w:val="0"/>
      <w:ind w:left="420"/>
      <w:contextualSpacing/>
    </w:pPr>
    <w:rPr>
      <w:rFonts w:cs="Cambria"/>
    </w:rPr>
  </w:style>
  <w:style w:type="paragraph" w:customStyle="1" w:styleId="53">
    <w:name w:val="Normal Indent"/>
    <w:basedOn w:val="1"/>
    <w:next w:val="1"/>
    <w:qFormat/>
    <w:uiPriority w:val="0"/>
    <w:pPr>
      <w:ind w:firstLine="420"/>
    </w:pPr>
    <w:rPr>
      <w:rFonts w:ascii="Calibri" w:hAnsi="Calibri" w:eastAsia="宋体"/>
      <w:szCs w:val="20"/>
    </w:rPr>
  </w:style>
  <w:style w:type="paragraph" w:customStyle="1" w:styleId="5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5">
    <w:name w:val="批注文字 字符"/>
    <w:basedOn w:val="21"/>
    <w:link w:val="7"/>
    <w:autoRedefine/>
    <w:qFormat/>
    <w:uiPriority w:val="0"/>
    <w:rPr>
      <w:rFonts w:asciiTheme="minorHAnsi" w:hAnsiTheme="minorHAnsi" w:eastAsiaTheme="minorEastAsia" w:cstheme="minorBidi"/>
      <w:kern w:val="2"/>
      <w:sz w:val="21"/>
      <w:szCs w:val="24"/>
    </w:rPr>
  </w:style>
  <w:style w:type="paragraph" w:customStyle="1" w:styleId="5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4364</Words>
  <Characters>4554</Characters>
  <Lines>229</Lines>
  <Paragraphs>64</Paragraphs>
  <TotalTime>0</TotalTime>
  <ScaleCrop>false</ScaleCrop>
  <LinksUpToDate>false</LinksUpToDate>
  <CharactersWithSpaces>4610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2025-10-23T01:12:43Z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