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b/>
          <w:sz w:val="36"/>
          <w:szCs w:val="36"/>
        </w:rPr>
      </w:pPr>
      <w:r>
        <w:rPr>
          <w:rFonts w:hint="eastAsia" w:ascii="宋体" w:hAnsi="宋体" w:eastAsia="宋体" w:cs="宋体"/>
          <w:b/>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一、项目清单</w:t>
      </w:r>
    </w:p>
    <w:tbl>
      <w:tblPr>
        <w:tblStyle w:val="21"/>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468"/>
        <w:gridCol w:w="870"/>
        <w:gridCol w:w="810"/>
        <w:gridCol w:w="2126"/>
        <w:gridCol w:w="2127"/>
      </w:tblGrid>
      <w:tr w14:paraId="7D33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序号</w:t>
            </w:r>
          </w:p>
        </w:tc>
        <w:tc>
          <w:tcPr>
            <w:tcW w:w="2468"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cs="宋体"/>
                <w:b/>
                <w:sz w:val="22"/>
                <w:lang w:val="en-US" w:eastAsia="zh-CN"/>
              </w:rPr>
              <w:t>采购</w:t>
            </w:r>
            <w:r>
              <w:rPr>
                <w:rFonts w:hint="eastAsia" w:ascii="宋体" w:hAnsi="宋体" w:eastAsia="宋体" w:cs="宋体"/>
                <w:b/>
                <w:sz w:val="22"/>
              </w:rPr>
              <w:t>内容</w:t>
            </w:r>
          </w:p>
        </w:tc>
        <w:tc>
          <w:tcPr>
            <w:tcW w:w="870"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单位</w:t>
            </w:r>
          </w:p>
        </w:tc>
        <w:tc>
          <w:tcPr>
            <w:tcW w:w="810"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数量</w:t>
            </w:r>
          </w:p>
        </w:tc>
        <w:tc>
          <w:tcPr>
            <w:tcW w:w="2126"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财政预算金额（元）</w:t>
            </w:r>
          </w:p>
        </w:tc>
        <w:tc>
          <w:tcPr>
            <w:tcW w:w="2127" w:type="dxa"/>
            <w:noWrap w:val="0"/>
            <w:vAlign w:val="center"/>
          </w:tcPr>
          <w:p w14:paraId="4DCFBBE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b/>
                <w:sz w:val="22"/>
                <w:lang w:val="en-US" w:eastAsia="zh-CN"/>
              </w:rPr>
            </w:pPr>
            <w:r>
              <w:rPr>
                <w:rFonts w:hint="eastAsia" w:ascii="宋体" w:hAnsi="宋体" w:cs="宋体"/>
                <w:b/>
                <w:sz w:val="22"/>
                <w:lang w:val="en-US" w:eastAsia="zh-CN"/>
              </w:rPr>
              <w:t>最高限价</w:t>
            </w:r>
            <w:r>
              <w:rPr>
                <w:rFonts w:hint="eastAsia" w:ascii="宋体" w:hAnsi="宋体" w:eastAsia="宋体" w:cs="宋体"/>
                <w:b/>
                <w:sz w:val="22"/>
              </w:rPr>
              <w:t>（元）</w:t>
            </w:r>
          </w:p>
        </w:tc>
      </w:tr>
      <w:tr w14:paraId="1AA7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2468"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自动化核酸电泳分析仪</w:t>
            </w:r>
          </w:p>
        </w:tc>
        <w:tc>
          <w:tcPr>
            <w:tcW w:w="870"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z w:val="21"/>
                <w:szCs w:val="21"/>
                <w:lang w:val="en-US" w:eastAsia="zh-CN"/>
              </w:rPr>
            </w:pPr>
            <w:r>
              <w:rPr>
                <w:rFonts w:hint="eastAsia" w:ascii="宋体" w:hAnsi="宋体" w:cs="宋体"/>
                <w:bCs/>
                <w:sz w:val="21"/>
                <w:szCs w:val="21"/>
                <w:lang w:val="en-US" w:eastAsia="zh-CN"/>
              </w:rPr>
              <w:t>1</w:t>
            </w:r>
          </w:p>
        </w:tc>
        <w:tc>
          <w:tcPr>
            <w:tcW w:w="810"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套</w:t>
            </w:r>
          </w:p>
        </w:tc>
        <w:tc>
          <w:tcPr>
            <w:tcW w:w="2126"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cs="宋体"/>
                <w:sz w:val="21"/>
                <w:szCs w:val="21"/>
                <w:lang w:val="en-US" w:eastAsia="zh-CN"/>
              </w:rPr>
              <w:t>300,000</w:t>
            </w:r>
            <w:r>
              <w:rPr>
                <w:rFonts w:hint="eastAsia" w:ascii="宋体" w:hAnsi="宋体" w:eastAsia="宋体" w:cs="宋体"/>
                <w:sz w:val="21"/>
                <w:szCs w:val="21"/>
              </w:rPr>
              <w:t>.00</w:t>
            </w:r>
          </w:p>
        </w:tc>
        <w:tc>
          <w:tcPr>
            <w:tcW w:w="2127" w:type="dxa"/>
            <w:noWrap w:val="0"/>
            <w:vAlign w:val="center"/>
          </w:tcPr>
          <w:p w14:paraId="34D8321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270,000.00</w:t>
            </w:r>
          </w:p>
        </w:tc>
      </w:tr>
    </w:tbl>
    <w:p w14:paraId="6FCB4A35">
      <w:pPr>
        <w:pStyle w:val="8"/>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6D3762FC">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default" w:ascii="宋体" w:hAnsi="宋体" w:cs="宋体"/>
          <w:b/>
          <w:sz w:val="28"/>
          <w:szCs w:val="28"/>
          <w:lang w:val="en-US" w:eastAsia="zh-CN"/>
        </w:rPr>
      </w:pPr>
      <w:r>
        <w:rPr>
          <w:rFonts w:hint="eastAsia" w:ascii="宋体" w:hAnsi="宋体" w:cs="宋体"/>
          <w:b/>
          <w:sz w:val="28"/>
          <w:szCs w:val="28"/>
          <w:lang w:val="en-US" w:eastAsia="zh-CN"/>
        </w:rPr>
        <w:t>二、货物清单</w:t>
      </w:r>
    </w:p>
    <w:tbl>
      <w:tblPr>
        <w:tblStyle w:val="21"/>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807"/>
        <w:gridCol w:w="1881"/>
        <w:gridCol w:w="1881"/>
        <w:gridCol w:w="1883"/>
      </w:tblGrid>
      <w:tr w14:paraId="5399F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718" w:type="dxa"/>
            <w:vAlign w:val="center"/>
          </w:tcPr>
          <w:p w14:paraId="10AD28E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序号</w:t>
            </w:r>
          </w:p>
        </w:tc>
        <w:tc>
          <w:tcPr>
            <w:tcW w:w="2807" w:type="dxa"/>
            <w:vAlign w:val="center"/>
          </w:tcPr>
          <w:p w14:paraId="10AD28EA">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货物名称</w:t>
            </w:r>
          </w:p>
        </w:tc>
        <w:tc>
          <w:tcPr>
            <w:tcW w:w="1881" w:type="dxa"/>
            <w:vAlign w:val="center"/>
          </w:tcPr>
          <w:p w14:paraId="10AD28E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数量</w:t>
            </w:r>
          </w:p>
        </w:tc>
        <w:tc>
          <w:tcPr>
            <w:tcW w:w="1881" w:type="dxa"/>
            <w:vAlign w:val="center"/>
          </w:tcPr>
          <w:p w14:paraId="10AD28ED">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val="0"/>
                <w:sz w:val="21"/>
                <w:szCs w:val="21"/>
                <w:highlight w:val="none"/>
              </w:rPr>
            </w:pPr>
            <w:r>
              <w:rPr>
                <w:rFonts w:hint="eastAsia" w:ascii="宋体" w:hAnsi="宋体" w:eastAsia="宋体" w:cs="宋体"/>
                <w:b/>
                <w:bCs w:val="0"/>
                <w:sz w:val="21"/>
                <w:szCs w:val="21"/>
                <w:highlight w:val="none"/>
              </w:rPr>
              <w:t>单位</w:t>
            </w:r>
          </w:p>
        </w:tc>
        <w:tc>
          <w:tcPr>
            <w:tcW w:w="1883" w:type="dxa"/>
            <w:vAlign w:val="center"/>
          </w:tcPr>
          <w:p w14:paraId="6DA4C6D3">
            <w:pPr>
              <w:widowControl/>
              <w:spacing w:line="360" w:lineRule="auto"/>
              <w:jc w:val="center"/>
              <w:rPr>
                <w:rFonts w:hint="eastAsia" w:ascii="宋体" w:hAnsi="宋体" w:eastAsia="宋体" w:cs="宋体"/>
                <w:b/>
                <w:bCs w:val="0"/>
                <w:sz w:val="21"/>
                <w:szCs w:val="21"/>
                <w:highlight w:val="none"/>
              </w:rPr>
            </w:pPr>
            <w:r>
              <w:rPr>
                <w:rFonts w:hint="eastAsia" w:ascii="宋体" w:hAnsi="宋体" w:cs="宋体"/>
                <w:b/>
                <w:bCs w:val="0"/>
                <w:kern w:val="0"/>
                <w:szCs w:val="21"/>
              </w:rPr>
              <w:t>备注</w:t>
            </w:r>
          </w:p>
        </w:tc>
      </w:tr>
      <w:tr w14:paraId="084E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8" w:type="dxa"/>
          </w:tcPr>
          <w:p w14:paraId="10AD28EF">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1</w:t>
            </w:r>
          </w:p>
        </w:tc>
        <w:tc>
          <w:tcPr>
            <w:tcW w:w="2807" w:type="dxa"/>
            <w:vAlign w:val="center"/>
          </w:tcPr>
          <w:p w14:paraId="10AD28F0">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kern w:val="0"/>
                <w:sz w:val="21"/>
                <w:szCs w:val="21"/>
                <w:highlight w:val="none"/>
              </w:rPr>
            </w:pPr>
            <w:r>
              <w:rPr>
                <w:rFonts w:hint="eastAsia" w:ascii="宋体" w:hAnsi="宋体" w:cs="宋体"/>
                <w:sz w:val="21"/>
                <w:szCs w:val="21"/>
                <w:lang w:val="en-US" w:eastAsia="zh-CN"/>
              </w:rPr>
              <w:t>自动化核酸电泳分析仪</w:t>
            </w:r>
          </w:p>
        </w:tc>
        <w:tc>
          <w:tcPr>
            <w:tcW w:w="1881" w:type="dxa"/>
            <w:vAlign w:val="center"/>
          </w:tcPr>
          <w:p w14:paraId="10AD28F2">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sz w:val="21"/>
                <w:szCs w:val="21"/>
                <w:highlight w:val="none"/>
              </w:rPr>
            </w:pPr>
            <w:r>
              <w:rPr>
                <w:rFonts w:hint="eastAsia" w:ascii="宋体" w:hAnsi="宋体" w:cs="宋体"/>
                <w:bCs/>
                <w:sz w:val="21"/>
                <w:szCs w:val="21"/>
                <w:lang w:val="en-US" w:eastAsia="zh-CN"/>
              </w:rPr>
              <w:t>1</w:t>
            </w:r>
          </w:p>
        </w:tc>
        <w:tc>
          <w:tcPr>
            <w:tcW w:w="1881" w:type="dxa"/>
            <w:vAlign w:val="center"/>
          </w:tcPr>
          <w:p w14:paraId="10AD28F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b w:val="0"/>
                <w:bCs/>
                <w:sz w:val="21"/>
                <w:szCs w:val="21"/>
                <w:highlight w:val="none"/>
              </w:rPr>
            </w:pPr>
            <w:r>
              <w:rPr>
                <w:rFonts w:hint="eastAsia" w:ascii="宋体" w:hAnsi="宋体" w:cs="宋体"/>
                <w:sz w:val="21"/>
                <w:szCs w:val="21"/>
                <w:lang w:val="en-US" w:eastAsia="zh-CN"/>
              </w:rPr>
              <w:t>套</w:t>
            </w:r>
          </w:p>
        </w:tc>
        <w:tc>
          <w:tcPr>
            <w:tcW w:w="1883" w:type="dxa"/>
            <w:vAlign w:val="center"/>
          </w:tcPr>
          <w:p w14:paraId="1A8AA29F">
            <w:pPr>
              <w:widowControl/>
              <w:spacing w:line="360" w:lineRule="auto"/>
              <w:jc w:val="center"/>
              <w:rPr>
                <w:rFonts w:hint="eastAsia" w:ascii="宋体" w:hAnsi="宋体" w:cs="宋体"/>
                <w:sz w:val="21"/>
                <w:szCs w:val="21"/>
                <w:lang w:val="en-US" w:eastAsia="zh-CN"/>
              </w:rPr>
            </w:pPr>
            <w:r>
              <w:rPr>
                <w:rFonts w:hint="eastAsia" w:ascii="宋体" w:hAnsi="宋体" w:cs="宋体"/>
                <w:kern w:val="0"/>
                <w:szCs w:val="21"/>
              </w:rPr>
              <w:t>拒绝进口</w:t>
            </w:r>
          </w:p>
        </w:tc>
      </w:tr>
    </w:tbl>
    <w:p w14:paraId="7CF0391A">
      <w:pPr>
        <w:pStyle w:val="8"/>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lang w:val="en-US" w:eastAsia="zh-CN"/>
        </w:rPr>
      </w:pPr>
      <w:r>
        <w:rPr>
          <w:rFonts w:hint="eastAsia" w:ascii="宋体" w:hAnsi="宋体" w:cs="宋体"/>
          <w:b/>
          <w:sz w:val="28"/>
          <w:szCs w:val="28"/>
          <w:lang w:val="en-US" w:eastAsia="zh-CN"/>
        </w:rPr>
        <w:t>三</w:t>
      </w:r>
      <w:r>
        <w:rPr>
          <w:rFonts w:hint="eastAsia" w:ascii="宋体" w:hAnsi="宋体" w:eastAsia="宋体" w:cs="宋体"/>
          <w:b/>
          <w:sz w:val="28"/>
          <w:szCs w:val="28"/>
        </w:rPr>
        <w:t>、</w:t>
      </w:r>
      <w:r>
        <w:rPr>
          <w:rFonts w:hint="eastAsia" w:ascii="宋体" w:hAnsi="宋体" w:eastAsia="宋体" w:cs="宋体"/>
          <w:b/>
          <w:sz w:val="28"/>
          <w:szCs w:val="28"/>
          <w:lang w:val="en-US" w:eastAsia="zh-CN"/>
        </w:rPr>
        <w:t>技术需求</w:t>
      </w:r>
    </w:p>
    <w:tbl>
      <w:tblPr>
        <w:tblStyle w:val="21"/>
        <w:tblpPr w:leftFromText="180" w:rightFromText="180" w:vertAnchor="text" w:horzAnchor="page" w:tblpXSpec="center" w:tblpY="149"/>
        <w:tblOverlap w:val="never"/>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7804"/>
      </w:tblGrid>
      <w:tr w14:paraId="03BD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26" w:type="dxa"/>
            <w:tcBorders>
              <w:top w:val="single" w:color="auto" w:sz="4" w:space="0"/>
              <w:left w:val="single" w:color="auto" w:sz="4" w:space="0"/>
              <w:bottom w:val="single" w:color="auto" w:sz="4" w:space="0"/>
              <w:right w:val="single" w:color="auto" w:sz="4" w:space="0"/>
            </w:tcBorders>
            <w:noWrap w:val="0"/>
            <w:vAlign w:val="center"/>
          </w:tcPr>
          <w:p w14:paraId="70BFAB6D">
            <w:pPr>
              <w:keepNext w:val="0"/>
              <w:keepLines w:val="0"/>
              <w:pageBreakBefore w:val="0"/>
              <w:widowControl/>
              <w:kinsoku/>
              <w:wordWrap/>
              <w:overflowPunct/>
              <w:topLinePunct w:val="0"/>
              <w:bidi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lang w:eastAsia="zh-CN"/>
              </w:rPr>
              <w:t>设备</w:t>
            </w:r>
            <w:r>
              <w:rPr>
                <w:rFonts w:hint="eastAsia" w:ascii="宋体" w:hAnsi="宋体" w:eastAsia="宋体" w:cs="宋体"/>
                <w:color w:val="auto"/>
                <w:kern w:val="0"/>
                <w:sz w:val="21"/>
                <w:szCs w:val="21"/>
                <w:highlight w:val="none"/>
                <w:u w:val="none"/>
              </w:rPr>
              <w:t>名称</w:t>
            </w:r>
          </w:p>
        </w:tc>
        <w:tc>
          <w:tcPr>
            <w:tcW w:w="7804" w:type="dxa"/>
            <w:tcBorders>
              <w:top w:val="single" w:color="auto" w:sz="4" w:space="0"/>
              <w:left w:val="single" w:color="auto" w:sz="4" w:space="0"/>
              <w:bottom w:val="single" w:color="auto" w:sz="4" w:space="0"/>
              <w:right w:val="single" w:color="auto" w:sz="4" w:space="0"/>
            </w:tcBorders>
            <w:noWrap w:val="0"/>
            <w:vAlign w:val="center"/>
          </w:tcPr>
          <w:p w14:paraId="085FBFB5">
            <w:pPr>
              <w:keepNext w:val="0"/>
              <w:keepLines w:val="0"/>
              <w:pageBreakBefore w:val="0"/>
              <w:widowControl/>
              <w:kinsoku/>
              <w:wordWrap/>
              <w:overflowPunct/>
              <w:topLinePunct w:val="0"/>
              <w:bidi w:val="0"/>
              <w:snapToGrid/>
              <w:spacing w:beforeAutospacing="0" w:afterAutospacing="0" w:line="360" w:lineRule="auto"/>
              <w:jc w:val="center"/>
              <w:textAlignment w:val="auto"/>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招标技术要求</w:t>
            </w:r>
          </w:p>
        </w:tc>
      </w:tr>
      <w:tr w14:paraId="60E1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restart"/>
            <w:tcBorders>
              <w:top w:val="single" w:color="auto" w:sz="4" w:space="0"/>
              <w:left w:val="single" w:color="auto" w:sz="4" w:space="0"/>
              <w:right w:val="single" w:color="auto" w:sz="4" w:space="0"/>
            </w:tcBorders>
            <w:noWrap w:val="0"/>
            <w:vAlign w:val="center"/>
          </w:tcPr>
          <w:p w14:paraId="276DB564">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color w:val="auto"/>
                <w:kern w:val="0"/>
                <w:sz w:val="21"/>
                <w:szCs w:val="21"/>
                <w:highlight w:val="yellow"/>
                <w:u w:val="none"/>
              </w:rPr>
            </w:pPr>
            <w:r>
              <w:rPr>
                <w:rFonts w:hint="eastAsia" w:ascii="宋体" w:hAnsi="宋体" w:eastAsia="宋体" w:cs="宋体"/>
                <w:color w:val="000000"/>
                <w:kern w:val="0"/>
                <w:sz w:val="21"/>
                <w:szCs w:val="21"/>
                <w:highlight w:val="none"/>
                <w:u w:val="none"/>
                <w:lang w:val="en-US" w:eastAsia="zh-CN"/>
              </w:rPr>
              <w:t>自动化核酸电泳分析仪</w:t>
            </w:r>
          </w:p>
        </w:tc>
        <w:tc>
          <w:tcPr>
            <w:tcW w:w="7804" w:type="dxa"/>
            <w:tcBorders>
              <w:top w:val="single" w:color="auto" w:sz="4" w:space="0"/>
              <w:left w:val="single" w:color="auto" w:sz="4" w:space="0"/>
              <w:bottom w:val="single" w:color="auto" w:sz="4" w:space="0"/>
              <w:right w:val="single" w:color="auto" w:sz="4" w:space="0"/>
            </w:tcBorders>
            <w:noWrap w:val="0"/>
            <w:vAlign w:val="top"/>
          </w:tcPr>
          <w:p w14:paraId="734C5664">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b/>
                <w:bCs/>
                <w:sz w:val="21"/>
                <w:szCs w:val="21"/>
                <w:highlight w:val="none"/>
                <w:u w:val="none"/>
                <w:lang w:val="en-US" w:eastAsia="zh-CN"/>
              </w:rPr>
            </w:pPr>
            <w:r>
              <w:rPr>
                <w:rFonts w:hint="eastAsia" w:ascii="宋体" w:hAnsi="宋体" w:eastAsia="宋体" w:cs="宋体"/>
                <w:b/>
                <w:bCs/>
                <w:sz w:val="21"/>
                <w:szCs w:val="21"/>
                <w:highlight w:val="none"/>
                <w:u w:val="none"/>
                <w:lang w:val="en-US" w:eastAsia="zh-CN"/>
              </w:rPr>
              <w:t>1、仪器功能要求：</w:t>
            </w:r>
          </w:p>
          <w:p w14:paraId="10A58F40">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1）</w:t>
            </w:r>
            <w:r>
              <w:rPr>
                <w:rFonts w:hint="eastAsia" w:ascii="宋体" w:hAnsi="宋体" w:eastAsia="宋体" w:cs="宋体"/>
                <w:sz w:val="21"/>
                <w:szCs w:val="21"/>
                <w:highlight w:val="none"/>
                <w:u w:val="none"/>
              </w:rPr>
              <w:t>基于</w:t>
            </w:r>
            <w:r>
              <w:rPr>
                <w:rFonts w:hint="eastAsia" w:ascii="宋体" w:hAnsi="宋体" w:eastAsia="宋体" w:cs="宋体"/>
                <w:sz w:val="21"/>
                <w:szCs w:val="21"/>
                <w:highlight w:val="none"/>
                <w:u w:val="none"/>
                <w:lang w:val="en-US" w:eastAsia="zh-CN"/>
              </w:rPr>
              <w:t>一代</w:t>
            </w:r>
            <w:r>
              <w:rPr>
                <w:rFonts w:hint="eastAsia" w:ascii="宋体" w:hAnsi="宋体" w:eastAsia="宋体" w:cs="宋体"/>
                <w:sz w:val="21"/>
                <w:szCs w:val="21"/>
                <w:highlight w:val="none"/>
                <w:u w:val="none"/>
              </w:rPr>
              <w:t>测序</w:t>
            </w:r>
            <w:r>
              <w:rPr>
                <w:rFonts w:hint="eastAsia" w:ascii="宋体" w:hAnsi="宋体" w:eastAsia="宋体" w:cs="宋体"/>
                <w:sz w:val="21"/>
                <w:szCs w:val="21"/>
                <w:highlight w:val="none"/>
                <w:u w:val="none"/>
                <w:lang w:eastAsia="zh-CN"/>
              </w:rPr>
              <w:t>原理</w:t>
            </w:r>
            <w:r>
              <w:rPr>
                <w:rFonts w:hint="eastAsia" w:ascii="宋体" w:hAnsi="宋体" w:eastAsia="宋体" w:cs="宋体"/>
                <w:sz w:val="21"/>
                <w:szCs w:val="21"/>
                <w:highlight w:val="none"/>
                <w:u w:val="none"/>
              </w:rPr>
              <w:t>和毛细管电泳技术，</w:t>
            </w:r>
            <w:r>
              <w:rPr>
                <w:rFonts w:hint="eastAsia" w:ascii="宋体" w:hAnsi="宋体" w:eastAsia="宋体" w:cs="宋体"/>
                <w:sz w:val="21"/>
                <w:szCs w:val="21"/>
                <w:highlight w:val="none"/>
                <w:u w:val="none"/>
                <w:lang w:val="en-US" w:eastAsia="zh-CN"/>
              </w:rPr>
              <w:t>具有已知序列和未知序列的测定功能</w:t>
            </w:r>
            <w:r>
              <w:rPr>
                <w:rFonts w:hint="eastAsia" w:ascii="宋体" w:hAnsi="宋体" w:eastAsia="宋体" w:cs="宋体"/>
                <w:sz w:val="21"/>
                <w:szCs w:val="21"/>
                <w:highlight w:val="none"/>
                <w:u w:val="none"/>
              </w:rPr>
              <w:t>，对病原微生物、传染性疾病、遗传性疾病及肿瘤疾病相关基因进行检测。</w:t>
            </w:r>
          </w:p>
          <w:p w14:paraId="7D42746D">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color w:val="auto"/>
                <w:sz w:val="21"/>
                <w:szCs w:val="21"/>
                <w:highlight w:val="yellow"/>
                <w:u w:val="none"/>
              </w:rPr>
            </w:pPr>
            <w:r>
              <w:rPr>
                <w:rFonts w:hint="eastAsia" w:ascii="宋体" w:hAnsi="宋体" w:eastAsia="宋体" w:cs="宋体"/>
                <w:sz w:val="21"/>
                <w:szCs w:val="21"/>
                <w:highlight w:val="none"/>
                <w:u w:val="none"/>
                <w:lang w:val="en-US" w:eastAsia="zh-CN"/>
              </w:rPr>
              <w:t>2）全</w:t>
            </w:r>
            <w:r>
              <w:rPr>
                <w:rFonts w:hint="eastAsia" w:ascii="宋体" w:hAnsi="宋体" w:eastAsia="宋体" w:cs="宋体"/>
                <w:sz w:val="21"/>
                <w:szCs w:val="21"/>
                <w:highlight w:val="none"/>
                <w:u w:val="none"/>
              </w:rPr>
              <w:t>开放式检测平台，</w:t>
            </w:r>
            <w:r>
              <w:rPr>
                <w:rFonts w:hint="eastAsia" w:ascii="宋体" w:hAnsi="宋体" w:eastAsia="宋体" w:cs="宋体"/>
                <w:sz w:val="21"/>
                <w:szCs w:val="21"/>
                <w:highlight w:val="none"/>
                <w:u w:val="none"/>
                <w:lang w:eastAsia="zh-CN"/>
              </w:rPr>
              <w:t>可</w:t>
            </w:r>
            <w:r>
              <w:rPr>
                <w:rFonts w:hint="eastAsia" w:ascii="宋体" w:hAnsi="宋体" w:eastAsia="宋体" w:cs="宋体"/>
                <w:sz w:val="21"/>
                <w:szCs w:val="21"/>
                <w:highlight w:val="none"/>
                <w:u w:val="none"/>
              </w:rPr>
              <w:t>兼容国内主流厂商试剂盒和耗材</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含仪器</w:t>
            </w:r>
            <w:r>
              <w:rPr>
                <w:rFonts w:hint="eastAsia" w:ascii="宋体" w:hAnsi="宋体" w:eastAsia="宋体" w:cs="宋体"/>
                <w:sz w:val="21"/>
                <w:szCs w:val="21"/>
                <w:highlight w:val="none"/>
                <w:u w:val="none"/>
                <w:lang w:val="en-US" w:eastAsia="zh-CN"/>
              </w:rPr>
              <w:t>主机</w:t>
            </w:r>
            <w:r>
              <w:rPr>
                <w:rFonts w:hint="eastAsia" w:ascii="宋体" w:hAnsi="宋体" w:eastAsia="宋体" w:cs="宋体"/>
                <w:sz w:val="21"/>
                <w:szCs w:val="21"/>
                <w:highlight w:val="none"/>
                <w:u w:val="none"/>
              </w:rPr>
              <w:t>、装机试剂盒、数据采集软件、数据分析软件和配套</w:t>
            </w:r>
            <w:r>
              <w:rPr>
                <w:rFonts w:hint="eastAsia" w:ascii="宋体" w:hAnsi="宋体" w:eastAsia="宋体" w:cs="宋体"/>
                <w:sz w:val="21"/>
                <w:szCs w:val="21"/>
                <w:highlight w:val="none"/>
                <w:u w:val="none"/>
                <w:lang w:eastAsia="zh-CN"/>
              </w:rPr>
              <w:t>控制系统</w:t>
            </w:r>
            <w:r>
              <w:rPr>
                <w:rFonts w:hint="eastAsia" w:ascii="宋体" w:hAnsi="宋体" w:eastAsia="宋体" w:cs="宋体"/>
                <w:sz w:val="21"/>
                <w:szCs w:val="21"/>
                <w:highlight w:val="none"/>
                <w:u w:val="none"/>
              </w:rPr>
              <w:t>等</w:t>
            </w:r>
            <w:r>
              <w:rPr>
                <w:rFonts w:hint="eastAsia" w:ascii="宋体" w:hAnsi="宋体" w:eastAsia="宋体" w:cs="宋体"/>
                <w:sz w:val="21"/>
                <w:szCs w:val="21"/>
                <w:highlight w:val="none"/>
                <w:u w:val="none"/>
                <w:lang w:eastAsia="zh-CN"/>
              </w:rPr>
              <w:t>。</w:t>
            </w:r>
          </w:p>
        </w:tc>
      </w:tr>
      <w:tr w14:paraId="253E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top w:val="single" w:color="auto" w:sz="4" w:space="0"/>
              <w:left w:val="single" w:color="auto" w:sz="4" w:space="0"/>
              <w:right w:val="single" w:color="auto" w:sz="4" w:space="0"/>
            </w:tcBorders>
            <w:noWrap w:val="0"/>
            <w:vAlign w:val="center"/>
          </w:tcPr>
          <w:p w14:paraId="7276A2CE">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color w:val="auto"/>
                <w:sz w:val="21"/>
                <w:szCs w:val="21"/>
                <w:highlight w:val="yellow"/>
                <w:u w:val="none"/>
              </w:rPr>
            </w:pPr>
          </w:p>
        </w:tc>
        <w:tc>
          <w:tcPr>
            <w:tcW w:w="7804" w:type="dxa"/>
            <w:tcBorders>
              <w:top w:val="single" w:color="auto" w:sz="4" w:space="0"/>
              <w:left w:val="single" w:color="auto" w:sz="4" w:space="0"/>
              <w:bottom w:val="single" w:color="auto" w:sz="4" w:space="0"/>
              <w:right w:val="single" w:color="auto" w:sz="4" w:space="0"/>
            </w:tcBorders>
            <w:noWrap w:val="0"/>
            <w:vAlign w:val="top"/>
          </w:tcPr>
          <w:p w14:paraId="58633ADE">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b/>
                <w:bCs/>
                <w:sz w:val="21"/>
                <w:szCs w:val="21"/>
                <w:highlight w:val="none"/>
                <w:u w:val="none"/>
                <w:lang w:val="en-US" w:eastAsia="zh-CN"/>
              </w:rPr>
            </w:pPr>
            <w:r>
              <w:rPr>
                <w:rFonts w:hint="eastAsia" w:ascii="宋体" w:hAnsi="宋体" w:eastAsia="宋体" w:cs="宋体"/>
                <w:b/>
                <w:bCs/>
                <w:sz w:val="21"/>
                <w:szCs w:val="21"/>
                <w:highlight w:val="none"/>
                <w:u w:val="none"/>
                <w:lang w:val="en-US" w:eastAsia="zh-CN"/>
              </w:rPr>
              <w:t>2、仪器性能要求：</w:t>
            </w:r>
          </w:p>
          <w:p w14:paraId="43A0214F">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1）</w:t>
            </w:r>
            <w:r>
              <w:rPr>
                <w:rFonts w:hint="eastAsia" w:ascii="宋体" w:hAnsi="宋体" w:eastAsia="宋体" w:cs="宋体"/>
                <w:sz w:val="21"/>
                <w:szCs w:val="21"/>
                <w:highlight w:val="none"/>
                <w:u w:val="none"/>
              </w:rPr>
              <w:t>支持测序功能，在满足高质量测序结果QV＞20条件下</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单次测序长度</w:t>
            </w:r>
            <w:r>
              <w:rPr>
                <w:rFonts w:hint="eastAsia" w:ascii="宋体" w:hAnsi="宋体" w:eastAsia="宋体" w:cs="宋体"/>
                <w:sz w:val="21"/>
                <w:szCs w:val="21"/>
                <w:highlight w:val="none"/>
                <w:u w:val="none"/>
                <w:lang w:val="en-US" w:eastAsia="zh-CN"/>
              </w:rPr>
              <w:t>≥850</w:t>
            </w:r>
            <w:r>
              <w:rPr>
                <w:rFonts w:hint="eastAsia" w:ascii="宋体" w:hAnsi="宋体" w:eastAsia="宋体" w:cs="宋体"/>
                <w:sz w:val="21"/>
                <w:szCs w:val="21"/>
                <w:highlight w:val="none"/>
                <w:u w:val="none"/>
              </w:rPr>
              <w:t>bp</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须提供产品的技术性能资料技术佐证（技术白皮书或产品说明书），并注明证明材料页码</w:t>
            </w:r>
            <w:r>
              <w:rPr>
                <w:rFonts w:hint="eastAsia" w:ascii="宋体" w:hAnsi="宋体" w:eastAsia="宋体" w:cs="宋体"/>
                <w:sz w:val="21"/>
                <w:szCs w:val="21"/>
                <w:u w:val="none"/>
                <w:lang w:eastAsia="zh-CN"/>
              </w:rPr>
              <w:t>】</w:t>
            </w:r>
          </w:p>
          <w:p w14:paraId="501AF4D0">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2）</w:t>
            </w:r>
            <w:r>
              <w:rPr>
                <w:rFonts w:hint="eastAsia" w:ascii="宋体" w:hAnsi="宋体" w:eastAsia="宋体" w:cs="宋体"/>
                <w:sz w:val="21"/>
                <w:szCs w:val="21"/>
                <w:highlight w:val="none"/>
                <w:u w:val="none"/>
              </w:rPr>
              <w:t>多色荧光分析能力，可同时进行≥5色荧光的实时检测</w:t>
            </w:r>
            <w:r>
              <w:rPr>
                <w:rFonts w:hint="eastAsia" w:ascii="宋体" w:hAnsi="宋体" w:eastAsia="宋体" w:cs="宋体"/>
                <w:sz w:val="21"/>
                <w:szCs w:val="21"/>
                <w:highlight w:val="none"/>
                <w:u w:val="none"/>
                <w:lang w:eastAsia="zh-CN"/>
              </w:rPr>
              <w:t>。</w:t>
            </w:r>
          </w:p>
          <w:p w14:paraId="2A56FA07">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3）</w:t>
            </w:r>
            <w:r>
              <w:rPr>
                <w:rFonts w:hint="eastAsia" w:ascii="宋体" w:hAnsi="宋体" w:eastAsia="宋体" w:cs="宋体"/>
                <w:sz w:val="21"/>
                <w:szCs w:val="21"/>
                <w:highlight w:val="none"/>
                <w:u w:val="none"/>
              </w:rPr>
              <w:t>基于激光诱导-荧光检测STR复合扩增技术，</w:t>
            </w:r>
            <w:r>
              <w:rPr>
                <w:rFonts w:hint="eastAsia" w:ascii="宋体" w:hAnsi="宋体" w:eastAsia="宋体" w:cs="宋体"/>
                <w:sz w:val="21"/>
                <w:szCs w:val="21"/>
                <w:highlight w:val="none"/>
                <w:u w:val="none"/>
                <w:lang w:val="en-US" w:eastAsia="zh-CN"/>
              </w:rPr>
              <w:t>单次实验</w:t>
            </w:r>
            <w:r>
              <w:rPr>
                <w:rFonts w:hint="eastAsia" w:ascii="宋体" w:hAnsi="宋体" w:eastAsia="宋体" w:cs="宋体"/>
                <w:sz w:val="21"/>
                <w:szCs w:val="21"/>
                <w:highlight w:val="none"/>
                <w:u w:val="none"/>
              </w:rPr>
              <w:t>可同时检测</w:t>
            </w:r>
            <w:r>
              <w:rPr>
                <w:rFonts w:hint="eastAsia" w:ascii="宋体" w:hAnsi="宋体" w:eastAsia="宋体" w:cs="宋体"/>
                <w:sz w:val="21"/>
                <w:szCs w:val="21"/>
                <w:highlight w:val="none"/>
                <w:u w:val="none"/>
                <w:lang w:val="en-US" w:eastAsia="zh-CN"/>
              </w:rPr>
              <w:t>至少16</w:t>
            </w:r>
            <w:r>
              <w:rPr>
                <w:rFonts w:hint="eastAsia" w:ascii="宋体" w:hAnsi="宋体" w:eastAsia="宋体" w:cs="宋体"/>
                <w:sz w:val="21"/>
                <w:szCs w:val="21"/>
                <w:highlight w:val="none"/>
                <w:u w:val="none"/>
              </w:rPr>
              <w:t>个样品，平均</w:t>
            </w:r>
            <w:r>
              <w:rPr>
                <w:rFonts w:hint="eastAsia" w:ascii="宋体" w:hAnsi="宋体" w:eastAsia="宋体" w:cs="宋体"/>
                <w:sz w:val="21"/>
                <w:szCs w:val="21"/>
                <w:highlight w:val="none"/>
                <w:u w:val="none"/>
                <w:lang w:eastAsia="zh-CN"/>
              </w:rPr>
              <w:t>每组运行</w:t>
            </w:r>
            <w:r>
              <w:rPr>
                <w:rFonts w:hint="eastAsia" w:ascii="宋体" w:hAnsi="宋体" w:eastAsia="宋体" w:cs="宋体"/>
                <w:sz w:val="21"/>
                <w:szCs w:val="21"/>
                <w:highlight w:val="none"/>
                <w:u w:val="none"/>
              </w:rPr>
              <w:t>时间</w:t>
            </w:r>
            <w:r>
              <w:rPr>
                <w:rFonts w:hint="eastAsia" w:ascii="宋体" w:hAnsi="宋体" w:eastAsia="宋体" w:cs="宋体"/>
                <w:sz w:val="21"/>
                <w:szCs w:val="21"/>
                <w:highlight w:val="none"/>
                <w:u w:val="none"/>
                <w:lang w:val="en-US" w:eastAsia="zh-CN"/>
              </w:rPr>
              <w:t>≤45</w:t>
            </w:r>
            <w:r>
              <w:rPr>
                <w:rFonts w:hint="eastAsia" w:ascii="宋体" w:hAnsi="宋体" w:eastAsia="宋体" w:cs="宋体"/>
                <w:sz w:val="21"/>
                <w:szCs w:val="21"/>
                <w:highlight w:val="none"/>
                <w:u w:val="none"/>
              </w:rPr>
              <w:t>min</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每天平均可以处理</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500</w:t>
            </w:r>
            <w:r>
              <w:rPr>
                <w:rFonts w:hint="eastAsia" w:ascii="宋体" w:hAnsi="宋体" w:eastAsia="宋体" w:cs="宋体"/>
                <w:sz w:val="21"/>
                <w:szCs w:val="21"/>
                <w:highlight w:val="none"/>
                <w:u w:val="none"/>
              </w:rPr>
              <w:t>个样品。</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须提供产品的技术性能资料技术佐证（技术白皮书或产品说明书），并注明证明材料页码</w:t>
            </w:r>
            <w:r>
              <w:rPr>
                <w:rFonts w:hint="eastAsia" w:ascii="宋体" w:hAnsi="宋体" w:eastAsia="宋体" w:cs="宋体"/>
                <w:sz w:val="21"/>
                <w:szCs w:val="21"/>
                <w:u w:val="none"/>
                <w:lang w:eastAsia="zh-CN"/>
              </w:rPr>
              <w:t>】</w:t>
            </w:r>
          </w:p>
          <w:p w14:paraId="75549729">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color w:val="auto"/>
                <w:sz w:val="21"/>
                <w:szCs w:val="21"/>
                <w:highlight w:val="yellow"/>
                <w:u w:val="none"/>
              </w:rPr>
            </w:pPr>
            <w:r>
              <w:rPr>
                <w:rFonts w:hint="eastAsia" w:ascii="宋体" w:hAnsi="宋体" w:eastAsia="宋体" w:cs="宋体"/>
                <w:sz w:val="21"/>
                <w:szCs w:val="21"/>
                <w:highlight w:val="none"/>
                <w:u w:val="none"/>
                <w:lang w:val="en-US" w:eastAsia="zh-CN"/>
              </w:rPr>
              <w:t>4）</w:t>
            </w:r>
            <w:r>
              <w:rPr>
                <w:rFonts w:hint="eastAsia" w:ascii="宋体" w:hAnsi="宋体" w:eastAsia="宋体" w:cs="宋体"/>
                <w:sz w:val="21"/>
                <w:szCs w:val="21"/>
                <w:highlight w:val="none"/>
                <w:u w:val="none"/>
              </w:rPr>
              <w:t>片段分析</w:t>
            </w:r>
            <w:r>
              <w:rPr>
                <w:rFonts w:hint="eastAsia" w:ascii="宋体" w:hAnsi="宋体" w:eastAsia="宋体" w:cs="宋体"/>
                <w:strike w:val="0"/>
                <w:sz w:val="21"/>
                <w:szCs w:val="21"/>
                <w:highlight w:val="none"/>
                <w:u w:val="none"/>
              </w:rPr>
              <w:t>：</w:t>
            </w:r>
            <w:r>
              <w:rPr>
                <w:rFonts w:hint="eastAsia" w:ascii="宋体" w:hAnsi="宋体" w:eastAsia="宋体" w:cs="宋体"/>
                <w:sz w:val="21"/>
                <w:szCs w:val="21"/>
                <w:highlight w:val="none"/>
                <w:u w:val="none"/>
              </w:rPr>
              <w:t>检测DNA样本可获得完整、清晰的分型图谱。</w:t>
            </w:r>
          </w:p>
        </w:tc>
      </w:tr>
      <w:tr w14:paraId="7D33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top w:val="single" w:color="auto" w:sz="4" w:space="0"/>
              <w:left w:val="single" w:color="auto" w:sz="4" w:space="0"/>
              <w:right w:val="single" w:color="auto" w:sz="4" w:space="0"/>
            </w:tcBorders>
            <w:noWrap w:val="0"/>
            <w:vAlign w:val="center"/>
          </w:tcPr>
          <w:p w14:paraId="1DDAB2F2">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color w:val="auto"/>
                <w:sz w:val="21"/>
                <w:szCs w:val="21"/>
                <w:highlight w:val="yellow"/>
                <w:u w:val="none"/>
              </w:rPr>
            </w:pPr>
          </w:p>
        </w:tc>
        <w:tc>
          <w:tcPr>
            <w:tcW w:w="7804" w:type="dxa"/>
            <w:tcBorders>
              <w:top w:val="single" w:color="auto" w:sz="4" w:space="0"/>
              <w:left w:val="single" w:color="auto" w:sz="4" w:space="0"/>
              <w:bottom w:val="single" w:color="auto" w:sz="4" w:space="0"/>
              <w:right w:val="single" w:color="auto" w:sz="4" w:space="0"/>
            </w:tcBorders>
            <w:noWrap w:val="0"/>
            <w:vAlign w:val="top"/>
          </w:tcPr>
          <w:p w14:paraId="611BF920">
            <w:pPr>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b/>
                <w:bCs/>
                <w:sz w:val="21"/>
                <w:szCs w:val="21"/>
                <w:highlight w:val="none"/>
                <w:u w:val="none"/>
                <w:lang w:val="en-US" w:eastAsia="zh-CN"/>
              </w:rPr>
            </w:pPr>
            <w:r>
              <w:rPr>
                <w:rFonts w:hint="eastAsia" w:ascii="宋体" w:hAnsi="宋体" w:eastAsia="宋体" w:cs="宋体"/>
                <w:b/>
                <w:bCs/>
                <w:sz w:val="21"/>
                <w:szCs w:val="21"/>
                <w:highlight w:val="none"/>
                <w:u w:val="none"/>
                <w:lang w:val="en-US" w:eastAsia="zh-CN"/>
              </w:rPr>
              <w:t>3、仪器配置要求：</w:t>
            </w:r>
          </w:p>
          <w:p w14:paraId="03DB84D3">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1）≥16</w:t>
            </w:r>
            <w:r>
              <w:rPr>
                <w:rFonts w:hint="eastAsia" w:ascii="宋体" w:hAnsi="宋体" w:eastAsia="宋体" w:cs="宋体"/>
                <w:sz w:val="21"/>
                <w:szCs w:val="21"/>
                <w:highlight w:val="none"/>
                <w:u w:val="none"/>
              </w:rPr>
              <w:t>通道毛细管</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使用≥</w:t>
            </w:r>
            <w:r>
              <w:rPr>
                <w:rFonts w:hint="eastAsia" w:ascii="宋体" w:hAnsi="宋体" w:eastAsia="宋体" w:cs="宋体"/>
                <w:sz w:val="21"/>
                <w:szCs w:val="21"/>
                <w:highlight w:val="none"/>
                <w:u w:val="none"/>
              </w:rPr>
              <w:t>50cm长度的毛细管</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须提供产品的技术性能资料技术佐证（技术白皮书或产品说明书），并注明证明材料页码</w:t>
            </w:r>
            <w:r>
              <w:rPr>
                <w:rFonts w:hint="eastAsia" w:ascii="宋体" w:hAnsi="宋体" w:eastAsia="宋体" w:cs="宋体"/>
                <w:sz w:val="21"/>
                <w:szCs w:val="21"/>
                <w:u w:val="none"/>
                <w:lang w:eastAsia="zh-CN"/>
              </w:rPr>
              <w:t>】</w:t>
            </w:r>
          </w:p>
          <w:p w14:paraId="75F6128E">
            <w:pPr>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2）</w:t>
            </w:r>
            <w:r>
              <w:rPr>
                <w:rFonts w:hint="eastAsia" w:ascii="宋体" w:hAnsi="宋体" w:eastAsia="宋体" w:cs="宋体"/>
                <w:sz w:val="21"/>
                <w:szCs w:val="21"/>
                <w:highlight w:val="none"/>
                <w:u w:val="none"/>
                <w:lang w:eastAsia="zh-CN"/>
              </w:rPr>
              <w:t>进样方式：全自动进样，</w:t>
            </w:r>
            <w:r>
              <w:rPr>
                <w:rFonts w:hint="eastAsia" w:ascii="宋体" w:hAnsi="宋体" w:eastAsia="宋体" w:cs="宋体"/>
                <w:sz w:val="21"/>
                <w:szCs w:val="21"/>
                <w:highlight w:val="none"/>
                <w:u w:val="none"/>
              </w:rPr>
              <w:t>兼容96孔板×2</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普通板或快速板</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rPr>
              <w:t>和8联排管</w:t>
            </w:r>
            <w:r>
              <w:rPr>
                <w:rFonts w:hint="eastAsia" w:ascii="宋体" w:hAnsi="宋体" w:eastAsia="宋体" w:cs="宋体"/>
                <w:sz w:val="21"/>
                <w:szCs w:val="21"/>
                <w:highlight w:val="none"/>
                <w:u w:val="none"/>
                <w:lang w:val="en-US" w:eastAsia="zh-CN"/>
              </w:rPr>
              <w:t>等。</w:t>
            </w:r>
          </w:p>
          <w:p w14:paraId="46E9B7D2">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3）</w:t>
            </w:r>
            <w:r>
              <w:rPr>
                <w:rFonts w:hint="eastAsia" w:ascii="宋体" w:hAnsi="宋体" w:eastAsia="宋体" w:cs="宋体"/>
                <w:color w:val="000000"/>
                <w:sz w:val="21"/>
                <w:szCs w:val="21"/>
                <w:u w:val="none"/>
              </w:rPr>
              <w:t>光路使用多重组合棱镜系统，并采用激光双束激发装置</w:t>
            </w:r>
            <w:r>
              <w:rPr>
                <w:rFonts w:hint="eastAsia" w:ascii="宋体" w:hAnsi="宋体" w:eastAsia="宋体" w:cs="宋体"/>
                <w:color w:val="000000"/>
                <w:sz w:val="21"/>
                <w:szCs w:val="21"/>
                <w:u w:val="none"/>
                <w:lang w:eastAsia="zh-CN"/>
              </w:rPr>
              <w:t>，</w:t>
            </w:r>
            <w:r>
              <w:rPr>
                <w:rFonts w:hint="eastAsia" w:ascii="宋体" w:hAnsi="宋体" w:eastAsia="宋体" w:cs="宋体"/>
                <w:color w:val="000000"/>
                <w:sz w:val="21"/>
                <w:szCs w:val="21"/>
                <w:u w:val="none"/>
                <w:lang w:val="en-US" w:eastAsia="zh-CN"/>
              </w:rPr>
              <w:t>保证能量信号高度均一</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u w:val="none"/>
                <w:lang w:val="en-US" w:eastAsia="zh-CN"/>
              </w:rPr>
              <w:t>须提供产品的技术性能资料技术白皮书或产品说明书，并标注页码</w:t>
            </w:r>
            <w:r>
              <w:rPr>
                <w:rFonts w:hint="eastAsia" w:ascii="宋体" w:hAnsi="宋体" w:eastAsia="宋体" w:cs="宋体"/>
                <w:sz w:val="21"/>
                <w:szCs w:val="21"/>
                <w:highlight w:val="none"/>
                <w:u w:val="none"/>
                <w:lang w:eastAsia="zh-CN"/>
              </w:rPr>
              <w:t>】</w:t>
            </w:r>
          </w:p>
          <w:p w14:paraId="33111773">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u w:val="none"/>
                <w:lang w:eastAsia="zh-CN"/>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4）分光方式采用透射式光栅，</w:t>
            </w:r>
            <w:r>
              <w:rPr>
                <w:rFonts w:hint="eastAsia" w:ascii="宋体" w:hAnsi="宋体" w:eastAsia="宋体" w:cs="宋体"/>
                <w:color w:val="000000"/>
                <w:sz w:val="21"/>
                <w:szCs w:val="21"/>
                <w:u w:val="none"/>
                <w:lang w:val="en-US" w:eastAsia="zh-CN"/>
              </w:rPr>
              <w:t>保证</w:t>
            </w:r>
            <w:r>
              <w:rPr>
                <w:rFonts w:hint="eastAsia" w:ascii="宋体" w:hAnsi="宋体" w:eastAsia="宋体" w:cs="宋体"/>
                <w:color w:val="000000"/>
                <w:sz w:val="21"/>
                <w:szCs w:val="21"/>
                <w:u w:val="none"/>
              </w:rPr>
              <w:t>广谱微弱荧光的激发效率</w:t>
            </w:r>
            <w:r>
              <w:rPr>
                <w:rFonts w:hint="eastAsia" w:ascii="宋体" w:hAnsi="宋体" w:eastAsia="宋体" w:cs="宋体"/>
                <w:color w:val="000000"/>
                <w:sz w:val="21"/>
                <w:szCs w:val="21"/>
                <w:u w:val="none"/>
                <w:lang w:eastAsia="zh-CN"/>
              </w:rPr>
              <w:t>。</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须提供产品的技术性能资料技术佐证（技术白皮书或产品说明书），并注明证明材料页码</w:t>
            </w:r>
            <w:r>
              <w:rPr>
                <w:rFonts w:hint="eastAsia" w:ascii="宋体" w:hAnsi="宋体" w:eastAsia="宋体" w:cs="宋体"/>
                <w:sz w:val="21"/>
                <w:szCs w:val="21"/>
                <w:u w:val="none"/>
                <w:lang w:eastAsia="zh-CN"/>
              </w:rPr>
              <w:t>】</w:t>
            </w:r>
          </w:p>
          <w:p w14:paraId="141196F6">
            <w:pPr>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val="en-US" w:eastAsia="zh-CN"/>
              </w:rPr>
              <w:t>5）</w:t>
            </w:r>
            <w:r>
              <w:rPr>
                <w:rFonts w:hint="eastAsia" w:ascii="宋体" w:hAnsi="宋体" w:eastAsia="宋体" w:cs="宋体"/>
                <w:sz w:val="21"/>
                <w:szCs w:val="21"/>
                <w:highlight w:val="none"/>
                <w:u w:val="none"/>
              </w:rPr>
              <w:t>激光光源：</w:t>
            </w:r>
            <w:r>
              <w:rPr>
                <w:rFonts w:hint="eastAsia" w:ascii="宋体" w:hAnsi="宋体" w:eastAsia="宋体" w:cs="宋体"/>
                <w:sz w:val="21"/>
                <w:szCs w:val="21"/>
                <w:u w:val="none"/>
              </w:rPr>
              <w:t>采用</w:t>
            </w:r>
            <w:r>
              <w:rPr>
                <w:rFonts w:hint="eastAsia" w:ascii="宋体" w:hAnsi="宋体" w:eastAsia="宋体" w:cs="宋体"/>
                <w:color w:val="000000"/>
                <w:sz w:val="21"/>
                <w:szCs w:val="21"/>
                <w:u w:val="none"/>
              </w:rPr>
              <w:t>≥50</w:t>
            </w:r>
            <w:r>
              <w:rPr>
                <w:rFonts w:hint="eastAsia" w:ascii="宋体" w:hAnsi="宋体" w:eastAsia="宋体" w:cs="宋体"/>
                <w:color w:val="000000"/>
                <w:sz w:val="21"/>
                <w:szCs w:val="21"/>
                <w:u w:val="none"/>
                <w:lang w:eastAsia="zh-CN"/>
              </w:rPr>
              <w:t>5</w:t>
            </w:r>
            <w:r>
              <w:rPr>
                <w:rFonts w:hint="eastAsia" w:ascii="宋体" w:hAnsi="宋体" w:eastAsia="宋体" w:cs="宋体"/>
                <w:color w:val="000000"/>
                <w:sz w:val="21"/>
                <w:szCs w:val="21"/>
                <w:u w:val="none"/>
              </w:rPr>
              <w:t>nm单波长固态长寿激光电源，采用标准电源供电</w:t>
            </w:r>
            <w:r>
              <w:rPr>
                <w:rFonts w:hint="eastAsia" w:ascii="宋体" w:hAnsi="宋体" w:eastAsia="宋体" w:cs="宋体"/>
                <w:color w:val="000000"/>
                <w:sz w:val="21"/>
                <w:szCs w:val="21"/>
                <w:u w:val="none"/>
                <w:lang w:eastAsia="zh-CN"/>
              </w:rPr>
              <w:t>，</w:t>
            </w:r>
            <w:r>
              <w:rPr>
                <w:rFonts w:hint="eastAsia" w:ascii="宋体" w:hAnsi="宋体" w:eastAsia="宋体" w:cs="宋体"/>
                <w:color w:val="000000"/>
                <w:sz w:val="21"/>
                <w:szCs w:val="21"/>
                <w:u w:val="none"/>
                <w:lang w:val="en-US" w:eastAsia="zh-CN"/>
              </w:rPr>
              <w:t>确保</w:t>
            </w:r>
            <w:r>
              <w:rPr>
                <w:rFonts w:hint="eastAsia" w:ascii="宋体" w:hAnsi="宋体" w:eastAsia="宋体" w:cs="宋体"/>
                <w:color w:val="000000"/>
                <w:sz w:val="21"/>
                <w:szCs w:val="21"/>
                <w:u w:val="none"/>
              </w:rPr>
              <w:t>激光功率稳定</w:t>
            </w:r>
            <w:r>
              <w:rPr>
                <w:rFonts w:hint="eastAsia" w:ascii="宋体" w:hAnsi="宋体" w:eastAsia="宋体" w:cs="宋体"/>
                <w:sz w:val="21"/>
                <w:szCs w:val="21"/>
                <w:highlight w:val="none"/>
                <w:u w:val="none"/>
              </w:rPr>
              <w:t>。</w:t>
            </w:r>
          </w:p>
          <w:p w14:paraId="36F3B143">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color w:val="000000"/>
                <w:sz w:val="21"/>
                <w:szCs w:val="21"/>
                <w:u w:val="none"/>
                <w:lang w:eastAsia="zh-CN"/>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6）</w:t>
            </w:r>
            <w:r>
              <w:rPr>
                <w:rFonts w:hint="eastAsia" w:ascii="宋体" w:hAnsi="宋体" w:eastAsia="宋体" w:cs="宋体"/>
                <w:sz w:val="21"/>
                <w:szCs w:val="21"/>
                <w:u w:val="none"/>
              </w:rPr>
              <w:t>检测</w:t>
            </w:r>
            <w:r>
              <w:rPr>
                <w:rFonts w:hint="eastAsia" w:ascii="宋体" w:hAnsi="宋体" w:eastAsia="宋体" w:cs="宋体"/>
                <w:sz w:val="21"/>
                <w:szCs w:val="21"/>
                <w:u w:val="none"/>
                <w:lang w:val="en-US" w:eastAsia="zh-CN"/>
              </w:rPr>
              <w:t>器</w:t>
            </w:r>
            <w:r>
              <w:rPr>
                <w:rFonts w:hint="eastAsia" w:ascii="宋体" w:hAnsi="宋体" w:eastAsia="宋体" w:cs="宋体"/>
                <w:sz w:val="21"/>
                <w:szCs w:val="21"/>
                <w:highlight w:val="none"/>
                <w:u w:val="none"/>
              </w:rPr>
              <w:t>采用</w:t>
            </w:r>
            <w:r>
              <w:rPr>
                <w:rFonts w:hint="eastAsia" w:ascii="宋体" w:hAnsi="宋体" w:eastAsia="宋体" w:cs="宋体"/>
                <w:sz w:val="21"/>
                <w:szCs w:val="21"/>
                <w:highlight w:val="none"/>
                <w:u w:val="none"/>
                <w:lang w:eastAsia="zh-CN"/>
              </w:rPr>
              <w:t>半导体制冷低噪声</w:t>
            </w:r>
            <w:r>
              <w:rPr>
                <w:rFonts w:hint="eastAsia" w:ascii="宋体" w:hAnsi="宋体" w:eastAsia="宋体" w:cs="宋体"/>
                <w:sz w:val="21"/>
                <w:szCs w:val="21"/>
                <w:highlight w:val="none"/>
                <w:u w:val="none"/>
                <w:lang w:val="en-US" w:eastAsia="zh-CN"/>
              </w:rPr>
              <w:t>CCD</w:t>
            </w:r>
            <w:r>
              <w:rPr>
                <w:rFonts w:hint="eastAsia" w:ascii="宋体" w:hAnsi="宋体" w:eastAsia="宋体" w:cs="宋体"/>
                <w:sz w:val="21"/>
                <w:szCs w:val="21"/>
                <w:highlight w:val="none"/>
                <w:u w:val="none"/>
                <w:lang w:eastAsia="zh-CN"/>
              </w:rPr>
              <w:t>成像系统检测全波长光谱，</w:t>
            </w:r>
            <w:r>
              <w:rPr>
                <w:rFonts w:hint="eastAsia" w:ascii="宋体" w:hAnsi="宋体" w:eastAsia="宋体" w:cs="宋体"/>
                <w:sz w:val="21"/>
                <w:szCs w:val="21"/>
                <w:highlight w:val="none"/>
                <w:u w:val="none"/>
                <w:lang w:val="en-US" w:eastAsia="zh-CN"/>
              </w:rPr>
              <w:t>保证采集信号稳定</w:t>
            </w:r>
            <w:r>
              <w:rPr>
                <w:rFonts w:hint="eastAsia" w:ascii="宋体" w:hAnsi="宋体" w:eastAsia="宋体" w:cs="宋体"/>
                <w:color w:val="000000"/>
                <w:sz w:val="21"/>
                <w:szCs w:val="21"/>
                <w:u w:val="none"/>
                <w:lang w:eastAsia="zh-CN"/>
              </w:rPr>
              <w:t>。</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须提供产品的技术性能资料技术佐证（技术白皮书或产品说明书），并注明证明材料页码</w:t>
            </w:r>
            <w:r>
              <w:rPr>
                <w:rFonts w:hint="eastAsia" w:ascii="宋体" w:hAnsi="宋体" w:eastAsia="宋体" w:cs="宋体"/>
                <w:sz w:val="21"/>
                <w:szCs w:val="21"/>
                <w:u w:val="none"/>
                <w:lang w:eastAsia="zh-CN"/>
              </w:rPr>
              <w:t>】</w:t>
            </w:r>
          </w:p>
          <w:p w14:paraId="5235AEC0">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highlight w:val="none"/>
                <w:u w:val="none"/>
                <w:lang w:eastAsia="zh-CN"/>
              </w:rPr>
              <w:t>▲</w:t>
            </w:r>
            <w:r>
              <w:rPr>
                <w:rFonts w:hint="eastAsia" w:ascii="宋体" w:hAnsi="宋体" w:eastAsia="宋体" w:cs="宋体"/>
                <w:color w:val="000000"/>
                <w:sz w:val="21"/>
                <w:szCs w:val="21"/>
                <w:u w:val="none"/>
                <w:lang w:val="en-US" w:eastAsia="zh-CN"/>
              </w:rPr>
              <w:t>7）配套控制系统：不少于双系统设计，</w:t>
            </w:r>
            <w:r>
              <w:rPr>
                <w:rFonts w:hint="eastAsia" w:ascii="宋体" w:hAnsi="宋体" w:eastAsia="宋体" w:cs="宋体"/>
                <w:kern w:val="0"/>
                <w:sz w:val="21"/>
                <w:szCs w:val="21"/>
                <w:u w:val="none"/>
                <w:lang w:val="en-US" w:eastAsia="zh-CN"/>
              </w:rPr>
              <w:t>保证在</w:t>
            </w:r>
            <w:r>
              <w:rPr>
                <w:rFonts w:hint="eastAsia" w:ascii="宋体" w:hAnsi="宋体" w:eastAsia="宋体" w:cs="宋体"/>
                <w:sz w:val="21"/>
                <w:szCs w:val="21"/>
                <w:u w:val="none"/>
                <w:lang w:val="en-US" w:eastAsia="zh-CN"/>
              </w:rPr>
              <w:t>任意</w:t>
            </w:r>
            <w:r>
              <w:rPr>
                <w:rFonts w:hint="eastAsia" w:ascii="宋体" w:hAnsi="宋体" w:eastAsia="宋体" w:cs="宋体"/>
                <w:kern w:val="0"/>
                <w:sz w:val="21"/>
                <w:szCs w:val="21"/>
                <w:u w:val="none"/>
                <w:lang w:val="en-US" w:eastAsia="zh-CN"/>
              </w:rPr>
              <w:t>系统下，仪器都能独立的完成检测工作。</w:t>
            </w:r>
            <w:r>
              <w:rPr>
                <w:rFonts w:hint="eastAsia" w:ascii="宋体" w:hAnsi="宋体" w:eastAsia="宋体" w:cs="宋体"/>
                <w:sz w:val="21"/>
                <w:szCs w:val="21"/>
                <w:u w:val="none"/>
                <w:lang w:eastAsia="zh-CN"/>
              </w:rPr>
              <w:t>【</w:t>
            </w:r>
            <w:r>
              <w:rPr>
                <w:rFonts w:hint="eastAsia" w:ascii="宋体" w:hAnsi="宋体" w:eastAsia="宋体" w:cs="宋体"/>
                <w:sz w:val="21"/>
                <w:szCs w:val="21"/>
                <w:u w:val="none"/>
                <w:lang w:val="en-US" w:eastAsia="zh-CN"/>
              </w:rPr>
              <w:t>须提供产品的技术性能资料技术佐证（技术白皮书或产品说明书），并注明证明材料页码</w:t>
            </w:r>
            <w:r>
              <w:rPr>
                <w:rFonts w:hint="eastAsia" w:ascii="宋体" w:hAnsi="宋体" w:eastAsia="宋体" w:cs="宋体"/>
                <w:sz w:val="21"/>
                <w:szCs w:val="21"/>
                <w:u w:val="none"/>
                <w:lang w:eastAsia="zh-CN"/>
              </w:rPr>
              <w:t>】</w:t>
            </w:r>
          </w:p>
          <w:p w14:paraId="7816E00D">
            <w:pPr>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8）</w:t>
            </w:r>
            <w:r>
              <w:rPr>
                <w:rFonts w:hint="eastAsia" w:ascii="宋体" w:hAnsi="宋体" w:eastAsia="宋体" w:cs="宋体"/>
                <w:sz w:val="21"/>
                <w:szCs w:val="21"/>
                <w:highlight w:val="none"/>
                <w:u w:val="none"/>
              </w:rPr>
              <w:t>操作模式：自动灌胶、上样、电泳分析、检测及数据分析，无需人工干预。</w:t>
            </w:r>
          </w:p>
          <w:p w14:paraId="5DB20C52">
            <w:pPr>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lang w:val="en-US" w:eastAsia="zh-CN"/>
              </w:rPr>
              <w:t>9）</w:t>
            </w:r>
            <w:r>
              <w:rPr>
                <w:rFonts w:hint="eastAsia" w:ascii="宋体" w:hAnsi="宋体" w:eastAsia="宋体" w:cs="宋体"/>
                <w:sz w:val="21"/>
                <w:szCs w:val="21"/>
                <w:highlight w:val="none"/>
                <w:u w:val="none"/>
              </w:rPr>
              <w:t>样品编表智能化：染料集、运行模式、优先级、光谱校正标准调整时可按运行组自动更改；支持优先级自动填充和可调；支持已运行样品表自动重命名后运行</w:t>
            </w:r>
            <w:r>
              <w:rPr>
                <w:rFonts w:hint="eastAsia" w:ascii="宋体" w:hAnsi="宋体" w:eastAsia="宋体" w:cs="宋体"/>
                <w:sz w:val="21"/>
                <w:szCs w:val="21"/>
                <w:highlight w:val="none"/>
                <w:u w:val="none"/>
                <w:lang w:eastAsia="zh-CN"/>
              </w:rPr>
              <w:t>。</w:t>
            </w:r>
          </w:p>
          <w:p w14:paraId="25E4DADA">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color w:val="auto"/>
                <w:sz w:val="21"/>
                <w:szCs w:val="21"/>
                <w:highlight w:val="yellow"/>
                <w:u w:val="none"/>
              </w:rPr>
            </w:pPr>
            <w:r>
              <w:rPr>
                <w:rFonts w:hint="eastAsia" w:ascii="宋体" w:hAnsi="宋体" w:eastAsia="宋体" w:cs="宋体"/>
                <w:sz w:val="21"/>
                <w:szCs w:val="21"/>
                <w:highlight w:val="none"/>
                <w:u w:val="none"/>
                <w:lang w:val="en-US" w:eastAsia="zh-CN"/>
              </w:rPr>
              <w:t>10）</w:t>
            </w:r>
            <w:r>
              <w:rPr>
                <w:rFonts w:hint="eastAsia" w:ascii="宋体" w:hAnsi="宋体" w:eastAsia="宋体" w:cs="宋体"/>
                <w:sz w:val="21"/>
                <w:szCs w:val="21"/>
                <w:highlight w:val="none"/>
                <w:u w:val="none"/>
              </w:rPr>
              <w:t>仪器状态监控：样品盘检测状态清晰可辨，实时显示在检、已检、待检测运行组；仪器激光、恒温箱、高压电源、制冷、环境温度等</w:t>
            </w:r>
            <w:r>
              <w:rPr>
                <w:rFonts w:hint="eastAsia" w:ascii="宋体" w:hAnsi="宋体" w:eastAsia="宋体" w:cs="宋体"/>
                <w:sz w:val="21"/>
                <w:szCs w:val="21"/>
                <w:highlight w:val="none"/>
                <w:u w:val="none"/>
                <w:lang w:val="en-US" w:eastAsia="zh-CN"/>
              </w:rPr>
              <w:t>可</w:t>
            </w:r>
            <w:r>
              <w:rPr>
                <w:rFonts w:hint="eastAsia" w:ascii="宋体" w:hAnsi="宋体" w:eastAsia="宋体" w:cs="宋体"/>
                <w:sz w:val="21"/>
                <w:szCs w:val="21"/>
                <w:highlight w:val="none"/>
                <w:u w:val="none"/>
              </w:rPr>
              <w:t>实时监控</w:t>
            </w:r>
            <w:r>
              <w:rPr>
                <w:rFonts w:hint="eastAsia" w:ascii="宋体" w:hAnsi="宋体" w:eastAsia="宋体" w:cs="宋体"/>
                <w:sz w:val="21"/>
                <w:szCs w:val="21"/>
                <w:highlight w:val="none"/>
                <w:u w:val="none"/>
                <w:lang w:eastAsia="zh-CN"/>
              </w:rPr>
              <w:t>。</w:t>
            </w:r>
          </w:p>
        </w:tc>
      </w:tr>
      <w:tr w14:paraId="1CFB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26" w:type="dxa"/>
            <w:vMerge w:val="continue"/>
            <w:tcBorders>
              <w:top w:val="single" w:color="auto" w:sz="4" w:space="0"/>
              <w:left w:val="single" w:color="auto" w:sz="4" w:space="0"/>
              <w:right w:val="single" w:color="auto" w:sz="4" w:space="0"/>
            </w:tcBorders>
            <w:noWrap w:val="0"/>
            <w:vAlign w:val="center"/>
          </w:tcPr>
          <w:p w14:paraId="0C8023A9">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sz w:val="21"/>
                <w:szCs w:val="21"/>
                <w:u w:val="none"/>
              </w:rPr>
            </w:pPr>
          </w:p>
        </w:tc>
        <w:tc>
          <w:tcPr>
            <w:tcW w:w="7804" w:type="dxa"/>
            <w:tcBorders>
              <w:top w:val="single" w:color="auto" w:sz="4" w:space="0"/>
              <w:left w:val="single" w:color="auto" w:sz="4" w:space="0"/>
              <w:bottom w:val="single" w:color="auto" w:sz="4" w:space="0"/>
              <w:right w:val="single" w:color="auto" w:sz="4" w:space="0"/>
            </w:tcBorders>
            <w:noWrap w:val="0"/>
            <w:vAlign w:val="top"/>
          </w:tcPr>
          <w:p w14:paraId="108DE8FC">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b/>
                <w:bCs/>
                <w:sz w:val="21"/>
                <w:szCs w:val="21"/>
                <w:highlight w:val="none"/>
                <w:u w:val="none"/>
                <w:lang w:val="en-US" w:eastAsia="zh-CN"/>
              </w:rPr>
            </w:pPr>
            <w:r>
              <w:rPr>
                <w:rFonts w:hint="eastAsia" w:ascii="宋体" w:hAnsi="宋体" w:eastAsia="宋体" w:cs="宋体"/>
                <w:b/>
                <w:bCs/>
                <w:sz w:val="21"/>
                <w:szCs w:val="21"/>
                <w:highlight w:val="none"/>
                <w:u w:val="none"/>
                <w:lang w:val="en-US" w:eastAsia="zh-CN"/>
              </w:rPr>
              <w:t>4、数据处理要求：</w:t>
            </w:r>
          </w:p>
          <w:p w14:paraId="29581B67">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val="en-US" w:eastAsia="zh-CN"/>
              </w:rPr>
              <w:t>1)</w:t>
            </w:r>
            <w:r>
              <w:rPr>
                <w:rFonts w:hint="eastAsia" w:ascii="宋体" w:hAnsi="宋体" w:eastAsia="宋体" w:cs="宋体"/>
                <w:sz w:val="21"/>
                <w:szCs w:val="21"/>
                <w:highlight w:val="none"/>
                <w:u w:val="none"/>
              </w:rPr>
              <w:t>具备自动和手工分析功能</w:t>
            </w:r>
            <w:r>
              <w:rPr>
                <w:rFonts w:hint="eastAsia" w:ascii="宋体" w:hAnsi="宋体" w:eastAsia="宋体" w:cs="宋体"/>
                <w:sz w:val="21"/>
                <w:szCs w:val="21"/>
                <w:highlight w:val="none"/>
                <w:u w:val="none"/>
                <w:lang w:eastAsia="zh-CN"/>
              </w:rPr>
              <w:t>；</w:t>
            </w:r>
          </w:p>
          <w:p w14:paraId="5F4F5670">
            <w:pPr>
              <w:pStyle w:val="56"/>
              <w:keepNext w:val="0"/>
              <w:keepLines w:val="0"/>
              <w:pageBreakBefore w:val="0"/>
              <w:kinsoku/>
              <w:wordWrap/>
              <w:overflowPunct/>
              <w:topLinePunct w:val="0"/>
              <w:bidi w:val="0"/>
              <w:snapToGrid/>
              <w:spacing w:beforeAutospacing="0" w:afterAutospacing="0" w:line="360" w:lineRule="auto"/>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2)</w:t>
            </w:r>
            <w:r>
              <w:rPr>
                <w:rFonts w:hint="eastAsia" w:ascii="宋体" w:hAnsi="宋体" w:eastAsia="宋体" w:cs="宋体"/>
                <w:sz w:val="21"/>
                <w:szCs w:val="21"/>
                <w:highlight w:val="none"/>
                <w:u w:val="none"/>
              </w:rPr>
              <w:t>支持</w:t>
            </w:r>
            <w:r>
              <w:rPr>
                <w:rFonts w:hint="eastAsia" w:ascii="宋体" w:hAnsi="宋体" w:eastAsia="宋体" w:cs="宋体"/>
                <w:sz w:val="21"/>
                <w:szCs w:val="21"/>
                <w:highlight w:val="none"/>
                <w:u w:val="none"/>
                <w:lang w:val="en-US" w:eastAsia="zh-CN"/>
              </w:rPr>
              <w:t>国内基因分析仪</w:t>
            </w:r>
            <w:r>
              <w:rPr>
                <w:rFonts w:hint="eastAsia" w:ascii="宋体" w:hAnsi="宋体" w:eastAsia="宋体" w:cs="宋体"/>
                <w:sz w:val="21"/>
                <w:szCs w:val="21"/>
                <w:highlight w:val="none"/>
                <w:u w:val="none"/>
              </w:rPr>
              <w:t>数据格式，操作简单</w:t>
            </w:r>
            <w:r>
              <w:rPr>
                <w:rFonts w:hint="eastAsia" w:ascii="宋体" w:hAnsi="宋体" w:eastAsia="宋体" w:cs="宋体"/>
                <w:sz w:val="21"/>
                <w:szCs w:val="21"/>
                <w:highlight w:val="none"/>
                <w:u w:val="none"/>
                <w:lang w:eastAsia="zh-CN"/>
              </w:rPr>
              <w:t>；</w:t>
            </w:r>
          </w:p>
          <w:p w14:paraId="1703AEC5">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color w:val="000000"/>
                <w:sz w:val="21"/>
                <w:szCs w:val="21"/>
                <w:u w:val="none"/>
              </w:rPr>
            </w:pPr>
            <w:r>
              <w:rPr>
                <w:rFonts w:hint="eastAsia" w:ascii="宋体" w:hAnsi="宋体" w:eastAsia="宋体" w:cs="宋体"/>
                <w:sz w:val="21"/>
                <w:szCs w:val="21"/>
                <w:highlight w:val="none"/>
                <w:u w:val="none"/>
                <w:lang w:val="en-US" w:eastAsia="zh-CN"/>
              </w:rPr>
              <w:t>3)可用于数据的分析、显示、编辑、保存和打印。</w:t>
            </w:r>
          </w:p>
        </w:tc>
      </w:tr>
      <w:tr w14:paraId="4794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326" w:type="dxa"/>
            <w:vMerge w:val="continue"/>
            <w:tcBorders>
              <w:top w:val="single" w:color="auto" w:sz="4" w:space="0"/>
              <w:left w:val="single" w:color="auto" w:sz="4" w:space="0"/>
              <w:right w:val="single" w:color="auto" w:sz="4" w:space="0"/>
            </w:tcBorders>
            <w:noWrap w:val="0"/>
            <w:vAlign w:val="center"/>
          </w:tcPr>
          <w:p w14:paraId="5EC308D7">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sz w:val="21"/>
                <w:szCs w:val="21"/>
                <w:u w:val="none"/>
              </w:rPr>
            </w:pPr>
          </w:p>
        </w:tc>
        <w:tc>
          <w:tcPr>
            <w:tcW w:w="7804" w:type="dxa"/>
            <w:tcBorders>
              <w:top w:val="single" w:color="auto" w:sz="4" w:space="0"/>
              <w:left w:val="single" w:color="auto" w:sz="4" w:space="0"/>
              <w:bottom w:val="single" w:color="auto" w:sz="4" w:space="0"/>
              <w:right w:val="single" w:color="auto" w:sz="4" w:space="0"/>
            </w:tcBorders>
            <w:noWrap w:val="0"/>
            <w:vAlign w:val="top"/>
          </w:tcPr>
          <w:p w14:paraId="794549A7">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b/>
                <w:bCs/>
                <w:sz w:val="21"/>
                <w:szCs w:val="21"/>
                <w:highlight w:val="none"/>
                <w:u w:val="none"/>
                <w:lang w:val="en-US" w:eastAsia="zh-CN"/>
              </w:rPr>
            </w:pPr>
            <w:r>
              <w:rPr>
                <w:rFonts w:hint="eastAsia" w:ascii="宋体" w:hAnsi="宋体" w:eastAsia="宋体" w:cs="宋体"/>
                <w:b/>
                <w:color w:val="auto"/>
                <w:sz w:val="21"/>
                <w:szCs w:val="21"/>
                <w:u w:val="none"/>
              </w:rPr>
              <w:t>★</w:t>
            </w:r>
            <w:r>
              <w:rPr>
                <w:rFonts w:hint="eastAsia" w:ascii="宋体" w:hAnsi="宋体" w:eastAsia="宋体" w:cs="宋体"/>
                <w:b/>
                <w:bCs/>
                <w:sz w:val="21"/>
                <w:szCs w:val="21"/>
                <w:highlight w:val="none"/>
                <w:u w:val="none"/>
                <w:lang w:val="en-US" w:eastAsia="zh-CN"/>
              </w:rPr>
              <w:t>5、仪器配套要求:</w:t>
            </w:r>
          </w:p>
          <w:p w14:paraId="1C808970">
            <w:pPr>
              <w:keepNext w:val="0"/>
              <w:keepLines w:val="0"/>
              <w:pageBreakBefore w:val="0"/>
              <w:kinsoku/>
              <w:wordWrap/>
              <w:overflowPunct/>
              <w:topLinePunct w:val="0"/>
              <w:bidi w:val="0"/>
              <w:snapToGrid/>
              <w:spacing w:beforeAutospacing="0" w:afterAutospacing="0" w:line="360" w:lineRule="auto"/>
              <w:jc w:val="left"/>
              <w:textAlignment w:val="auto"/>
              <w:rPr>
                <w:rFonts w:hint="eastAsia" w:ascii="宋体" w:hAnsi="宋体" w:eastAsia="宋体" w:cs="宋体"/>
                <w:color w:val="000000"/>
                <w:sz w:val="21"/>
                <w:szCs w:val="21"/>
                <w:u w:val="none"/>
              </w:rPr>
            </w:pPr>
            <w:r>
              <w:rPr>
                <w:rFonts w:hint="eastAsia" w:ascii="宋体" w:hAnsi="宋体" w:eastAsia="宋体" w:cs="宋体"/>
                <w:sz w:val="21"/>
                <w:szCs w:val="21"/>
                <w:highlight w:val="none"/>
                <w:u w:val="none"/>
              </w:rPr>
              <w:t>电泳分析仪1台，配套1台电脑，数据采集软件1套，数据分析软件1套，控制系统1套，装机试剂盒1套，凝胶成像系统</w:t>
            </w:r>
            <w:r>
              <w:rPr>
                <w:rFonts w:hint="eastAsia" w:ascii="宋体" w:hAnsi="宋体" w:eastAsia="宋体" w:cs="宋体"/>
                <w:sz w:val="21"/>
                <w:szCs w:val="21"/>
                <w:highlight w:val="none"/>
                <w:u w:val="none"/>
                <w:lang w:val="en-US" w:eastAsia="zh-CN"/>
              </w:rPr>
              <w:t>工作站</w:t>
            </w:r>
            <w:r>
              <w:rPr>
                <w:rFonts w:hint="eastAsia" w:ascii="宋体" w:hAnsi="宋体" w:eastAsia="宋体" w:cs="宋体"/>
                <w:sz w:val="21"/>
                <w:szCs w:val="21"/>
                <w:highlight w:val="none"/>
                <w:u w:val="none"/>
              </w:rPr>
              <w:t xml:space="preserve"> 1台，电泳仪电源1台，电泳仪水平槽1个。</w:t>
            </w:r>
          </w:p>
        </w:tc>
      </w:tr>
    </w:tbl>
    <w:p w14:paraId="6F79FB21">
      <w:pPr>
        <w:pStyle w:val="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cs="宋体"/>
          <w:b/>
          <w:sz w:val="28"/>
          <w:szCs w:val="28"/>
          <w:lang w:val="en-US" w:eastAsia="zh-CN"/>
        </w:rPr>
        <w:t>四</w:t>
      </w:r>
      <w:r>
        <w:rPr>
          <w:rFonts w:hint="eastAsia" w:ascii="宋体" w:hAnsi="宋体" w:eastAsia="宋体" w:cs="宋体"/>
          <w:b/>
          <w:sz w:val="28"/>
          <w:szCs w:val="28"/>
        </w:rPr>
        <w:t>、商务需求</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1562"/>
        <w:gridCol w:w="5756"/>
      </w:tblGrid>
      <w:tr w14:paraId="6F1F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5" w:type="pct"/>
            <w:noWrap w:val="0"/>
            <w:vAlign w:val="center"/>
          </w:tcPr>
          <w:p w14:paraId="7649046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917" w:type="pct"/>
            <w:noWrap w:val="0"/>
            <w:vAlign w:val="center"/>
          </w:tcPr>
          <w:p w14:paraId="50B2CB6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目录</w:t>
            </w:r>
          </w:p>
        </w:tc>
        <w:tc>
          <w:tcPr>
            <w:tcW w:w="3377" w:type="pct"/>
            <w:noWrap w:val="0"/>
            <w:vAlign w:val="center"/>
          </w:tcPr>
          <w:p w14:paraId="2BE12373">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招标商务需求</w:t>
            </w:r>
          </w:p>
        </w:tc>
      </w:tr>
      <w:tr w14:paraId="6E12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4EBBFC8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（一）免费保修期内售后服务要求</w:t>
            </w:r>
          </w:p>
        </w:tc>
      </w:tr>
      <w:tr w14:paraId="12C57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noWrap w:val="0"/>
            <w:vAlign w:val="center"/>
          </w:tcPr>
          <w:p w14:paraId="5832D4B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917" w:type="pct"/>
            <w:noWrap w:val="0"/>
            <w:vAlign w:val="center"/>
          </w:tcPr>
          <w:p w14:paraId="1E72D46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★维修响应及故障解决时间</w:t>
            </w:r>
          </w:p>
        </w:tc>
        <w:tc>
          <w:tcPr>
            <w:tcW w:w="3377" w:type="pct"/>
            <w:noWrap w:val="0"/>
            <w:vAlign w:val="top"/>
          </w:tcPr>
          <w:p w14:paraId="0DCD724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highlight w:val="none"/>
              </w:rPr>
              <w:t>由设备制造商</w:t>
            </w:r>
            <w:r>
              <w:rPr>
                <w:rFonts w:hint="eastAsia" w:ascii="宋体" w:hAnsi="宋体" w:eastAsia="宋体" w:cs="宋体"/>
                <w:color w:val="auto"/>
                <w:sz w:val="21"/>
                <w:szCs w:val="21"/>
                <w:highlight w:val="none"/>
                <w:lang w:eastAsia="zh-CN"/>
              </w:rPr>
              <w:t>或制造商授权认可的代理商</w:t>
            </w:r>
            <w:r>
              <w:rPr>
                <w:rFonts w:hint="eastAsia" w:ascii="宋体" w:hAnsi="宋体" w:eastAsia="宋体" w:cs="宋体"/>
                <w:color w:val="auto"/>
                <w:sz w:val="21"/>
                <w:szCs w:val="21"/>
                <w:highlight w:val="none"/>
              </w:rPr>
              <w:t>提供售后服务</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z w:val="21"/>
                <w:szCs w:val="21"/>
              </w:rPr>
              <w:t>在保修期内，一旦发生质量问题，投标人保证在接到通知</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rPr>
              <w:t>小时内响应，24小时维修到位（不可抗力情况除外）。消耗品和零配件供应及时。</w:t>
            </w:r>
          </w:p>
        </w:tc>
      </w:tr>
      <w:tr w14:paraId="7D4F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noWrap w:val="0"/>
            <w:vAlign w:val="center"/>
          </w:tcPr>
          <w:p w14:paraId="4C28FDB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p>
        </w:tc>
        <w:tc>
          <w:tcPr>
            <w:tcW w:w="917" w:type="pct"/>
            <w:noWrap w:val="0"/>
            <w:vAlign w:val="center"/>
          </w:tcPr>
          <w:p w14:paraId="470D655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关于保修期</w:t>
            </w:r>
          </w:p>
        </w:tc>
        <w:tc>
          <w:tcPr>
            <w:tcW w:w="3377" w:type="pct"/>
            <w:noWrap w:val="0"/>
            <w:vAlign w:val="top"/>
          </w:tcPr>
          <w:p w14:paraId="2B5B1979">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ascii="宋体" w:hAnsi="宋体" w:eastAsia="宋体" w:cs="宋体"/>
                <w:bCs/>
                <w:color w:val="auto"/>
                <w:sz w:val="21"/>
                <w:szCs w:val="21"/>
                <w:highlight w:val="none"/>
              </w:rPr>
              <w:t>货物免费保修期</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spacing w:val="-3"/>
                <w:sz w:val="21"/>
                <w:szCs w:val="21"/>
                <w:highlight w:val="none"/>
                <w:lang w:eastAsia="zh-CN"/>
              </w:rPr>
              <w:t>（包含</w:t>
            </w:r>
            <w:r>
              <w:rPr>
                <w:rFonts w:hint="eastAsia" w:ascii="宋体" w:hAnsi="宋体" w:eastAsia="宋体" w:cs="宋体"/>
                <w:spacing w:val="-3"/>
                <w:sz w:val="21"/>
                <w:szCs w:val="21"/>
                <w:highlight w:val="none"/>
              </w:rPr>
              <w:t>所有第三方配套设备</w:t>
            </w:r>
            <w:r>
              <w:rPr>
                <w:rFonts w:hint="eastAsia" w:ascii="宋体" w:hAnsi="宋体" w:eastAsia="宋体" w:cs="宋体"/>
                <w:spacing w:val="-3"/>
                <w:sz w:val="21"/>
                <w:szCs w:val="21"/>
                <w:highlight w:val="none"/>
                <w:lang w:eastAsia="zh-CN"/>
              </w:rPr>
              <w:t>），</w:t>
            </w:r>
            <w:r>
              <w:rPr>
                <w:rFonts w:hint="eastAsia" w:ascii="宋体" w:hAnsi="宋体" w:eastAsia="宋体" w:cs="宋体"/>
                <w:sz w:val="21"/>
                <w:szCs w:val="21"/>
                <w:highlight w:val="none"/>
              </w:rPr>
              <w:t>时间自最终验收合格并交付使用之日起计</w:t>
            </w:r>
            <w:r>
              <w:rPr>
                <w:rFonts w:hint="eastAsia" w:ascii="宋体" w:hAnsi="宋体" w:eastAsia="宋体" w:cs="宋体"/>
                <w:spacing w:val="-1"/>
                <w:sz w:val="21"/>
                <w:szCs w:val="21"/>
                <w:highlight w:val="none"/>
              </w:rPr>
              <w:t>算</w:t>
            </w:r>
            <w:r>
              <w:rPr>
                <w:rFonts w:hint="eastAsia" w:ascii="宋体" w:hAnsi="宋体" w:eastAsia="宋体" w:cs="宋体"/>
                <w:sz w:val="21"/>
                <w:szCs w:val="21"/>
                <w:highlight w:val="none"/>
              </w:rPr>
              <w:t>且延续保修年度费用不超过设备中标价的5%。</w:t>
            </w:r>
          </w:p>
          <w:p w14:paraId="6BBEA9BF">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2.</w:t>
            </w:r>
            <w:r>
              <w:rPr>
                <w:rFonts w:hint="eastAsia" w:ascii="宋体" w:hAnsi="宋体" w:eastAsia="宋体" w:cs="宋体"/>
                <w:sz w:val="21"/>
                <w:szCs w:val="21"/>
                <w:highlight w:val="none"/>
                <w:lang w:val="en-US" w:eastAsia="zh-CN"/>
              </w:rPr>
              <w:t>中标人</w:t>
            </w:r>
            <w:r>
              <w:rPr>
                <w:rFonts w:hint="eastAsia" w:ascii="宋体" w:hAnsi="宋体" w:eastAsia="宋体" w:cs="宋体"/>
                <w:sz w:val="21"/>
                <w:szCs w:val="21"/>
                <w:highlight w:val="none"/>
              </w:rPr>
              <w:t>应依据</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要求，在数据安全全生命周期（即数据采集、存储、处理、传输、交换和销毁）中对应用系统进行安全建设、维护、更新。依据网络与信息安全“同步规划，同步建设，同步运行”的三同步要求，在系统设计时依据医疗卫生行业标准结合项目实际加入安全防护，包括但不限于信息安全、安全审计、容灾备份、安全基线配置等</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。配合</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积极完成应用系统信息及数据安全改造。积极配合</w:t>
            </w:r>
            <w:r>
              <w:rPr>
                <w:rFonts w:hint="eastAsia" w:ascii="宋体" w:hAnsi="宋体" w:eastAsia="宋体" w:cs="宋体"/>
                <w:sz w:val="21"/>
                <w:szCs w:val="21"/>
                <w:highlight w:val="none"/>
                <w:lang w:val="en-US" w:eastAsia="zh-CN"/>
              </w:rPr>
              <w:t>采购人</w:t>
            </w:r>
            <w:r>
              <w:rPr>
                <w:rFonts w:hint="eastAsia" w:ascii="宋体" w:hAnsi="宋体" w:eastAsia="宋体" w:cs="宋体"/>
                <w:sz w:val="21"/>
                <w:szCs w:val="21"/>
                <w:highlight w:val="none"/>
              </w:rPr>
              <w:t>完成各项安全检查工作和漏洞修复工作。每年对业务系统进行一次风险评估和应急演练，出具风险评估报告和应急演练报告提交医院审查留存。</w:t>
            </w:r>
          </w:p>
          <w:p w14:paraId="1CAF2BF5">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3.</w:t>
            </w:r>
            <w:r>
              <w:rPr>
                <w:rFonts w:hint="eastAsia" w:ascii="宋体" w:hAnsi="宋体" w:eastAsia="宋体" w:cs="宋体"/>
                <w:sz w:val="21"/>
                <w:szCs w:val="21"/>
                <w:highlight w:val="none"/>
                <w:lang w:val="en-US" w:eastAsia="zh-CN"/>
              </w:rPr>
              <w:t>保修期内中标人</w:t>
            </w:r>
            <w:r>
              <w:rPr>
                <w:rFonts w:hint="eastAsia" w:ascii="宋体" w:hAnsi="宋体" w:eastAsia="宋体" w:cs="宋体"/>
                <w:sz w:val="21"/>
                <w:szCs w:val="21"/>
                <w:highlight w:val="none"/>
                <w:lang w:eastAsia="zh-CN"/>
              </w:rPr>
              <w:t>须负责完成设备与信息化系统对接工作</w:t>
            </w:r>
            <w:r>
              <w:rPr>
                <w:rFonts w:hint="eastAsia" w:ascii="宋体" w:hAnsi="宋体" w:eastAsia="宋体" w:cs="宋体"/>
                <w:sz w:val="21"/>
                <w:szCs w:val="21"/>
                <w:highlight w:val="none"/>
              </w:rPr>
              <w:t>。</w:t>
            </w:r>
          </w:p>
        </w:tc>
      </w:tr>
      <w:tr w14:paraId="4DB6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noWrap w:val="0"/>
            <w:vAlign w:val="center"/>
          </w:tcPr>
          <w:p w14:paraId="20A43CD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3</w:t>
            </w:r>
          </w:p>
        </w:tc>
        <w:tc>
          <w:tcPr>
            <w:tcW w:w="917" w:type="pct"/>
            <w:noWrap w:val="0"/>
            <w:vAlign w:val="center"/>
          </w:tcPr>
          <w:p w14:paraId="36AD144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★关于保修期</w:t>
            </w:r>
            <w:r>
              <w:rPr>
                <w:rFonts w:hint="eastAsia" w:ascii="宋体" w:hAnsi="宋体" w:eastAsia="宋体" w:cs="宋体"/>
                <w:b w:val="0"/>
                <w:bCs/>
                <w:color w:val="auto"/>
                <w:sz w:val="21"/>
                <w:szCs w:val="21"/>
                <w:lang w:eastAsia="zh-CN"/>
              </w:rPr>
              <w:t>内服务</w:t>
            </w:r>
          </w:p>
        </w:tc>
        <w:tc>
          <w:tcPr>
            <w:tcW w:w="3377" w:type="pct"/>
            <w:noWrap w:val="0"/>
            <w:vAlign w:val="top"/>
          </w:tcPr>
          <w:p w14:paraId="3DA3B05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spacing w:val="-3"/>
                <w:sz w:val="21"/>
                <w:szCs w:val="21"/>
                <w:lang w:eastAsia="zh-CN"/>
              </w:rPr>
              <w:t>投标人</w:t>
            </w:r>
            <w:r>
              <w:rPr>
                <w:rFonts w:hint="eastAsia" w:ascii="宋体" w:hAnsi="宋体" w:eastAsia="宋体" w:cs="宋体"/>
                <w:spacing w:val="-3"/>
                <w:sz w:val="21"/>
                <w:szCs w:val="21"/>
              </w:rPr>
              <w:t>在</w:t>
            </w:r>
            <w:r>
              <w:rPr>
                <w:rFonts w:hint="eastAsia" w:ascii="宋体" w:hAnsi="宋体" w:eastAsia="宋体" w:cs="宋体"/>
                <w:spacing w:val="-3"/>
                <w:sz w:val="21"/>
                <w:szCs w:val="21"/>
                <w:lang w:val="en-US" w:eastAsia="zh-CN"/>
              </w:rPr>
              <w:t>投标</w:t>
            </w:r>
            <w:r>
              <w:rPr>
                <w:rFonts w:hint="eastAsia" w:ascii="宋体" w:hAnsi="宋体" w:eastAsia="宋体" w:cs="宋体"/>
                <w:spacing w:val="-3"/>
                <w:sz w:val="21"/>
                <w:szCs w:val="21"/>
              </w:rPr>
              <w:t>文件中列明各主机、配件和易耗品的免费保修</w:t>
            </w:r>
            <w:r>
              <w:rPr>
                <w:rFonts w:hint="eastAsia" w:ascii="宋体" w:hAnsi="宋体" w:eastAsia="宋体" w:cs="宋体"/>
                <w:spacing w:val="-5"/>
                <w:sz w:val="21"/>
                <w:szCs w:val="21"/>
              </w:rPr>
              <w:t>期限。免费保修期内,主机年度定期预防性维护保养次数应不少于</w:t>
            </w:r>
            <w:r>
              <w:rPr>
                <w:rFonts w:hint="eastAsia" w:ascii="宋体" w:hAnsi="宋体" w:eastAsia="宋体" w:cs="宋体"/>
                <w:spacing w:val="-39"/>
                <w:sz w:val="21"/>
                <w:szCs w:val="21"/>
              </w:rPr>
              <w:t xml:space="preserve"> </w:t>
            </w:r>
            <w:r>
              <w:rPr>
                <w:rFonts w:hint="eastAsia" w:ascii="宋体" w:hAnsi="宋体" w:eastAsia="宋体" w:cs="宋体"/>
                <w:spacing w:val="-5"/>
                <w:sz w:val="21"/>
                <w:szCs w:val="21"/>
              </w:rPr>
              <w:t>4</w:t>
            </w:r>
            <w:r>
              <w:rPr>
                <w:rFonts w:hint="eastAsia" w:ascii="宋体" w:hAnsi="宋体" w:eastAsia="宋体" w:cs="宋体"/>
                <w:spacing w:val="-41"/>
                <w:sz w:val="21"/>
                <w:szCs w:val="21"/>
              </w:rPr>
              <w:t xml:space="preserve"> </w:t>
            </w:r>
            <w:r>
              <w:rPr>
                <w:rFonts w:hint="eastAsia" w:ascii="宋体" w:hAnsi="宋体" w:eastAsia="宋体" w:cs="宋体"/>
                <w:spacing w:val="-5"/>
                <w:sz w:val="21"/>
                <w:szCs w:val="21"/>
              </w:rPr>
              <w:t>次。</w:t>
            </w:r>
            <w:r>
              <w:rPr>
                <w:rFonts w:hint="eastAsia" w:ascii="宋体" w:hAnsi="宋体" w:eastAsia="宋体" w:cs="宋体"/>
                <w:sz w:val="21"/>
                <w:szCs w:val="21"/>
              </w:rPr>
              <w:t xml:space="preserve"> </w:t>
            </w:r>
            <w:r>
              <w:rPr>
                <w:rFonts w:hint="eastAsia" w:ascii="宋体" w:hAnsi="宋体" w:eastAsia="宋体" w:cs="宋体"/>
                <w:spacing w:val="-3"/>
                <w:sz w:val="21"/>
                <w:szCs w:val="21"/>
              </w:rPr>
              <w:t>免费保修期内免费更换零配件、免工时费。</w:t>
            </w:r>
            <w:r>
              <w:rPr>
                <w:rFonts w:hint="eastAsia" w:ascii="宋体" w:hAnsi="宋体" w:eastAsia="宋体" w:cs="宋体"/>
                <w:spacing w:val="-4"/>
                <w:sz w:val="21"/>
                <w:szCs w:val="21"/>
              </w:rPr>
              <w:t>设备在免费保修期内需由原厂进行维修，出原厂维修报告。原厂售后全保包含维修人工及所有配件</w:t>
            </w:r>
            <w:r>
              <w:rPr>
                <w:rFonts w:hint="eastAsia" w:ascii="宋体" w:hAnsi="宋体" w:eastAsia="宋体" w:cs="宋体"/>
                <w:spacing w:val="-3"/>
                <w:sz w:val="21"/>
                <w:szCs w:val="21"/>
              </w:rPr>
              <w:t>及零备件费用, 安装、调试、定期校准及</w:t>
            </w:r>
            <w:r>
              <w:rPr>
                <w:rFonts w:hint="eastAsia" w:ascii="宋体" w:hAnsi="宋体" w:eastAsia="宋体" w:cs="宋体"/>
                <w:spacing w:val="-4"/>
                <w:sz w:val="21"/>
                <w:szCs w:val="21"/>
              </w:rPr>
              <w:t>保</w:t>
            </w:r>
            <w:r>
              <w:rPr>
                <w:rFonts w:hint="eastAsia" w:ascii="宋体" w:hAnsi="宋体" w:eastAsia="宋体" w:cs="宋体"/>
                <w:spacing w:val="-4"/>
                <w:sz w:val="21"/>
                <w:szCs w:val="21"/>
                <w:lang w:val="en-US" w:eastAsia="zh-CN"/>
              </w:rPr>
              <w:t>养</w:t>
            </w:r>
            <w:r>
              <w:rPr>
                <w:rFonts w:hint="eastAsia" w:ascii="宋体" w:hAnsi="宋体" w:eastAsia="宋体" w:cs="宋体"/>
                <w:spacing w:val="-4"/>
                <w:sz w:val="21"/>
                <w:szCs w:val="21"/>
              </w:rPr>
              <w:t>服务全由原厂工程师（合</w:t>
            </w:r>
            <w:r>
              <w:rPr>
                <w:rFonts w:hint="eastAsia" w:ascii="宋体" w:hAnsi="宋体" w:eastAsia="宋体" w:cs="宋体"/>
                <w:spacing w:val="-1"/>
                <w:sz w:val="21"/>
                <w:szCs w:val="21"/>
              </w:rPr>
              <w:t>资格）负责</w:t>
            </w:r>
            <w:r>
              <w:rPr>
                <w:rFonts w:hint="eastAsia" w:ascii="宋体" w:hAnsi="宋体" w:eastAsia="宋体" w:cs="宋体"/>
                <w:spacing w:val="-1"/>
                <w:sz w:val="21"/>
                <w:szCs w:val="21"/>
                <w:lang w:eastAsia="zh-CN"/>
              </w:rPr>
              <w:t>。</w:t>
            </w:r>
            <w:r>
              <w:rPr>
                <w:rFonts w:hint="eastAsia" w:ascii="宋体" w:hAnsi="宋体" w:eastAsia="宋体" w:cs="宋体"/>
                <w:spacing w:val="-3"/>
                <w:sz w:val="21"/>
                <w:szCs w:val="21"/>
              </w:rPr>
              <w:t>由设备制造商提供售后服务，</w:t>
            </w:r>
            <w:r>
              <w:rPr>
                <w:rFonts w:hint="eastAsia" w:ascii="宋体" w:hAnsi="宋体" w:eastAsia="宋体" w:cs="宋体"/>
                <w:spacing w:val="-3"/>
                <w:sz w:val="21"/>
                <w:szCs w:val="21"/>
                <w:u w:val="single" w:color="auto"/>
              </w:rPr>
              <w:t xml:space="preserve"> </w:t>
            </w:r>
            <w:r>
              <w:rPr>
                <w:rFonts w:hint="eastAsia" w:ascii="宋体" w:hAnsi="宋体" w:eastAsia="宋体" w:cs="宋体"/>
                <w:spacing w:val="-3"/>
                <w:sz w:val="21"/>
                <w:szCs w:val="21"/>
                <w:u w:val="single" w:color="auto"/>
                <w:lang w:val="en-US" w:eastAsia="zh-CN"/>
              </w:rPr>
              <w:t>2</w:t>
            </w:r>
            <w:r>
              <w:rPr>
                <w:rFonts w:hint="eastAsia" w:ascii="宋体" w:hAnsi="宋体" w:eastAsia="宋体" w:cs="宋体"/>
                <w:spacing w:val="-3"/>
                <w:sz w:val="21"/>
                <w:szCs w:val="21"/>
                <w:u w:val="single" w:color="auto"/>
              </w:rPr>
              <w:t xml:space="preserve"> </w:t>
            </w:r>
            <w:r>
              <w:rPr>
                <w:rFonts w:hint="eastAsia" w:ascii="宋体" w:hAnsi="宋体" w:eastAsia="宋体" w:cs="宋体"/>
                <w:spacing w:val="-83"/>
                <w:sz w:val="21"/>
                <w:szCs w:val="21"/>
              </w:rPr>
              <w:t xml:space="preserve"> </w:t>
            </w:r>
            <w:r>
              <w:rPr>
                <w:rFonts w:hint="eastAsia" w:ascii="宋体" w:hAnsi="宋体" w:eastAsia="宋体" w:cs="宋体"/>
                <w:spacing w:val="-3"/>
                <w:sz w:val="21"/>
                <w:szCs w:val="21"/>
              </w:rPr>
              <w:t>小时内响应，24</w:t>
            </w:r>
            <w:r>
              <w:rPr>
                <w:rFonts w:hint="eastAsia" w:ascii="宋体" w:hAnsi="宋体" w:eastAsia="宋体" w:cs="宋体"/>
                <w:spacing w:val="-38"/>
                <w:sz w:val="21"/>
                <w:szCs w:val="21"/>
              </w:rPr>
              <w:t xml:space="preserve"> </w:t>
            </w:r>
            <w:r>
              <w:rPr>
                <w:rFonts w:hint="eastAsia" w:ascii="宋体" w:hAnsi="宋体" w:eastAsia="宋体" w:cs="宋体"/>
                <w:spacing w:val="-3"/>
                <w:sz w:val="21"/>
                <w:szCs w:val="21"/>
              </w:rPr>
              <w:t>小时到达现场</w:t>
            </w:r>
            <w:r>
              <w:rPr>
                <w:rFonts w:hint="eastAsia" w:ascii="宋体" w:hAnsi="宋体" w:eastAsia="宋体" w:cs="宋体"/>
                <w:sz w:val="21"/>
                <w:szCs w:val="21"/>
              </w:rPr>
              <w:t xml:space="preserve"> </w:t>
            </w:r>
            <w:r>
              <w:rPr>
                <w:rFonts w:hint="eastAsia" w:ascii="宋体" w:hAnsi="宋体" w:eastAsia="宋体" w:cs="宋体"/>
                <w:spacing w:val="-3"/>
                <w:sz w:val="21"/>
                <w:szCs w:val="21"/>
              </w:rPr>
              <w:t>(包括所有节假日)。备件送达期限：国内＜2天，</w:t>
            </w:r>
            <w:r>
              <w:rPr>
                <w:rFonts w:hint="eastAsia" w:ascii="宋体" w:hAnsi="宋体" w:eastAsia="宋体" w:cs="宋体"/>
                <w:spacing w:val="-25"/>
                <w:sz w:val="21"/>
                <w:szCs w:val="21"/>
              </w:rPr>
              <w:t xml:space="preserve"> </w:t>
            </w:r>
            <w:r>
              <w:rPr>
                <w:rFonts w:hint="eastAsia" w:ascii="宋体" w:hAnsi="宋体" w:eastAsia="宋体" w:cs="宋体"/>
                <w:spacing w:val="-3"/>
                <w:sz w:val="21"/>
                <w:szCs w:val="21"/>
              </w:rPr>
              <w:t>国外</w:t>
            </w:r>
            <w:r>
              <w:rPr>
                <w:rFonts w:hint="eastAsia" w:ascii="宋体" w:hAnsi="宋体" w:eastAsia="宋体" w:cs="宋体"/>
                <w:spacing w:val="-4"/>
                <w:sz w:val="21"/>
                <w:szCs w:val="21"/>
              </w:rPr>
              <w:t>＜4</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天。</w:t>
            </w:r>
          </w:p>
        </w:tc>
      </w:tr>
      <w:tr w14:paraId="03E71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noWrap w:val="0"/>
            <w:vAlign w:val="center"/>
          </w:tcPr>
          <w:p w14:paraId="15C5705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4</w:t>
            </w:r>
          </w:p>
        </w:tc>
        <w:tc>
          <w:tcPr>
            <w:tcW w:w="917" w:type="pct"/>
            <w:noWrap w:val="0"/>
            <w:vAlign w:val="center"/>
          </w:tcPr>
          <w:p w14:paraId="725311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关于维修配件及软件升级</w:t>
            </w:r>
          </w:p>
        </w:tc>
        <w:tc>
          <w:tcPr>
            <w:tcW w:w="3377" w:type="pct"/>
            <w:noWrap w:val="0"/>
            <w:vAlign w:val="top"/>
          </w:tcPr>
          <w:p w14:paraId="551EF33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负责货物的终身维修，保证8年以上供应维修配件， 5 年内免费提供软件升级服务。</w:t>
            </w:r>
            <w:r>
              <w:rPr>
                <w:rFonts w:hint="eastAsia" w:ascii="宋体" w:hAnsi="宋体" w:eastAsia="宋体" w:cs="宋体"/>
                <w:spacing w:val="-2"/>
                <w:sz w:val="21"/>
                <w:szCs w:val="21"/>
              </w:rPr>
              <w:t>免费保修期到期前一个月内成交（中标）供应商需提</w:t>
            </w:r>
            <w:r>
              <w:rPr>
                <w:rFonts w:hint="eastAsia" w:ascii="宋体" w:hAnsi="宋体" w:eastAsia="宋体" w:cs="宋体"/>
                <w:spacing w:val="-3"/>
                <w:sz w:val="21"/>
                <w:szCs w:val="21"/>
              </w:rPr>
              <w:t>供设备运行状</w:t>
            </w:r>
            <w:r>
              <w:rPr>
                <w:rFonts w:hint="eastAsia" w:ascii="宋体" w:hAnsi="宋体" w:eastAsia="宋体" w:cs="宋体"/>
                <w:spacing w:val="-4"/>
                <w:sz w:val="21"/>
                <w:szCs w:val="21"/>
              </w:rPr>
              <w:t>态评估报告及过保后设备维护方案，保证提供有效的非现场技术支持服</w:t>
            </w:r>
            <w:r>
              <w:rPr>
                <w:rFonts w:hint="eastAsia" w:ascii="宋体" w:hAnsi="宋体" w:eastAsia="宋体" w:cs="宋体"/>
                <w:spacing w:val="-3"/>
                <w:sz w:val="21"/>
                <w:szCs w:val="21"/>
              </w:rPr>
              <w:t>务和联系方式。</w:t>
            </w:r>
          </w:p>
        </w:tc>
      </w:tr>
      <w:tr w14:paraId="08A2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noWrap w:val="0"/>
            <w:vAlign w:val="center"/>
          </w:tcPr>
          <w:p w14:paraId="5A3B6F5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917" w:type="pct"/>
            <w:noWrap w:val="0"/>
            <w:vAlign w:val="center"/>
          </w:tcPr>
          <w:p w14:paraId="5850A1A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关于设备设计使用年限</w:t>
            </w:r>
          </w:p>
        </w:tc>
        <w:tc>
          <w:tcPr>
            <w:tcW w:w="3377" w:type="pct"/>
            <w:noWrap w:val="0"/>
            <w:vAlign w:val="top"/>
          </w:tcPr>
          <w:p w14:paraId="77D4A21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投标人提供的仪器设备的设计使用年限</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b/>
                <w:bCs/>
                <w:color w:val="auto"/>
                <w:sz w:val="21"/>
                <w:szCs w:val="21"/>
                <w:highlight w:val="none"/>
              </w:rPr>
              <w:t>【设计</w:t>
            </w:r>
            <w:r>
              <w:rPr>
                <w:rFonts w:hint="eastAsia" w:ascii="宋体" w:hAnsi="宋体" w:eastAsia="宋体" w:cs="宋体"/>
                <w:b/>
                <w:bCs/>
                <w:color w:val="auto"/>
                <w:sz w:val="21"/>
                <w:szCs w:val="21"/>
                <w:highlight w:val="none"/>
                <w:lang w:eastAsia="zh-CN"/>
              </w:rPr>
              <w:t>使用</w:t>
            </w:r>
            <w:r>
              <w:rPr>
                <w:rFonts w:hint="eastAsia" w:ascii="宋体" w:hAnsi="宋体" w:eastAsia="宋体" w:cs="宋体"/>
                <w:b/>
                <w:bCs/>
                <w:color w:val="auto"/>
                <w:sz w:val="21"/>
                <w:szCs w:val="21"/>
                <w:highlight w:val="none"/>
              </w:rPr>
              <w:t>年限需提供设备说明书或由厂家盖章的说明函进行佐证（格式自拟）】</w:t>
            </w:r>
          </w:p>
        </w:tc>
      </w:tr>
      <w:tr w14:paraId="7A2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noWrap w:val="0"/>
            <w:vAlign w:val="center"/>
          </w:tcPr>
          <w:p w14:paraId="0A928A8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6</w:t>
            </w:r>
          </w:p>
        </w:tc>
        <w:tc>
          <w:tcPr>
            <w:tcW w:w="917" w:type="pct"/>
            <w:noWrap w:val="0"/>
            <w:vAlign w:val="center"/>
          </w:tcPr>
          <w:p w14:paraId="3F68A8E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关于设备生产日期</w:t>
            </w:r>
          </w:p>
        </w:tc>
        <w:tc>
          <w:tcPr>
            <w:tcW w:w="3377" w:type="pct"/>
            <w:noWrap w:val="0"/>
            <w:vAlign w:val="top"/>
          </w:tcPr>
          <w:p w14:paraId="5A32DFC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投标人提供的仪器设备的生产日期必须</w:t>
            </w:r>
            <w:r>
              <w:rPr>
                <w:rFonts w:hint="eastAsia" w:ascii="宋体" w:hAnsi="宋体" w:eastAsia="宋体" w:cs="宋体"/>
                <w:color w:val="auto"/>
                <w:sz w:val="21"/>
                <w:szCs w:val="21"/>
                <w:lang w:eastAsia="zh-CN"/>
              </w:rPr>
              <w:t>是在交货前</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年内生产【</w:t>
            </w:r>
            <w:r>
              <w:rPr>
                <w:rFonts w:hint="eastAsia" w:ascii="宋体" w:hAnsi="宋体" w:eastAsia="宋体" w:cs="宋体"/>
                <w:b/>
                <w:bCs/>
                <w:color w:val="auto"/>
                <w:sz w:val="21"/>
                <w:szCs w:val="21"/>
              </w:rPr>
              <w:t>生产日期需提供承诺书（格式自拟）</w:t>
            </w:r>
            <w:r>
              <w:rPr>
                <w:rFonts w:hint="eastAsia" w:ascii="宋体" w:hAnsi="宋体" w:eastAsia="宋体" w:cs="宋体"/>
                <w:color w:val="auto"/>
                <w:sz w:val="21"/>
                <w:szCs w:val="21"/>
              </w:rPr>
              <w:t>】</w:t>
            </w:r>
          </w:p>
        </w:tc>
      </w:tr>
      <w:tr w14:paraId="2910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705" w:type="pct"/>
            <w:noWrap w:val="0"/>
            <w:vAlign w:val="center"/>
          </w:tcPr>
          <w:p w14:paraId="395635F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7</w:t>
            </w:r>
          </w:p>
        </w:tc>
        <w:tc>
          <w:tcPr>
            <w:tcW w:w="917" w:type="pct"/>
            <w:noWrap w:val="0"/>
            <w:vAlign w:val="center"/>
          </w:tcPr>
          <w:p w14:paraId="6CFCF83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lang w:eastAsia="zh-CN"/>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eastAsia="zh-CN"/>
              </w:rPr>
              <w:t>关于配套试剂及耗材</w:t>
            </w:r>
          </w:p>
        </w:tc>
        <w:tc>
          <w:tcPr>
            <w:tcW w:w="3377" w:type="pct"/>
            <w:noWrap w:val="0"/>
            <w:vAlign w:val="top"/>
          </w:tcPr>
          <w:p w14:paraId="30F76F9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rPr>
            </w:pPr>
            <w:r>
              <w:rPr>
                <w:rFonts w:hint="eastAsia" w:ascii="宋体" w:hAnsi="宋体" w:eastAsia="宋体" w:cs="宋体"/>
                <w:b w:val="0"/>
                <w:bCs/>
                <w:color w:val="auto"/>
                <w:sz w:val="21"/>
                <w:szCs w:val="21"/>
                <w:highlight w:val="none"/>
              </w:rPr>
              <w:t>承诺</w:t>
            </w:r>
            <w:r>
              <w:rPr>
                <w:rFonts w:hint="eastAsia" w:ascii="宋体" w:hAnsi="宋体" w:eastAsia="宋体" w:cs="宋体"/>
                <w:b w:val="0"/>
                <w:bCs/>
                <w:color w:val="auto"/>
                <w:sz w:val="21"/>
                <w:szCs w:val="21"/>
                <w:highlight w:val="none"/>
                <w:lang w:eastAsia="zh-CN"/>
              </w:rPr>
              <w:t>可</w:t>
            </w:r>
            <w:r>
              <w:rPr>
                <w:rFonts w:hint="eastAsia" w:ascii="宋体" w:hAnsi="宋体" w:eastAsia="宋体" w:cs="宋体"/>
                <w:b w:val="0"/>
                <w:bCs/>
                <w:color w:val="auto"/>
                <w:sz w:val="21"/>
                <w:szCs w:val="21"/>
                <w:highlight w:val="none"/>
              </w:rPr>
              <w:t>在深圳医用耗材阳光交易和监管平台上采购仪器配套封闭试剂及耗材，</w:t>
            </w:r>
            <w:r>
              <w:rPr>
                <w:rFonts w:hint="eastAsia" w:ascii="宋体" w:hAnsi="宋体" w:eastAsia="宋体" w:cs="宋体"/>
                <w:sz w:val="21"/>
                <w:szCs w:val="21"/>
              </w:rPr>
              <w:t>阳光采购平台上注册为限价目录产品</w:t>
            </w:r>
            <w:r>
              <w:rPr>
                <w:rFonts w:hint="eastAsia" w:ascii="宋体" w:hAnsi="宋体" w:eastAsia="宋体" w:cs="宋体"/>
                <w:sz w:val="21"/>
                <w:szCs w:val="21"/>
                <w:lang w:eastAsia="zh-CN"/>
              </w:rPr>
              <w:t>，</w:t>
            </w:r>
            <w:r>
              <w:rPr>
                <w:rFonts w:hint="eastAsia" w:ascii="宋体" w:hAnsi="宋体" w:eastAsia="宋体" w:cs="宋体"/>
                <w:b w:val="0"/>
                <w:bCs/>
                <w:color w:val="auto"/>
                <w:sz w:val="21"/>
                <w:szCs w:val="21"/>
                <w:highlight w:val="none"/>
              </w:rPr>
              <w:t>并承诺提供深圳市内最低供货价</w:t>
            </w:r>
            <w:r>
              <w:rPr>
                <w:rFonts w:hint="eastAsia" w:ascii="宋体" w:hAnsi="宋体" w:eastAsia="宋体" w:cs="宋体"/>
                <w:b/>
                <w:bCs w:val="0"/>
                <w:color w:val="auto"/>
                <w:sz w:val="21"/>
                <w:szCs w:val="21"/>
                <w:highlight w:val="none"/>
              </w:rPr>
              <w:t>（提供承诺函，承诺函格式自定）。</w:t>
            </w:r>
          </w:p>
        </w:tc>
      </w:tr>
      <w:tr w14:paraId="1BAD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noWrap w:val="0"/>
            <w:vAlign w:val="center"/>
          </w:tcPr>
          <w:p w14:paraId="6B685D2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w:t>
            </w:r>
          </w:p>
        </w:tc>
        <w:tc>
          <w:tcPr>
            <w:tcW w:w="917" w:type="pct"/>
            <w:noWrap w:val="0"/>
            <w:vAlign w:val="center"/>
          </w:tcPr>
          <w:p w14:paraId="31C6026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关于</w:t>
            </w:r>
            <w:r>
              <w:rPr>
                <w:rFonts w:hint="eastAsia" w:ascii="宋体" w:hAnsi="宋体" w:eastAsia="宋体" w:cs="宋体"/>
                <w:b w:val="0"/>
                <w:bCs/>
                <w:color w:val="auto"/>
                <w:sz w:val="21"/>
                <w:szCs w:val="21"/>
                <w:highlight w:val="none"/>
              </w:rPr>
              <w:t>零配件、消耗品和延续保修</w:t>
            </w:r>
          </w:p>
        </w:tc>
        <w:tc>
          <w:tcPr>
            <w:tcW w:w="3377" w:type="pct"/>
            <w:noWrap w:val="0"/>
            <w:vAlign w:val="top"/>
          </w:tcPr>
          <w:p w14:paraId="2616AB3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投标人应</w:t>
            </w:r>
            <w:r>
              <w:rPr>
                <w:rFonts w:hint="eastAsia" w:ascii="宋体" w:hAnsi="宋体" w:eastAsia="宋体" w:cs="宋体"/>
                <w:bCs/>
                <w:color w:val="auto"/>
                <w:sz w:val="21"/>
                <w:szCs w:val="21"/>
                <w:highlight w:val="none"/>
                <w:lang w:eastAsia="zh-CN"/>
              </w:rPr>
              <w:t>提供</w:t>
            </w:r>
            <w:r>
              <w:rPr>
                <w:rFonts w:hint="eastAsia" w:ascii="宋体" w:hAnsi="宋体" w:eastAsia="宋体" w:cs="宋体"/>
                <w:bCs/>
                <w:color w:val="auto"/>
                <w:sz w:val="21"/>
                <w:szCs w:val="21"/>
                <w:highlight w:val="none"/>
              </w:rPr>
              <w:t>维修零配件、消耗品和延续保修</w:t>
            </w:r>
            <w:r>
              <w:rPr>
                <w:rFonts w:hint="eastAsia" w:ascii="宋体" w:hAnsi="宋体" w:eastAsia="宋体" w:cs="宋体"/>
                <w:bCs/>
                <w:color w:val="auto"/>
                <w:sz w:val="21"/>
                <w:szCs w:val="21"/>
                <w:highlight w:val="none"/>
                <w:lang w:eastAsia="zh-CN"/>
              </w:rPr>
              <w:t>的报价单</w:t>
            </w:r>
            <w:r>
              <w:rPr>
                <w:rFonts w:hint="eastAsia" w:ascii="宋体" w:hAnsi="宋体" w:eastAsia="宋体" w:cs="宋体"/>
                <w:bCs/>
                <w:color w:val="auto"/>
                <w:sz w:val="21"/>
                <w:szCs w:val="21"/>
                <w:highlight w:val="none"/>
              </w:rPr>
              <w:t>。价格最高的前</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rPr>
              <w:t>项零配件、消耗品和延续保修的报价明细必须填写于《零配件、消耗品和延续保修报价明细清单》中</w:t>
            </w:r>
            <w:r>
              <w:rPr>
                <w:rFonts w:hint="eastAsia" w:ascii="宋体" w:hAnsi="宋体" w:eastAsia="宋体" w:cs="宋体"/>
                <w:bCs/>
                <w:color w:val="auto"/>
                <w:sz w:val="21"/>
                <w:szCs w:val="21"/>
                <w:highlight w:val="none"/>
                <w:lang w:eastAsia="zh-CN"/>
              </w:rPr>
              <w:t>（清单格式自拟）</w:t>
            </w:r>
            <w:r>
              <w:rPr>
                <w:rFonts w:hint="eastAsia" w:ascii="宋体" w:hAnsi="宋体" w:eastAsia="宋体" w:cs="宋体"/>
                <w:bCs/>
                <w:color w:val="auto"/>
                <w:sz w:val="21"/>
                <w:szCs w:val="21"/>
                <w:highlight w:val="none"/>
              </w:rPr>
              <w:t>。</w:t>
            </w:r>
          </w:p>
        </w:tc>
      </w:tr>
      <w:tr w14:paraId="44D8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05" w:type="pct"/>
            <w:noWrap w:val="0"/>
            <w:vAlign w:val="center"/>
          </w:tcPr>
          <w:p w14:paraId="48CA94F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w:t>
            </w:r>
          </w:p>
        </w:tc>
        <w:tc>
          <w:tcPr>
            <w:tcW w:w="917" w:type="pct"/>
            <w:noWrap w:val="0"/>
            <w:vAlign w:val="center"/>
          </w:tcPr>
          <w:p w14:paraId="6E8022A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关于设备开机率</w:t>
            </w:r>
          </w:p>
        </w:tc>
        <w:tc>
          <w:tcPr>
            <w:tcW w:w="3377" w:type="pct"/>
            <w:noWrap w:val="0"/>
            <w:vAlign w:val="top"/>
          </w:tcPr>
          <w:p w14:paraId="2482E58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在保修期内, 投标人应确保年开机率在95%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含</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以上, 若不能达到此开机率，将作以下处理：</w:t>
            </w:r>
          </w:p>
          <w:p w14:paraId="779CFC10">
            <w:pPr>
              <w:keepNext w:val="0"/>
              <w:keepLines w:val="0"/>
              <w:pageBreakBefore w:val="0"/>
              <w:widowControl w:val="0"/>
              <w:kinsoku/>
              <w:wordWrap/>
              <w:overflowPunct/>
              <w:topLinePunct w:val="0"/>
              <w:autoSpaceDE/>
              <w:autoSpaceDN/>
              <w:bidi w:val="0"/>
              <w:spacing w:line="360" w:lineRule="auto"/>
              <w:ind w:left="420" w:left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A</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年开机率在90（含）-95%（不含）之间按一赔</w:t>
            </w:r>
            <w:r>
              <w:rPr>
                <w:rFonts w:hint="eastAsia" w:ascii="宋体" w:hAnsi="宋体" w:eastAsia="宋体" w:cs="宋体"/>
                <w:bCs/>
                <w:color w:val="auto"/>
                <w:sz w:val="21"/>
                <w:szCs w:val="21"/>
                <w:highlight w:val="none"/>
                <w:u w:val="single"/>
              </w:rPr>
              <w:t xml:space="preserve"> 二 </w:t>
            </w:r>
            <w:r>
              <w:rPr>
                <w:rFonts w:hint="eastAsia" w:ascii="宋体" w:hAnsi="宋体" w:eastAsia="宋体" w:cs="宋体"/>
                <w:bCs/>
                <w:color w:val="auto"/>
                <w:sz w:val="21"/>
                <w:szCs w:val="21"/>
                <w:highlight w:val="none"/>
              </w:rPr>
              <w:t>延长保修期.</w:t>
            </w:r>
          </w:p>
          <w:p w14:paraId="34DDAD78">
            <w:pPr>
              <w:keepNext w:val="0"/>
              <w:keepLines w:val="0"/>
              <w:pageBreakBefore w:val="0"/>
              <w:widowControl w:val="0"/>
              <w:kinsoku/>
              <w:wordWrap/>
              <w:overflowPunct/>
              <w:topLinePunct w:val="0"/>
              <w:autoSpaceDE/>
              <w:autoSpaceDN/>
              <w:bidi w:val="0"/>
              <w:spacing w:line="360" w:lineRule="auto"/>
              <w:ind w:left="420" w:left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B</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年开机率在85（含）-90%（不含）之间按一赔</w:t>
            </w:r>
            <w:r>
              <w:rPr>
                <w:rFonts w:hint="eastAsia" w:ascii="宋体" w:hAnsi="宋体" w:eastAsia="宋体" w:cs="宋体"/>
                <w:bCs/>
                <w:color w:val="auto"/>
                <w:sz w:val="21"/>
                <w:szCs w:val="21"/>
                <w:highlight w:val="none"/>
                <w:u w:val="single"/>
              </w:rPr>
              <w:t xml:space="preserve"> 五 </w:t>
            </w:r>
            <w:r>
              <w:rPr>
                <w:rFonts w:hint="eastAsia" w:ascii="宋体" w:hAnsi="宋体" w:eastAsia="宋体" w:cs="宋体"/>
                <w:bCs/>
                <w:color w:val="auto"/>
                <w:sz w:val="21"/>
                <w:szCs w:val="21"/>
                <w:highlight w:val="none"/>
              </w:rPr>
              <w:t>延长保修期</w:t>
            </w:r>
          </w:p>
          <w:p w14:paraId="281DA186">
            <w:pPr>
              <w:keepNext w:val="0"/>
              <w:keepLines w:val="0"/>
              <w:pageBreakBefore w:val="0"/>
              <w:widowControl w:val="0"/>
              <w:kinsoku/>
              <w:wordWrap/>
              <w:overflowPunct/>
              <w:topLinePunct w:val="0"/>
              <w:autoSpaceDE/>
              <w:autoSpaceDN/>
              <w:bidi w:val="0"/>
              <w:spacing w:line="360" w:lineRule="auto"/>
              <w:ind w:left="735" w:leftChars="200" w:hanging="315" w:hangingChars="15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C</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年开机率低于85%（</w:t>
            </w:r>
            <w:r>
              <w:rPr>
                <w:rFonts w:hint="eastAsia" w:ascii="宋体" w:hAnsi="宋体" w:eastAsia="宋体" w:cs="宋体"/>
                <w:bCs/>
                <w:color w:val="auto"/>
                <w:sz w:val="21"/>
                <w:szCs w:val="21"/>
                <w:highlight w:val="none"/>
                <w:lang w:val="en-US" w:eastAsia="zh-CN"/>
              </w:rPr>
              <w:t>不</w:t>
            </w:r>
            <w:r>
              <w:rPr>
                <w:rFonts w:hint="eastAsia" w:ascii="宋体" w:hAnsi="宋体" w:eastAsia="宋体" w:cs="宋体"/>
                <w:bCs/>
                <w:color w:val="auto"/>
                <w:sz w:val="21"/>
                <w:szCs w:val="21"/>
                <w:highlight w:val="none"/>
              </w:rPr>
              <w:t>含），投标人须无条件更换新机，并重新计算保修期，以及赔偿用户的直接经济损失和间接经济损失。</w:t>
            </w:r>
          </w:p>
          <w:p w14:paraId="4A1F0FF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Cs/>
                <w:color w:val="auto"/>
                <w:sz w:val="21"/>
                <w:szCs w:val="21"/>
                <w:highlight w:val="none"/>
              </w:rPr>
              <w:t>年开机率</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（实际开机天数/</w:t>
            </w:r>
            <w:r>
              <w:rPr>
                <w:rFonts w:hint="eastAsia" w:ascii="宋体" w:hAnsi="宋体" w:eastAsia="宋体" w:cs="宋体"/>
                <w:color w:val="auto"/>
                <w:sz w:val="21"/>
                <w:szCs w:val="21"/>
                <w:highlight w:val="none"/>
                <w:lang w:val="en-US" w:eastAsia="zh-CN"/>
              </w:rPr>
              <w:t>365天</w:t>
            </w:r>
            <w:r>
              <w:rPr>
                <w:rFonts w:hint="eastAsia" w:ascii="宋体" w:hAnsi="宋体" w:eastAsia="宋体" w:cs="宋体"/>
                <w:bCs/>
                <w:color w:val="auto"/>
                <w:sz w:val="21"/>
                <w:szCs w:val="21"/>
                <w:highlight w:val="none"/>
              </w:rPr>
              <w:t>*100%）</w:t>
            </w:r>
          </w:p>
        </w:tc>
      </w:tr>
      <w:tr w14:paraId="5274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5" w:type="pct"/>
            <w:noWrap w:val="0"/>
            <w:vAlign w:val="center"/>
          </w:tcPr>
          <w:p w14:paraId="5EFE02B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917" w:type="pct"/>
            <w:noWrap w:val="0"/>
            <w:vAlign w:val="center"/>
          </w:tcPr>
          <w:p w14:paraId="0FCBAD0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其他</w:t>
            </w:r>
          </w:p>
        </w:tc>
        <w:tc>
          <w:tcPr>
            <w:tcW w:w="3377" w:type="pct"/>
            <w:noWrap w:val="0"/>
            <w:vAlign w:val="center"/>
          </w:tcPr>
          <w:p w14:paraId="5DCA02DE">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投标人应按其投标文件中的承诺，进行其他售后服务工作。</w:t>
            </w:r>
          </w:p>
        </w:tc>
      </w:tr>
      <w:tr w14:paraId="00AB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3"/>
            <w:noWrap w:val="0"/>
            <w:vAlign w:val="top"/>
          </w:tcPr>
          <w:p w14:paraId="65D2663C">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（二）免费保修期外售后服务要求</w:t>
            </w:r>
          </w:p>
        </w:tc>
      </w:tr>
      <w:tr w14:paraId="235BC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noWrap w:val="0"/>
            <w:vAlign w:val="center"/>
          </w:tcPr>
          <w:p w14:paraId="4562A303">
            <w:pPr>
              <w:pStyle w:val="57"/>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pacing w:val="-3"/>
                <w:sz w:val="21"/>
                <w:szCs w:val="21"/>
                <w:highlight w:val="none"/>
              </w:rPr>
              <w:t>1</w:t>
            </w:r>
          </w:p>
        </w:tc>
        <w:tc>
          <w:tcPr>
            <w:tcW w:w="917" w:type="pct"/>
            <w:vMerge w:val="restart"/>
            <w:noWrap w:val="0"/>
            <w:vAlign w:val="center"/>
          </w:tcPr>
          <w:p w14:paraId="4CCCF841">
            <w:pPr>
              <w:pStyle w:val="57"/>
              <w:keepNext w:val="0"/>
              <w:keepLines w:val="0"/>
              <w:pageBreakBefore w:val="0"/>
              <w:widowControl w:val="0"/>
              <w:kinsoku/>
              <w:wordWrap/>
              <w:overflowPunct/>
              <w:topLinePunct w:val="0"/>
              <w:autoSpaceDE/>
              <w:autoSpaceDN/>
              <w:bidi w:val="0"/>
              <w:spacing w:line="360" w:lineRule="auto"/>
              <w:ind w:left="0" w:leftChars="0" w:right="0" w:rightChars="0"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pacing w:val="-4"/>
                <w:sz w:val="21"/>
                <w:szCs w:val="21"/>
                <w:highlight w:val="none"/>
              </w:rPr>
              <w:t>维修零配</w:t>
            </w:r>
            <w:r>
              <w:rPr>
                <w:rFonts w:hint="eastAsia" w:ascii="宋体" w:hAnsi="宋体" w:eastAsia="宋体" w:cs="宋体"/>
                <w:b w:val="0"/>
                <w:bCs w:val="0"/>
                <w:spacing w:val="-3"/>
                <w:sz w:val="21"/>
                <w:szCs w:val="21"/>
                <w:highlight w:val="none"/>
              </w:rPr>
              <w:t>件、消耗</w:t>
            </w:r>
            <w:r>
              <w:rPr>
                <w:rFonts w:hint="eastAsia" w:ascii="宋体" w:hAnsi="宋体" w:eastAsia="宋体" w:cs="宋体"/>
                <w:b w:val="0"/>
                <w:bCs w:val="0"/>
                <w:spacing w:val="-7"/>
                <w:sz w:val="21"/>
                <w:szCs w:val="21"/>
                <w:highlight w:val="none"/>
              </w:rPr>
              <w:t>品和延续</w:t>
            </w:r>
            <w:r>
              <w:rPr>
                <w:rFonts w:hint="eastAsia" w:ascii="宋体" w:hAnsi="宋体" w:eastAsia="宋体" w:cs="宋体"/>
                <w:b w:val="0"/>
                <w:bCs w:val="0"/>
                <w:spacing w:val="-4"/>
                <w:sz w:val="21"/>
                <w:szCs w:val="21"/>
                <w:highlight w:val="none"/>
              </w:rPr>
              <w:t>保修合同</w:t>
            </w:r>
            <w:r>
              <w:rPr>
                <w:rFonts w:hint="eastAsia" w:ascii="宋体" w:hAnsi="宋体" w:eastAsia="宋体" w:cs="宋体"/>
                <w:b w:val="0"/>
                <w:bCs w:val="0"/>
                <w:spacing w:val="-8"/>
                <w:sz w:val="21"/>
                <w:szCs w:val="21"/>
                <w:highlight w:val="none"/>
              </w:rPr>
              <w:t>的报价</w:t>
            </w:r>
          </w:p>
        </w:tc>
        <w:tc>
          <w:tcPr>
            <w:tcW w:w="3377" w:type="pct"/>
            <w:noWrap w:val="0"/>
            <w:vAlign w:val="top"/>
          </w:tcPr>
          <w:p w14:paraId="1EE78E96">
            <w:pPr>
              <w:pStyle w:val="57"/>
              <w:keepNext w:val="0"/>
              <w:keepLines w:val="0"/>
              <w:pageBreakBefore w:val="0"/>
              <w:widowControl w:val="0"/>
              <w:kinsoku/>
              <w:wordWrap/>
              <w:overflowPunct/>
              <w:topLinePunct w:val="0"/>
              <w:autoSpaceDE/>
              <w:autoSpaceDN/>
              <w:bidi w:val="0"/>
              <w:spacing w:line="360" w:lineRule="auto"/>
              <w:ind w:left="0" w:leftChars="0" w:right="0" w:rightChars="0" w:firstLine="15" w:firstLineChars="0"/>
              <w:textAlignment w:val="auto"/>
              <w:rPr>
                <w:rFonts w:hint="eastAsia" w:ascii="宋体" w:hAnsi="宋体" w:eastAsia="宋体" w:cs="宋体"/>
                <w:color w:val="auto"/>
                <w:sz w:val="21"/>
                <w:szCs w:val="21"/>
                <w:highlight w:val="none"/>
              </w:rPr>
            </w:pPr>
            <w:r>
              <w:rPr>
                <w:rFonts w:hint="eastAsia" w:ascii="宋体" w:hAnsi="宋体" w:eastAsia="宋体" w:cs="宋体"/>
                <w:spacing w:val="-4"/>
                <w:sz w:val="21"/>
                <w:szCs w:val="21"/>
                <w:highlight w:val="none"/>
              </w:rPr>
              <w:t>1.1</w:t>
            </w:r>
            <w:r>
              <w:rPr>
                <w:rFonts w:hint="eastAsia" w:ascii="宋体" w:hAnsi="宋体" w:eastAsia="宋体" w:cs="宋体"/>
                <w:spacing w:val="-4"/>
                <w:sz w:val="21"/>
                <w:szCs w:val="21"/>
                <w:highlight w:val="none"/>
                <w:lang w:eastAsia="zh-CN"/>
              </w:rPr>
              <w:t>由设备制造商或制造商授权认可的代理商提供售后服务</w:t>
            </w:r>
            <w:r>
              <w:rPr>
                <w:rFonts w:hint="eastAsia" w:ascii="宋体" w:hAnsi="宋体" w:eastAsia="宋体" w:cs="宋体"/>
                <w:spacing w:val="-4"/>
                <w:sz w:val="21"/>
                <w:szCs w:val="21"/>
                <w:highlight w:val="none"/>
              </w:rPr>
              <w:t>，</w:t>
            </w:r>
            <w:r>
              <w:rPr>
                <w:rFonts w:hint="eastAsia" w:ascii="宋体" w:hAnsi="宋体" w:eastAsia="宋体" w:cs="宋体"/>
                <w:spacing w:val="-4"/>
                <w:sz w:val="21"/>
                <w:szCs w:val="21"/>
                <w:highlight w:val="none"/>
                <w:u w:val="single" w:color="auto"/>
                <w:lang w:val="en-US" w:eastAsia="zh-CN"/>
              </w:rPr>
              <w:t>4</w:t>
            </w:r>
            <w:r>
              <w:rPr>
                <w:rFonts w:hint="eastAsia" w:ascii="宋体" w:hAnsi="宋体" w:eastAsia="宋体" w:cs="宋体"/>
                <w:spacing w:val="-4"/>
                <w:sz w:val="21"/>
                <w:szCs w:val="21"/>
                <w:highlight w:val="none"/>
              </w:rPr>
              <w:t>小时内响应，</w:t>
            </w:r>
            <w:r>
              <w:rPr>
                <w:rFonts w:hint="eastAsia" w:ascii="宋体" w:hAnsi="宋体" w:eastAsia="宋体" w:cs="宋体"/>
                <w:spacing w:val="-4"/>
                <w:sz w:val="21"/>
                <w:szCs w:val="21"/>
                <w:highlight w:val="none"/>
                <w:u w:val="single" w:color="auto"/>
                <w:lang w:val="en-US" w:eastAsia="zh-CN"/>
              </w:rPr>
              <w:t>48</w:t>
            </w:r>
            <w:r>
              <w:rPr>
                <w:rFonts w:hint="eastAsia" w:ascii="宋体" w:hAnsi="宋体" w:eastAsia="宋体" w:cs="宋体"/>
                <w:spacing w:val="-4"/>
                <w:sz w:val="21"/>
                <w:szCs w:val="21"/>
                <w:highlight w:val="none"/>
              </w:rPr>
              <w:t>小时维修到</w:t>
            </w:r>
            <w:r>
              <w:rPr>
                <w:rFonts w:hint="eastAsia" w:ascii="宋体" w:hAnsi="宋体" w:eastAsia="宋体" w:cs="宋体"/>
                <w:spacing w:val="-1"/>
                <w:sz w:val="21"/>
                <w:szCs w:val="21"/>
                <w:highlight w:val="none"/>
              </w:rPr>
              <w:t>位（不可抗力情况除外）。</w:t>
            </w:r>
          </w:p>
        </w:tc>
      </w:tr>
      <w:tr w14:paraId="0310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noWrap w:val="0"/>
            <w:vAlign w:val="top"/>
          </w:tcPr>
          <w:p w14:paraId="7DF8A1D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p>
        </w:tc>
        <w:tc>
          <w:tcPr>
            <w:tcW w:w="917" w:type="pct"/>
            <w:vMerge w:val="continue"/>
            <w:noWrap w:val="0"/>
            <w:vAlign w:val="top"/>
          </w:tcPr>
          <w:p w14:paraId="1556A2C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p>
        </w:tc>
        <w:tc>
          <w:tcPr>
            <w:tcW w:w="3377" w:type="pct"/>
            <w:noWrap w:val="0"/>
            <w:vAlign w:val="top"/>
          </w:tcPr>
          <w:p w14:paraId="41FDC5B7">
            <w:pPr>
              <w:pStyle w:val="57"/>
              <w:keepNext w:val="0"/>
              <w:keepLines w:val="0"/>
              <w:pageBreakBefore w:val="0"/>
              <w:widowControl w:val="0"/>
              <w:kinsoku/>
              <w:wordWrap/>
              <w:overflowPunct/>
              <w:topLinePunct w:val="0"/>
              <w:autoSpaceDE/>
              <w:autoSpaceDN/>
              <w:bidi w:val="0"/>
              <w:spacing w:line="360" w:lineRule="auto"/>
              <w:ind w:left="0" w:leftChars="0" w:right="0" w:rightChars="0" w:firstLine="9"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lang w:val="en-US" w:eastAsia="zh-CN"/>
              </w:rPr>
              <w:t>2</w:t>
            </w:r>
            <w:r>
              <w:rPr>
                <w:rFonts w:hint="eastAsia" w:ascii="宋体" w:hAnsi="宋体" w:eastAsia="宋体" w:cs="宋体"/>
                <w:spacing w:val="-28"/>
                <w:sz w:val="21"/>
                <w:szCs w:val="21"/>
                <w:highlight w:val="none"/>
              </w:rPr>
              <w:t xml:space="preserve"> </w:t>
            </w:r>
            <w:r>
              <w:rPr>
                <w:rFonts w:hint="eastAsia" w:ascii="宋体" w:hAnsi="宋体" w:eastAsia="宋体" w:cs="宋体"/>
                <w:spacing w:val="-28"/>
                <w:sz w:val="21"/>
                <w:szCs w:val="21"/>
                <w:highlight w:val="none"/>
                <w:lang w:val="en-US" w:eastAsia="zh-CN"/>
              </w:rPr>
              <w:t>中标后，</w:t>
            </w:r>
            <w:r>
              <w:rPr>
                <w:rFonts w:hint="eastAsia" w:ascii="宋体" w:hAnsi="宋体" w:eastAsia="宋体" w:cs="宋体"/>
                <w:spacing w:val="-3"/>
                <w:sz w:val="21"/>
                <w:szCs w:val="21"/>
                <w:highlight w:val="none"/>
              </w:rPr>
              <w:t>采购人可与成交（中标）供应商就优惠价进行谈判，但优惠价不得</w:t>
            </w:r>
            <w:r>
              <w:rPr>
                <w:rFonts w:hint="eastAsia" w:ascii="宋体" w:hAnsi="宋体" w:eastAsia="宋体" w:cs="宋体"/>
                <w:spacing w:val="-7"/>
                <w:sz w:val="21"/>
                <w:szCs w:val="21"/>
                <w:highlight w:val="none"/>
              </w:rPr>
              <w:t>高于成交（中标）供应商在</w:t>
            </w:r>
            <w:r>
              <w:rPr>
                <w:rFonts w:hint="eastAsia" w:ascii="宋体" w:hAnsi="宋体" w:eastAsia="宋体" w:cs="宋体"/>
                <w:spacing w:val="-7"/>
                <w:sz w:val="21"/>
                <w:szCs w:val="21"/>
                <w:highlight w:val="none"/>
                <w:lang w:eastAsia="zh-CN"/>
              </w:rPr>
              <w:t>投标</w:t>
            </w:r>
            <w:r>
              <w:rPr>
                <w:rFonts w:hint="eastAsia" w:ascii="宋体" w:hAnsi="宋体" w:eastAsia="宋体" w:cs="宋体"/>
                <w:spacing w:val="-7"/>
                <w:sz w:val="21"/>
                <w:szCs w:val="21"/>
                <w:highlight w:val="none"/>
              </w:rPr>
              <w:t>文件的《零配件和消耗品报价明细</w:t>
            </w:r>
            <w:r>
              <w:rPr>
                <w:rFonts w:hint="eastAsia" w:ascii="宋体" w:hAnsi="宋体" w:eastAsia="宋体" w:cs="宋体"/>
                <w:spacing w:val="-8"/>
                <w:sz w:val="21"/>
                <w:szCs w:val="21"/>
                <w:highlight w:val="none"/>
              </w:rPr>
              <w:t>清单》</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中承诺的维修零配件和消耗品的报价。</w:t>
            </w:r>
          </w:p>
        </w:tc>
      </w:tr>
      <w:tr w14:paraId="358E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noWrap w:val="0"/>
            <w:vAlign w:val="top"/>
          </w:tcPr>
          <w:p w14:paraId="743F0A2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lang w:eastAsia="zh-CN"/>
              </w:rPr>
            </w:pPr>
          </w:p>
        </w:tc>
        <w:tc>
          <w:tcPr>
            <w:tcW w:w="917" w:type="pct"/>
            <w:vMerge w:val="continue"/>
            <w:noWrap w:val="0"/>
            <w:vAlign w:val="top"/>
          </w:tcPr>
          <w:p w14:paraId="19B1B92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p>
        </w:tc>
        <w:tc>
          <w:tcPr>
            <w:tcW w:w="3377" w:type="pct"/>
            <w:noWrap w:val="0"/>
            <w:vAlign w:val="top"/>
          </w:tcPr>
          <w:p w14:paraId="536000E1">
            <w:pPr>
              <w:pStyle w:val="57"/>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lang w:val="en-US" w:eastAsia="zh-CN"/>
              </w:rPr>
              <w:t>3</w:t>
            </w:r>
            <w:r>
              <w:rPr>
                <w:rFonts w:hint="eastAsia" w:ascii="宋体" w:hAnsi="宋体" w:eastAsia="宋体" w:cs="宋体"/>
                <w:spacing w:val="-3"/>
                <w:sz w:val="21"/>
                <w:szCs w:val="21"/>
                <w:highlight w:val="none"/>
              </w:rPr>
              <w:t>设备停产后的备件供应：保证</w:t>
            </w:r>
            <w:r>
              <w:rPr>
                <w:rFonts w:hint="eastAsia" w:ascii="宋体" w:hAnsi="宋体" w:eastAsia="宋体" w:cs="宋体"/>
                <w:spacing w:val="-3"/>
                <w:sz w:val="21"/>
                <w:szCs w:val="21"/>
                <w:highlight w:val="none"/>
                <w:lang w:eastAsia="zh-CN"/>
              </w:rPr>
              <w:t>不少于</w:t>
            </w:r>
            <w:r>
              <w:rPr>
                <w:rFonts w:hint="eastAsia" w:ascii="宋体" w:hAnsi="宋体" w:eastAsia="宋体" w:cs="宋体"/>
                <w:spacing w:val="-3"/>
                <w:sz w:val="21"/>
                <w:szCs w:val="21"/>
                <w:highlight w:val="none"/>
                <w:lang w:val="en-US" w:eastAsia="zh-CN"/>
              </w:rPr>
              <w:t>5</w:t>
            </w:r>
            <w:r>
              <w:rPr>
                <w:rFonts w:hint="eastAsia" w:ascii="宋体" w:hAnsi="宋体" w:eastAsia="宋体" w:cs="宋体"/>
                <w:spacing w:val="-3"/>
                <w:sz w:val="21"/>
                <w:szCs w:val="21"/>
                <w:highlight w:val="none"/>
              </w:rPr>
              <w:t>年。</w:t>
            </w:r>
          </w:p>
        </w:tc>
      </w:tr>
      <w:tr w14:paraId="4E76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705" w:type="pct"/>
            <w:vMerge w:val="continue"/>
            <w:noWrap w:val="0"/>
            <w:vAlign w:val="top"/>
          </w:tcPr>
          <w:p w14:paraId="0ABA5DB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yellow"/>
                <w:lang w:eastAsia="zh-CN"/>
              </w:rPr>
            </w:pPr>
          </w:p>
        </w:tc>
        <w:tc>
          <w:tcPr>
            <w:tcW w:w="917" w:type="pct"/>
            <w:vMerge w:val="continue"/>
            <w:noWrap w:val="0"/>
            <w:vAlign w:val="top"/>
          </w:tcPr>
          <w:p w14:paraId="1AD5F40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highlight w:val="none"/>
              </w:rPr>
            </w:pPr>
          </w:p>
        </w:tc>
        <w:tc>
          <w:tcPr>
            <w:tcW w:w="3377" w:type="pct"/>
            <w:noWrap w:val="0"/>
            <w:vAlign w:val="top"/>
          </w:tcPr>
          <w:p w14:paraId="6D1ABDDB">
            <w:pPr>
              <w:pStyle w:val="57"/>
              <w:keepNext w:val="0"/>
              <w:keepLines w:val="0"/>
              <w:pageBreakBefore w:val="0"/>
              <w:widowControl w:val="0"/>
              <w:kinsoku/>
              <w:wordWrap/>
              <w:overflowPunct/>
              <w:topLinePunct w:val="0"/>
              <w:autoSpaceDE/>
              <w:autoSpaceDN/>
              <w:bidi w:val="0"/>
              <w:spacing w:line="360" w:lineRule="auto"/>
              <w:ind w:left="0" w:leftChars="0" w:right="0" w:rightChars="0" w:firstLine="14"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lang w:val="en-US" w:eastAsia="zh-CN"/>
              </w:rPr>
              <w:t>4</w:t>
            </w:r>
            <w:r>
              <w:rPr>
                <w:rFonts w:hint="eastAsia" w:ascii="宋体" w:hAnsi="宋体" w:eastAsia="宋体" w:cs="宋体"/>
                <w:spacing w:val="-44"/>
                <w:sz w:val="21"/>
                <w:szCs w:val="21"/>
                <w:highlight w:val="none"/>
              </w:rPr>
              <w:t xml:space="preserve"> </w:t>
            </w:r>
            <w:r>
              <w:rPr>
                <w:rFonts w:hint="eastAsia" w:ascii="宋体" w:hAnsi="宋体" w:eastAsia="宋体" w:cs="宋体"/>
                <w:sz w:val="21"/>
                <w:szCs w:val="21"/>
                <w:highlight w:val="none"/>
              </w:rPr>
              <w:t>在设备购买合同中约定在设备保修期外，</w:t>
            </w:r>
            <w:r>
              <w:rPr>
                <w:rFonts w:hint="eastAsia" w:ascii="宋体" w:hAnsi="宋体" w:eastAsia="宋体" w:cs="宋体"/>
                <w:sz w:val="21"/>
                <w:szCs w:val="21"/>
                <w:highlight w:val="none"/>
                <w:lang w:eastAsia="zh-CN"/>
              </w:rPr>
              <w:t>中标人</w:t>
            </w:r>
            <w:r>
              <w:rPr>
                <w:rFonts w:hint="eastAsia" w:ascii="宋体" w:hAnsi="宋体" w:eastAsia="宋体" w:cs="宋体"/>
                <w:sz w:val="21"/>
                <w:szCs w:val="21"/>
                <w:highlight w:val="none"/>
              </w:rPr>
              <w:t>需承担采购人信息系统的连接项目产生的所有费用并无偿安排人员负责解决。</w:t>
            </w:r>
          </w:p>
        </w:tc>
      </w:tr>
      <w:tr w14:paraId="5A48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3"/>
            <w:noWrap w:val="0"/>
            <w:vAlign w:val="top"/>
          </w:tcPr>
          <w:p w14:paraId="6DE4C0ED">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（三）其他商务要求</w:t>
            </w:r>
          </w:p>
        </w:tc>
      </w:tr>
      <w:tr w14:paraId="7FC2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5" w:type="pct"/>
            <w:vMerge w:val="restart"/>
            <w:noWrap w:val="0"/>
            <w:vAlign w:val="center"/>
          </w:tcPr>
          <w:p w14:paraId="182447D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w:t>
            </w:r>
          </w:p>
        </w:tc>
        <w:tc>
          <w:tcPr>
            <w:tcW w:w="917" w:type="pct"/>
            <w:vMerge w:val="restart"/>
            <w:noWrap w:val="0"/>
            <w:vAlign w:val="center"/>
          </w:tcPr>
          <w:p w14:paraId="6EB8BA7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★关于交货</w:t>
            </w:r>
          </w:p>
        </w:tc>
        <w:tc>
          <w:tcPr>
            <w:tcW w:w="3377" w:type="pct"/>
            <w:noWrap w:val="0"/>
            <w:vAlign w:val="top"/>
          </w:tcPr>
          <w:p w14:paraId="5737469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1.1</w:t>
            </w:r>
            <w:r>
              <w:rPr>
                <w:rFonts w:hint="eastAsia" w:ascii="宋体" w:hAnsi="宋体" w:eastAsia="宋体" w:cs="宋体"/>
                <w:color w:val="auto"/>
                <w:sz w:val="21"/>
                <w:szCs w:val="21"/>
              </w:rPr>
              <w:t>签订合同后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rPr>
              <w:t>天（日历日）内交货。</w:t>
            </w:r>
          </w:p>
        </w:tc>
      </w:tr>
      <w:tr w14:paraId="42DD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05" w:type="pct"/>
            <w:vMerge w:val="continue"/>
            <w:noWrap w:val="0"/>
            <w:vAlign w:val="center"/>
          </w:tcPr>
          <w:p w14:paraId="2E1DF1A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10B277D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30B19F6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1.2</w:t>
            </w:r>
            <w:r>
              <w:rPr>
                <w:rFonts w:hint="eastAsia" w:ascii="宋体" w:hAnsi="宋体" w:eastAsia="宋体" w:cs="宋体"/>
                <w:bCs/>
                <w:color w:val="auto"/>
                <w:sz w:val="21"/>
                <w:szCs w:val="21"/>
              </w:rPr>
              <w:t>交货地点：</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负责将</w:t>
            </w:r>
            <w:r>
              <w:rPr>
                <w:rFonts w:hint="eastAsia" w:ascii="宋体" w:hAnsi="宋体" w:eastAsia="宋体" w:cs="宋体"/>
                <w:color w:val="auto"/>
                <w:sz w:val="21"/>
                <w:szCs w:val="21"/>
                <w:highlight w:val="none"/>
              </w:rPr>
              <w:t>货物</w:t>
            </w:r>
            <w:r>
              <w:rPr>
                <w:rFonts w:hint="eastAsia" w:ascii="宋体" w:hAnsi="宋体" w:eastAsia="宋体" w:cs="宋体"/>
                <w:bCs/>
                <w:color w:val="auto"/>
                <w:sz w:val="21"/>
                <w:szCs w:val="21"/>
                <w:highlight w:val="none"/>
              </w:rPr>
              <w:t>安全无损运抵采购人指定地点,并承担设备的包装、运输、保险、装卸、安装调试、培训、商检及计量检测、关税、增值税和进口代理等费用</w:t>
            </w:r>
            <w:r>
              <w:rPr>
                <w:rFonts w:hint="eastAsia" w:ascii="宋体" w:hAnsi="宋体" w:eastAsia="宋体" w:cs="宋体"/>
                <w:color w:val="auto"/>
                <w:sz w:val="21"/>
                <w:szCs w:val="21"/>
                <w:highlight w:val="none"/>
              </w:rPr>
              <w:t>。</w:t>
            </w:r>
          </w:p>
        </w:tc>
      </w:tr>
      <w:tr w14:paraId="3EC7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noWrap w:val="0"/>
            <w:vAlign w:val="center"/>
          </w:tcPr>
          <w:p w14:paraId="7B4B3C0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1C58969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6E7B6BB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3</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应提供货物的技术文件，包括但不限于设备配置清单、产品说明书、图纸、操作手册等，所有外文资料须提供中文译本。文件应随货物一并交付至采购人指定地点</w:t>
            </w:r>
            <w:r>
              <w:rPr>
                <w:rFonts w:hint="eastAsia" w:ascii="宋体" w:hAnsi="宋体" w:eastAsia="宋体" w:cs="宋体"/>
                <w:color w:val="auto"/>
                <w:sz w:val="21"/>
                <w:szCs w:val="21"/>
                <w:highlight w:val="none"/>
              </w:rPr>
              <w:t>。</w:t>
            </w:r>
          </w:p>
        </w:tc>
      </w:tr>
      <w:tr w14:paraId="1EC7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noWrap w:val="0"/>
            <w:vAlign w:val="center"/>
          </w:tcPr>
          <w:p w14:paraId="310D81E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318D3A1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0B5F074A">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sz w:val="21"/>
                <w:szCs w:val="21"/>
                <w:highlight w:val="none"/>
              </w:rPr>
              <w:t>1.4中标人提供的货物必须为全新、经检验合格的产品。产品如需要计量检定的应提供相关计量检定部门出具的合法检定报告。</w:t>
            </w:r>
            <w:r>
              <w:rPr>
                <w:rFonts w:hint="eastAsia" w:ascii="宋体" w:hAnsi="宋体" w:eastAsia="宋体" w:cs="宋体"/>
                <w:bCs/>
                <w:color w:val="auto"/>
                <w:sz w:val="21"/>
                <w:szCs w:val="21"/>
                <w:highlight w:val="none"/>
              </w:rPr>
              <w:t>进口设备必须具有报关证明文件和商检证明文件（免检设备</w:t>
            </w:r>
            <w:r>
              <w:rPr>
                <w:rFonts w:hint="eastAsia" w:ascii="宋体" w:hAnsi="宋体" w:eastAsia="宋体" w:cs="宋体"/>
                <w:bCs/>
                <w:color w:val="auto"/>
                <w:sz w:val="21"/>
                <w:szCs w:val="21"/>
                <w:highlight w:val="none"/>
                <w:lang w:eastAsia="zh-CN"/>
              </w:rPr>
              <w:t>提供免检证明</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w:t>
            </w:r>
            <w:r>
              <w:rPr>
                <w:rFonts w:hint="eastAsia" w:ascii="宋体" w:hAnsi="宋体" w:eastAsia="宋体" w:cs="宋体"/>
                <w:spacing w:val="-2"/>
                <w:sz w:val="21"/>
                <w:szCs w:val="21"/>
              </w:rPr>
              <w:t>需提供足够的场地所需的连接管线</w:t>
            </w:r>
            <w:r>
              <w:rPr>
                <w:rFonts w:hint="eastAsia" w:ascii="宋体" w:hAnsi="宋体" w:eastAsia="宋体" w:cs="宋体"/>
                <w:spacing w:val="-3"/>
                <w:sz w:val="21"/>
                <w:szCs w:val="21"/>
              </w:rPr>
              <w:t>和备件，包</w:t>
            </w:r>
            <w:r>
              <w:rPr>
                <w:rFonts w:hint="eastAsia" w:ascii="宋体" w:hAnsi="宋体" w:eastAsia="宋体" w:cs="宋体"/>
                <w:spacing w:val="-2"/>
                <w:sz w:val="21"/>
                <w:szCs w:val="21"/>
              </w:rPr>
              <w:t>括所有附属设施，线柜以及相关的通讯和</w:t>
            </w:r>
            <w:r>
              <w:rPr>
                <w:rFonts w:hint="eastAsia" w:ascii="宋体" w:hAnsi="宋体" w:eastAsia="宋体" w:cs="宋体"/>
                <w:spacing w:val="-31"/>
                <w:sz w:val="21"/>
                <w:szCs w:val="21"/>
              </w:rPr>
              <w:t xml:space="preserve"> </w:t>
            </w:r>
            <w:r>
              <w:rPr>
                <w:rFonts w:hint="eastAsia" w:ascii="宋体" w:hAnsi="宋体" w:eastAsia="宋体" w:cs="宋体"/>
                <w:spacing w:val="-2"/>
                <w:sz w:val="21"/>
                <w:szCs w:val="21"/>
              </w:rPr>
              <w:t>IT</w:t>
            </w:r>
            <w:r>
              <w:rPr>
                <w:rFonts w:hint="eastAsia" w:ascii="宋体" w:hAnsi="宋体" w:eastAsia="宋体" w:cs="宋体"/>
                <w:spacing w:val="-45"/>
                <w:sz w:val="21"/>
                <w:szCs w:val="21"/>
              </w:rPr>
              <w:t xml:space="preserve"> </w:t>
            </w:r>
            <w:r>
              <w:rPr>
                <w:rFonts w:hint="eastAsia" w:ascii="宋体" w:hAnsi="宋体" w:eastAsia="宋体" w:cs="宋体"/>
                <w:spacing w:val="-2"/>
                <w:sz w:val="21"/>
                <w:szCs w:val="21"/>
              </w:rPr>
              <w:t>连接配件。所供货的产品需符合中国电源标准及规范国际</w:t>
            </w:r>
            <w:r>
              <w:rPr>
                <w:rFonts w:hint="eastAsia" w:ascii="宋体" w:hAnsi="宋体" w:eastAsia="宋体" w:cs="宋体"/>
                <w:spacing w:val="-3"/>
                <w:sz w:val="21"/>
                <w:szCs w:val="21"/>
              </w:rPr>
              <w:t>接插头，如不符合厂</w:t>
            </w:r>
            <w:r>
              <w:rPr>
                <w:rFonts w:hint="eastAsia" w:ascii="宋体" w:hAnsi="宋体" w:eastAsia="宋体" w:cs="宋体"/>
                <w:spacing w:val="-4"/>
                <w:sz w:val="21"/>
                <w:szCs w:val="21"/>
              </w:rPr>
              <w:t>家及成交（中标）供应商负责免费更换，并配齐与用户</w:t>
            </w:r>
            <w:r>
              <w:rPr>
                <w:rFonts w:hint="eastAsia" w:ascii="宋体" w:hAnsi="宋体" w:eastAsia="宋体" w:cs="宋体"/>
                <w:spacing w:val="-4"/>
                <w:sz w:val="21"/>
                <w:szCs w:val="21"/>
                <w:lang w:val="en-US" w:eastAsia="zh-CN"/>
              </w:rPr>
              <w:t>相应</w:t>
            </w:r>
            <w:r>
              <w:rPr>
                <w:rFonts w:hint="eastAsia" w:ascii="宋体" w:hAnsi="宋体" w:eastAsia="宋体" w:cs="宋体"/>
                <w:spacing w:val="-4"/>
                <w:sz w:val="21"/>
                <w:szCs w:val="21"/>
              </w:rPr>
              <w:t>的水电气接</w:t>
            </w:r>
            <w:r>
              <w:rPr>
                <w:rFonts w:hint="eastAsia" w:ascii="宋体" w:hAnsi="宋体" w:eastAsia="宋体" w:cs="宋体"/>
                <w:spacing w:val="-8"/>
                <w:sz w:val="21"/>
                <w:szCs w:val="21"/>
              </w:rPr>
              <w:t>插件。</w:t>
            </w:r>
          </w:p>
        </w:tc>
      </w:tr>
      <w:tr w14:paraId="4074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05" w:type="pct"/>
            <w:vMerge w:val="continue"/>
            <w:noWrap w:val="0"/>
            <w:vAlign w:val="center"/>
          </w:tcPr>
          <w:p w14:paraId="11E3393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22D9A11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07F3DDF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采购人有权检验或测试货物，以确认货物是否符合合同规格的要求。如果发现所交货物与投标文件中所承诺的不符或存在质量、技术缺陷等,采购人可以拒绝接收该货物</w:t>
            </w:r>
            <w:r>
              <w:rPr>
                <w:rFonts w:hint="eastAsia" w:ascii="宋体" w:hAnsi="宋体" w:eastAsia="宋体" w:cs="宋体"/>
                <w:bCs/>
                <w:color w:val="auto"/>
                <w:sz w:val="21"/>
                <w:szCs w:val="21"/>
                <w:highlight w:val="none"/>
                <w:lang w:eastAsia="zh-CN"/>
              </w:rPr>
              <w:t>。</w:t>
            </w:r>
          </w:p>
        </w:tc>
      </w:tr>
      <w:tr w14:paraId="2939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05" w:type="pct"/>
            <w:vMerge w:val="continue"/>
            <w:noWrap w:val="0"/>
            <w:vAlign w:val="center"/>
          </w:tcPr>
          <w:p w14:paraId="5A9105AB">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6D44EC6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11C38DE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rPr>
              <w:t>中标人</w:t>
            </w:r>
            <w:r>
              <w:rPr>
                <w:rFonts w:hint="eastAsia" w:ascii="宋体" w:hAnsi="宋体" w:eastAsia="宋体" w:cs="宋体"/>
                <w:color w:val="auto"/>
                <w:sz w:val="21"/>
                <w:szCs w:val="21"/>
                <w:highlight w:val="none"/>
              </w:rPr>
              <w:t>负责货物的现场安装和调试,提供货物安装、调试和维修所需的专用工具和辅助材料。中标人应在货物运至指定地点后</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lang w:val="en-US" w:eastAsia="zh-CN"/>
              </w:rPr>
              <w:t>天</w:t>
            </w:r>
            <w:r>
              <w:rPr>
                <w:rFonts w:hint="eastAsia" w:ascii="宋体" w:hAnsi="宋体" w:eastAsia="宋体" w:cs="宋体"/>
                <w:color w:val="auto"/>
                <w:sz w:val="21"/>
                <w:szCs w:val="21"/>
                <w:highlight w:val="none"/>
              </w:rPr>
              <w:t>内开始安装调试,并在</w:t>
            </w:r>
            <w:r>
              <w:rPr>
                <w:rFonts w:hint="eastAsia" w:ascii="宋体" w:hAnsi="宋体" w:eastAsia="宋体" w:cs="宋体"/>
                <w:bCs/>
                <w:color w:val="auto"/>
                <w:sz w:val="21"/>
                <w:szCs w:val="21"/>
                <w:highlight w:val="none"/>
                <w:u w:val="single"/>
              </w:rPr>
              <w:t>5</w:t>
            </w:r>
            <w:r>
              <w:rPr>
                <w:rFonts w:hint="eastAsia" w:ascii="宋体" w:hAnsi="宋体" w:eastAsia="宋体" w:cs="宋体"/>
                <w:color w:val="auto"/>
                <w:sz w:val="21"/>
                <w:szCs w:val="21"/>
                <w:highlight w:val="none"/>
              </w:rPr>
              <w:t>天内安装调试完毕。</w:t>
            </w:r>
          </w:p>
        </w:tc>
      </w:tr>
      <w:tr w14:paraId="7DFA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noWrap w:val="0"/>
            <w:vAlign w:val="center"/>
          </w:tcPr>
          <w:p w14:paraId="31AAEC3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w:t>
            </w:r>
          </w:p>
        </w:tc>
        <w:tc>
          <w:tcPr>
            <w:tcW w:w="917" w:type="pct"/>
            <w:vMerge w:val="restart"/>
            <w:noWrap w:val="0"/>
            <w:vAlign w:val="center"/>
          </w:tcPr>
          <w:p w14:paraId="065B829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★关于验收</w:t>
            </w:r>
          </w:p>
        </w:tc>
        <w:tc>
          <w:tcPr>
            <w:tcW w:w="3377" w:type="pct"/>
            <w:noWrap w:val="0"/>
            <w:vAlign w:val="top"/>
          </w:tcPr>
          <w:p w14:paraId="4AFC9AC8">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2.1</w:t>
            </w:r>
            <w:r>
              <w:rPr>
                <w:rFonts w:hint="eastAsia" w:ascii="宋体" w:hAnsi="宋体" w:eastAsia="宋体" w:cs="宋体"/>
                <w:color w:val="auto"/>
                <w:sz w:val="21"/>
                <w:szCs w:val="21"/>
              </w:rPr>
              <w:t>中标人</w:t>
            </w:r>
            <w:r>
              <w:rPr>
                <w:rFonts w:hint="eastAsia" w:ascii="宋体" w:hAnsi="宋体" w:eastAsia="宋体" w:cs="宋体"/>
                <w:bCs/>
                <w:color w:val="auto"/>
                <w:sz w:val="21"/>
                <w:szCs w:val="21"/>
              </w:rPr>
              <w:t>货物经过双方检验认可后，签署验收报告，产品保修期自验收合格之日起算，由投标人提供产品保修文件。</w:t>
            </w:r>
          </w:p>
        </w:tc>
      </w:tr>
      <w:tr w14:paraId="4EE4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noWrap w:val="0"/>
            <w:vAlign w:val="center"/>
          </w:tcPr>
          <w:p w14:paraId="087FB5E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3AA2CFE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74AE77E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2.2当满足以下条件时，采购人才向中标人签发货物验收报告：</w:t>
            </w:r>
          </w:p>
          <w:p w14:paraId="5B6974BF">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a、中标人已按照合同规定提供了全部产品及完整的技术资料。</w:t>
            </w:r>
          </w:p>
          <w:p w14:paraId="163C0463">
            <w:pPr>
              <w:keepNext w:val="0"/>
              <w:keepLines w:val="0"/>
              <w:pageBreakBefore w:val="0"/>
              <w:widowControl w:val="0"/>
              <w:tabs>
                <w:tab w:val="left" w:pos="1260"/>
              </w:tabs>
              <w:kinsoku/>
              <w:wordWrap/>
              <w:overflowPunct/>
              <w:topLinePunct w:val="0"/>
              <w:autoSpaceDE/>
              <w:autoSpaceDN/>
              <w:bidi w:val="0"/>
              <w:spacing w:line="36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b、货物符合招标文件技术规格书的要求，性能满足要求。</w:t>
            </w:r>
          </w:p>
        </w:tc>
      </w:tr>
      <w:tr w14:paraId="77AE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noWrap w:val="0"/>
            <w:vAlign w:val="center"/>
          </w:tcPr>
          <w:p w14:paraId="6D2A57B1">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1F8B5599">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1C751F33">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2.3</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rPr>
              <w:t>中标人</w:t>
            </w:r>
            <w:r>
              <w:rPr>
                <w:rFonts w:hint="eastAsia" w:ascii="宋体" w:hAnsi="宋体" w:eastAsia="宋体" w:cs="宋体"/>
                <w:color w:val="auto"/>
                <w:sz w:val="21"/>
                <w:szCs w:val="21"/>
                <w:highlight w:val="none"/>
              </w:rPr>
              <w:t>代表和采购人组成验收小组对产品进行验收。验收标准按照国家规定标准执行。经检验设备正常运作后签署验收报告,产品保修期自验收合格之日起算。</w:t>
            </w:r>
          </w:p>
        </w:tc>
      </w:tr>
      <w:tr w14:paraId="32FB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restart"/>
            <w:noWrap w:val="0"/>
            <w:vAlign w:val="center"/>
          </w:tcPr>
          <w:p w14:paraId="056360C6">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w:t>
            </w:r>
          </w:p>
        </w:tc>
        <w:tc>
          <w:tcPr>
            <w:tcW w:w="917" w:type="pct"/>
            <w:vMerge w:val="restart"/>
            <w:noWrap w:val="0"/>
            <w:vAlign w:val="center"/>
          </w:tcPr>
          <w:p w14:paraId="20BECEF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★关于违约</w:t>
            </w:r>
          </w:p>
        </w:tc>
        <w:tc>
          <w:tcPr>
            <w:tcW w:w="3377" w:type="pct"/>
            <w:noWrap w:val="0"/>
            <w:vAlign w:val="top"/>
          </w:tcPr>
          <w:p w14:paraId="5FDF558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rPr>
              <w:t>3.1中标</w:t>
            </w:r>
            <w:r>
              <w:rPr>
                <w:rFonts w:hint="eastAsia" w:ascii="宋体" w:hAnsi="宋体" w:eastAsia="宋体" w:cs="宋体"/>
                <w:color w:val="auto"/>
                <w:sz w:val="21"/>
                <w:szCs w:val="21"/>
              </w:rPr>
              <w:t>人</w:t>
            </w:r>
            <w:r>
              <w:rPr>
                <w:rFonts w:hint="eastAsia" w:ascii="宋体" w:hAnsi="宋体" w:eastAsia="宋体" w:cs="宋体"/>
                <w:bCs/>
                <w:color w:val="auto"/>
                <w:sz w:val="21"/>
                <w:szCs w:val="21"/>
                <w:highlight w:val="none"/>
              </w:rPr>
              <w:t>未按照投标文件中承诺的时间交货或提供服务，投标人</w:t>
            </w:r>
            <w:r>
              <w:rPr>
                <w:rFonts w:hint="eastAsia" w:ascii="宋体" w:hAnsi="宋体" w:eastAsia="宋体" w:cs="宋体"/>
                <w:color w:val="auto"/>
                <w:sz w:val="21"/>
                <w:szCs w:val="21"/>
                <w:highlight w:val="none"/>
              </w:rPr>
              <w:t>应承担</w:t>
            </w:r>
            <w:r>
              <w:rPr>
                <w:rFonts w:hint="eastAsia" w:ascii="宋体" w:hAnsi="宋体" w:eastAsia="宋体" w:cs="宋体"/>
                <w:bCs/>
                <w:color w:val="auto"/>
                <w:sz w:val="21"/>
                <w:szCs w:val="21"/>
                <w:highlight w:val="none"/>
              </w:rPr>
              <w:t>延期交货和延期服务的违约责任，并赔偿采购人因此造成的实际经济损失。实际经济损失超出履约保证金额，采购人有权终止合同。</w:t>
            </w:r>
          </w:p>
        </w:tc>
      </w:tr>
      <w:tr w14:paraId="0F22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noWrap w:val="0"/>
            <w:vAlign w:val="center"/>
          </w:tcPr>
          <w:p w14:paraId="6C96E730">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21F40B7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331F430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highlight w:val="none"/>
                <w:lang w:val="en-US" w:eastAsia="zh-CN"/>
              </w:rPr>
              <w:t>3.2</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所交设备的品种、型号、规格、质量、功能、技术参数等方面不能实质性满足招标文件</w:t>
            </w:r>
            <w:r>
              <w:rPr>
                <w:rFonts w:hint="eastAsia" w:ascii="宋体" w:hAnsi="宋体" w:eastAsia="宋体" w:cs="宋体"/>
                <w:bCs/>
                <w:color w:val="auto"/>
                <w:sz w:val="21"/>
                <w:szCs w:val="21"/>
                <w:highlight w:val="none"/>
                <w:lang w:eastAsia="zh-CN"/>
              </w:rPr>
              <w:t>要求</w:t>
            </w:r>
            <w:r>
              <w:rPr>
                <w:rFonts w:hint="eastAsia" w:ascii="宋体" w:hAnsi="宋体" w:eastAsia="宋体" w:cs="宋体"/>
                <w:bCs/>
                <w:color w:val="auto"/>
                <w:sz w:val="21"/>
                <w:szCs w:val="21"/>
                <w:highlight w:val="none"/>
              </w:rPr>
              <w:t>的，采购人有权拒绝收货，</w:t>
            </w:r>
            <w:r>
              <w:rPr>
                <w:rFonts w:hint="eastAsia" w:ascii="宋体" w:hAnsi="宋体" w:eastAsia="宋体" w:cs="宋体"/>
                <w:color w:val="auto"/>
                <w:sz w:val="21"/>
                <w:szCs w:val="21"/>
              </w:rPr>
              <w:t>中标人</w:t>
            </w:r>
            <w:r>
              <w:rPr>
                <w:rFonts w:hint="eastAsia" w:ascii="宋体" w:hAnsi="宋体" w:eastAsia="宋体" w:cs="宋体"/>
                <w:bCs/>
                <w:color w:val="auto"/>
                <w:sz w:val="21"/>
                <w:szCs w:val="21"/>
                <w:highlight w:val="none"/>
              </w:rPr>
              <w:t>向采购人偿付项目采购金额千分之</w:t>
            </w:r>
            <w:r>
              <w:rPr>
                <w:rFonts w:hint="eastAsia" w:ascii="宋体" w:hAnsi="宋体" w:eastAsia="宋体" w:cs="宋体"/>
                <w:bCs/>
                <w:color w:val="auto"/>
                <w:sz w:val="21"/>
                <w:szCs w:val="21"/>
                <w:highlight w:val="none"/>
                <w:u w:val="single"/>
              </w:rPr>
              <w:t xml:space="preserve"> 10 </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的违约金；造成严重后果的，根据《深圳经济特区政府采购条例》第五十七条第（二）款规定，由主管部门对投标人进行处罚。</w:t>
            </w:r>
          </w:p>
        </w:tc>
      </w:tr>
      <w:tr w14:paraId="43EC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noWrap w:val="0"/>
            <w:vAlign w:val="center"/>
          </w:tcPr>
          <w:p w14:paraId="797A858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7DA01BC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2CEBF6C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3.3</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不能交付设备的，投标人向采购人偿付项目采购金额百分之</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的违约金；造成严重后果的，根据《深圳经济特区政府采购条例》第五十七条第（二）款规定，由主管部门对投标人进行处罚。</w:t>
            </w:r>
          </w:p>
        </w:tc>
      </w:tr>
      <w:tr w14:paraId="151C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vMerge w:val="continue"/>
            <w:noWrap w:val="0"/>
            <w:vAlign w:val="center"/>
          </w:tcPr>
          <w:p w14:paraId="7445F46F">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5043697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298AC83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3.4</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逾期未交设备的，</w:t>
            </w:r>
            <w:r>
              <w:rPr>
                <w:rFonts w:hint="eastAsia" w:ascii="宋体" w:hAnsi="宋体" w:eastAsia="宋体" w:cs="宋体"/>
                <w:color w:val="auto"/>
                <w:sz w:val="21"/>
                <w:szCs w:val="21"/>
                <w:highlight w:val="none"/>
              </w:rPr>
              <w:t>中标人</w:t>
            </w:r>
            <w:r>
              <w:rPr>
                <w:rFonts w:hint="eastAsia" w:ascii="宋体" w:hAnsi="宋体" w:eastAsia="宋体" w:cs="宋体"/>
                <w:bCs/>
                <w:color w:val="auto"/>
                <w:sz w:val="21"/>
                <w:szCs w:val="21"/>
                <w:highlight w:val="none"/>
              </w:rPr>
              <w:t>向采购人每日偿付设备款千分之</w:t>
            </w:r>
            <w:r>
              <w:rPr>
                <w:rFonts w:hint="eastAsia" w:ascii="宋体" w:hAnsi="宋体" w:eastAsia="宋体" w:cs="宋体"/>
                <w:bCs/>
                <w:color w:val="auto"/>
                <w:sz w:val="21"/>
                <w:szCs w:val="21"/>
                <w:highlight w:val="none"/>
                <w:u w:val="single"/>
              </w:rPr>
              <w:t xml:space="preserve"> 1</w:t>
            </w:r>
            <w:r>
              <w:rPr>
                <w:rFonts w:hint="eastAsia" w:ascii="宋体" w:hAnsi="宋体" w:eastAsia="宋体" w:cs="宋体"/>
                <w:bCs/>
                <w:color w:val="auto"/>
                <w:sz w:val="21"/>
                <w:szCs w:val="21"/>
                <w:highlight w:val="none"/>
              </w:rPr>
              <w:t>的违约金。中标人超过交货期限</w:t>
            </w:r>
            <w:r>
              <w:rPr>
                <w:rFonts w:hint="eastAsia" w:ascii="宋体" w:hAnsi="宋体" w:eastAsia="宋体" w:cs="宋体"/>
                <w:bCs/>
                <w:color w:val="auto"/>
                <w:sz w:val="21"/>
                <w:szCs w:val="21"/>
                <w:highlight w:val="none"/>
                <w:u w:val="single"/>
              </w:rPr>
              <w:t xml:space="preserve"> 10 </w:t>
            </w:r>
            <w:r>
              <w:rPr>
                <w:rFonts w:hint="eastAsia" w:ascii="宋体" w:hAnsi="宋体" w:eastAsia="宋体" w:cs="宋体"/>
                <w:bCs/>
                <w:color w:val="auto"/>
                <w:sz w:val="21"/>
                <w:szCs w:val="21"/>
                <w:highlight w:val="none"/>
              </w:rPr>
              <w:t>日仍未交货，采购人有权解除合同</w:t>
            </w:r>
          </w:p>
        </w:tc>
      </w:tr>
      <w:tr w14:paraId="5C4B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05" w:type="pct"/>
            <w:vMerge w:val="continue"/>
            <w:noWrap w:val="0"/>
            <w:vAlign w:val="center"/>
          </w:tcPr>
          <w:p w14:paraId="5385FB5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41610DF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3F32871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lang w:val="en-US" w:eastAsia="zh-CN"/>
              </w:rPr>
              <w:t>3.5</w:t>
            </w:r>
            <w:r>
              <w:rPr>
                <w:rFonts w:hint="eastAsia" w:ascii="宋体" w:hAnsi="宋体" w:eastAsia="宋体" w:cs="宋体"/>
                <w:b w:val="0"/>
                <w:bCs/>
                <w:color w:val="auto"/>
                <w:sz w:val="21"/>
                <w:szCs w:val="21"/>
              </w:rPr>
              <w:t>中标人逾期交货的，将被没收履约保证金并按主管部门相关规定处理</w:t>
            </w:r>
            <w:r>
              <w:rPr>
                <w:rFonts w:hint="eastAsia" w:ascii="宋体" w:hAnsi="宋体" w:eastAsia="宋体" w:cs="宋体"/>
                <w:b w:val="0"/>
                <w:bCs/>
                <w:color w:val="auto"/>
                <w:sz w:val="21"/>
                <w:szCs w:val="21"/>
                <w:lang w:eastAsia="zh-CN"/>
              </w:rPr>
              <w:t>，</w:t>
            </w:r>
            <w:r>
              <w:rPr>
                <w:rFonts w:hint="eastAsia" w:ascii="宋体" w:hAnsi="宋体" w:eastAsia="宋体" w:cs="宋体"/>
                <w:b w:val="0"/>
                <w:bCs/>
                <w:color w:val="auto"/>
                <w:sz w:val="21"/>
                <w:szCs w:val="21"/>
                <w:highlight w:val="none"/>
              </w:rPr>
              <w:t>违约金先从由投标人履约保证金中扣除，若有不足部分则由</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highlight w:val="none"/>
              </w:rPr>
              <w:t>补齐。</w:t>
            </w:r>
          </w:p>
        </w:tc>
      </w:tr>
      <w:tr w14:paraId="2302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trPr>
        <w:tc>
          <w:tcPr>
            <w:tcW w:w="705" w:type="pct"/>
            <w:vMerge w:val="continue"/>
            <w:noWrap w:val="0"/>
            <w:vAlign w:val="center"/>
          </w:tcPr>
          <w:p w14:paraId="287D66BC">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917" w:type="pct"/>
            <w:vMerge w:val="continue"/>
            <w:noWrap w:val="0"/>
            <w:vAlign w:val="center"/>
          </w:tcPr>
          <w:p w14:paraId="16F01E3E">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color w:val="auto"/>
                <w:sz w:val="21"/>
                <w:szCs w:val="21"/>
              </w:rPr>
            </w:pPr>
          </w:p>
        </w:tc>
        <w:tc>
          <w:tcPr>
            <w:tcW w:w="3377" w:type="pct"/>
            <w:noWrap w:val="0"/>
            <w:vAlign w:val="top"/>
          </w:tcPr>
          <w:p w14:paraId="796AFD9F">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中标人所交付产品、工程或服务不符合其投标承诺的，或在投标阶段为了中标而盲目虚假承诺、低价恶性竞争，在履约阶段则通过偷工减料、以次充好而获取利润的，将被没收履约保证金，并被履约评价工作实施机构评为履约等级“差”并按主管部门相关规定处理。</w:t>
            </w:r>
          </w:p>
        </w:tc>
      </w:tr>
      <w:tr w14:paraId="0D01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noWrap w:val="0"/>
            <w:vAlign w:val="center"/>
          </w:tcPr>
          <w:p w14:paraId="7353CA8A">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rPr>
              <w:t>4</w:t>
            </w:r>
          </w:p>
        </w:tc>
        <w:tc>
          <w:tcPr>
            <w:tcW w:w="917" w:type="pct"/>
            <w:noWrap w:val="0"/>
            <w:vAlign w:val="center"/>
          </w:tcPr>
          <w:p w14:paraId="13E2D3E8">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sz w:val="21"/>
                <w:szCs w:val="21"/>
              </w:rPr>
              <w:t>关于付款</w:t>
            </w:r>
          </w:p>
        </w:tc>
        <w:tc>
          <w:tcPr>
            <w:tcW w:w="3377" w:type="pct"/>
            <w:noWrap w:val="0"/>
            <w:vAlign w:val="top"/>
          </w:tcPr>
          <w:p w14:paraId="7DE175A2">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4.1</w:t>
            </w:r>
            <w:r>
              <w:rPr>
                <w:rFonts w:hint="eastAsia" w:ascii="宋体" w:hAnsi="宋体" w:eastAsia="宋体" w:cs="宋体"/>
                <w:b w:val="0"/>
                <w:bCs/>
                <w:color w:val="auto"/>
                <w:sz w:val="21"/>
                <w:szCs w:val="21"/>
              </w:rPr>
              <w:t>全部合同货物到达交货地点，并安装调试且验收合格后，</w:t>
            </w:r>
            <w:r>
              <w:rPr>
                <w:rFonts w:hint="eastAsia" w:ascii="宋体" w:hAnsi="宋体" w:eastAsia="宋体" w:cs="宋体"/>
                <w:b w:val="0"/>
                <w:bCs/>
                <w:color w:val="auto"/>
                <w:sz w:val="21"/>
                <w:szCs w:val="21"/>
                <w:lang w:eastAsia="zh-CN"/>
              </w:rPr>
              <w:t>提交验收资料</w:t>
            </w:r>
            <w:r>
              <w:rPr>
                <w:rFonts w:hint="eastAsia" w:ascii="宋体" w:hAnsi="宋体" w:eastAsia="宋体" w:cs="宋体"/>
                <w:b w:val="0"/>
                <w:bCs/>
                <w:color w:val="auto"/>
                <w:sz w:val="21"/>
                <w:szCs w:val="21"/>
              </w:rPr>
              <w:t>，采购人在收到</w:t>
            </w:r>
            <w:r>
              <w:rPr>
                <w:rFonts w:hint="eastAsia" w:ascii="宋体" w:hAnsi="宋体" w:eastAsia="宋体" w:cs="宋体"/>
                <w:b w:val="0"/>
                <w:bCs/>
                <w:color w:val="auto"/>
                <w:sz w:val="21"/>
                <w:szCs w:val="21"/>
                <w:lang w:eastAsia="zh-CN"/>
              </w:rPr>
              <w:t>验收资料和</w:t>
            </w:r>
            <w:r>
              <w:rPr>
                <w:rFonts w:hint="eastAsia" w:ascii="宋体" w:hAnsi="宋体" w:eastAsia="宋体" w:cs="宋体"/>
                <w:b w:val="0"/>
                <w:bCs/>
                <w:color w:val="auto"/>
                <w:sz w:val="21"/>
                <w:szCs w:val="21"/>
              </w:rPr>
              <w:t>发票后向中标人支付合同总价的</w:t>
            </w:r>
            <w:r>
              <w:rPr>
                <w:rFonts w:hint="eastAsia" w:ascii="宋体" w:hAnsi="宋体" w:eastAsia="宋体" w:cs="宋体"/>
                <w:b w:val="0"/>
                <w:bCs/>
                <w:color w:val="auto"/>
                <w:sz w:val="21"/>
                <w:szCs w:val="21"/>
                <w:u w:val="single"/>
                <w:lang w:val="en-US" w:eastAsia="zh-CN"/>
              </w:rPr>
              <w:t>100</w:t>
            </w:r>
            <w:r>
              <w:rPr>
                <w:rFonts w:hint="eastAsia" w:ascii="宋体" w:hAnsi="宋体" w:eastAsia="宋体" w:cs="宋体"/>
                <w:b w:val="0"/>
                <w:bCs/>
                <w:color w:val="auto"/>
                <w:sz w:val="21"/>
                <w:szCs w:val="21"/>
              </w:rPr>
              <w:t>%。</w:t>
            </w:r>
          </w:p>
          <w:p w14:paraId="13B3F694">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4.2</w:t>
            </w:r>
            <w:r>
              <w:rPr>
                <w:rFonts w:hint="eastAsia" w:ascii="宋体" w:hAnsi="宋体" w:eastAsia="宋体" w:cs="宋体"/>
                <w:b w:val="0"/>
                <w:bCs/>
                <w:color w:val="auto"/>
                <w:sz w:val="21"/>
                <w:szCs w:val="21"/>
              </w:rPr>
              <w:t>每次</w:t>
            </w:r>
            <w:r>
              <w:rPr>
                <w:rFonts w:hint="eastAsia" w:ascii="宋体" w:hAnsi="宋体" w:eastAsia="宋体" w:cs="宋体"/>
                <w:b w:val="0"/>
                <w:bCs/>
                <w:color w:val="auto"/>
                <w:sz w:val="21"/>
                <w:szCs w:val="21"/>
                <w:lang w:eastAsia="zh-TW"/>
              </w:rPr>
              <w:t>按合同支付款项前，</w:t>
            </w:r>
            <w:r>
              <w:rPr>
                <w:rFonts w:hint="eastAsia" w:ascii="宋体" w:hAnsi="宋体" w:eastAsia="宋体" w:cs="宋体"/>
                <w:b w:val="0"/>
                <w:bCs/>
                <w:color w:val="auto"/>
                <w:sz w:val="21"/>
                <w:szCs w:val="21"/>
              </w:rPr>
              <w:t>中标人应</w:t>
            </w:r>
            <w:r>
              <w:rPr>
                <w:rFonts w:hint="eastAsia" w:ascii="宋体" w:hAnsi="宋体" w:eastAsia="宋体" w:cs="宋体"/>
                <w:b w:val="0"/>
                <w:bCs/>
                <w:color w:val="auto"/>
                <w:sz w:val="21"/>
                <w:szCs w:val="21"/>
                <w:lang w:eastAsia="zh-TW"/>
              </w:rPr>
              <w:t>向采购人提供与支付金额相符的有效发票，且收款方、出具发票方、合同乙方均必须与</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lang w:eastAsia="zh-TW"/>
              </w:rPr>
              <w:t>名称一致；</w:t>
            </w:r>
          </w:p>
          <w:p w14:paraId="32E56C8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
                <w:sz w:val="21"/>
                <w:szCs w:val="21"/>
              </w:rPr>
            </w:pPr>
            <w:r>
              <w:rPr>
                <w:rFonts w:hint="eastAsia" w:ascii="宋体" w:hAnsi="宋体" w:eastAsia="宋体" w:cs="宋体"/>
                <w:b w:val="0"/>
                <w:bCs/>
                <w:color w:val="auto"/>
                <w:sz w:val="21"/>
                <w:szCs w:val="21"/>
                <w:lang w:val="en-US" w:eastAsia="zh-CN"/>
              </w:rPr>
              <w:t>4.3</w:t>
            </w:r>
            <w:r>
              <w:rPr>
                <w:rFonts w:hint="eastAsia" w:ascii="宋体" w:hAnsi="宋体" w:eastAsia="宋体" w:cs="宋体"/>
                <w:b w:val="0"/>
                <w:bCs/>
                <w:color w:val="auto"/>
                <w:sz w:val="21"/>
                <w:szCs w:val="21"/>
              </w:rPr>
              <w:t>违约责任：</w:t>
            </w:r>
            <w:r>
              <w:rPr>
                <w:rFonts w:hint="eastAsia" w:ascii="宋体" w:hAnsi="宋体" w:eastAsia="宋体" w:cs="宋体"/>
                <w:b w:val="0"/>
                <w:bCs/>
                <w:color w:val="auto"/>
                <w:sz w:val="21"/>
                <w:szCs w:val="21"/>
                <w:lang w:eastAsia="zh-TW"/>
              </w:rPr>
              <w:t>采购人逾期</w:t>
            </w:r>
            <w:r>
              <w:rPr>
                <w:rFonts w:hint="eastAsia" w:ascii="宋体" w:hAnsi="宋体" w:eastAsia="宋体" w:cs="宋体"/>
                <w:b w:val="0"/>
                <w:bCs/>
                <w:color w:val="auto"/>
                <w:sz w:val="21"/>
                <w:szCs w:val="21"/>
              </w:rPr>
              <w:t>支付合同款项</w:t>
            </w:r>
            <w:r>
              <w:rPr>
                <w:rFonts w:hint="eastAsia" w:ascii="宋体" w:hAnsi="宋体" w:eastAsia="宋体" w:cs="宋体"/>
                <w:b w:val="0"/>
                <w:bCs/>
                <w:color w:val="auto"/>
                <w:sz w:val="21"/>
                <w:szCs w:val="21"/>
                <w:lang w:eastAsia="zh-TW"/>
              </w:rPr>
              <w:t>的，除应当</w:t>
            </w:r>
            <w:r>
              <w:rPr>
                <w:rFonts w:hint="eastAsia" w:ascii="宋体" w:hAnsi="宋体" w:eastAsia="宋体" w:cs="宋体"/>
                <w:b w:val="0"/>
                <w:bCs/>
                <w:color w:val="auto"/>
                <w:sz w:val="21"/>
                <w:szCs w:val="21"/>
              </w:rPr>
              <w:t>支付合同款项</w:t>
            </w:r>
            <w:r>
              <w:rPr>
                <w:rFonts w:hint="eastAsia" w:ascii="宋体" w:hAnsi="宋体" w:eastAsia="宋体" w:cs="宋体"/>
                <w:b w:val="0"/>
                <w:bCs/>
                <w:color w:val="auto"/>
                <w:sz w:val="21"/>
                <w:szCs w:val="21"/>
                <w:lang w:eastAsia="zh-TW"/>
              </w:rPr>
              <w:t>外，还应当每日按合同总价的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eastAsia="zh-TW"/>
              </w:rPr>
              <w:t>‰向</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lang w:eastAsia="zh-TW"/>
              </w:rPr>
              <w:t>偿付违约金，但因</w:t>
            </w:r>
            <w:r>
              <w:rPr>
                <w:rFonts w:hint="eastAsia" w:ascii="宋体" w:hAnsi="宋体" w:eastAsia="宋体" w:cs="宋体"/>
                <w:b w:val="0"/>
                <w:bCs/>
                <w:color w:val="auto"/>
                <w:sz w:val="21"/>
                <w:szCs w:val="21"/>
              </w:rPr>
              <w:t>中标人</w:t>
            </w:r>
            <w:r>
              <w:rPr>
                <w:rFonts w:hint="eastAsia" w:ascii="宋体" w:hAnsi="宋体" w:eastAsia="宋体" w:cs="宋体"/>
                <w:b w:val="0"/>
                <w:bCs/>
                <w:color w:val="auto"/>
                <w:sz w:val="21"/>
                <w:szCs w:val="21"/>
                <w:lang w:eastAsia="zh-TW"/>
              </w:rPr>
              <w:t>自身原因导致无法及时</w:t>
            </w:r>
            <w:r>
              <w:rPr>
                <w:rFonts w:hint="eastAsia" w:ascii="宋体" w:hAnsi="宋体" w:eastAsia="宋体" w:cs="宋体"/>
                <w:b w:val="0"/>
                <w:bCs/>
                <w:color w:val="auto"/>
                <w:sz w:val="21"/>
                <w:szCs w:val="21"/>
              </w:rPr>
              <w:t>支付</w:t>
            </w:r>
            <w:r>
              <w:rPr>
                <w:rFonts w:hint="eastAsia" w:ascii="宋体" w:hAnsi="宋体" w:eastAsia="宋体" w:cs="宋体"/>
                <w:b w:val="0"/>
                <w:bCs/>
                <w:color w:val="auto"/>
                <w:sz w:val="21"/>
                <w:szCs w:val="21"/>
                <w:lang w:eastAsia="zh-TW"/>
              </w:rPr>
              <w:t>的除外</w:t>
            </w:r>
            <w:r>
              <w:rPr>
                <w:rFonts w:hint="eastAsia" w:ascii="宋体" w:hAnsi="宋体" w:eastAsia="宋体" w:cs="宋体"/>
                <w:b w:val="0"/>
                <w:bCs/>
                <w:color w:val="auto"/>
                <w:sz w:val="21"/>
                <w:szCs w:val="21"/>
              </w:rPr>
              <w:t>。</w:t>
            </w:r>
          </w:p>
        </w:tc>
      </w:tr>
      <w:tr w14:paraId="34E1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noWrap w:val="0"/>
            <w:vAlign w:val="center"/>
          </w:tcPr>
          <w:p w14:paraId="7EE9F2F2">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5</w:t>
            </w:r>
          </w:p>
        </w:tc>
        <w:tc>
          <w:tcPr>
            <w:tcW w:w="917" w:type="pct"/>
            <w:noWrap w:val="0"/>
            <w:vAlign w:val="center"/>
          </w:tcPr>
          <w:p w14:paraId="72F7FE30">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jc w:val="center"/>
              <w:textAlignment w:val="auto"/>
              <w:rPr>
                <w:rFonts w:hint="eastAsia" w:ascii="宋体" w:hAnsi="宋体" w:eastAsia="宋体" w:cs="宋体"/>
                <w:b w:val="0"/>
                <w:bCs/>
                <w:sz w:val="21"/>
                <w:szCs w:val="21"/>
              </w:rPr>
            </w:pPr>
            <w:r>
              <w:rPr>
                <w:rFonts w:hint="eastAsia" w:ascii="宋体" w:hAnsi="宋体" w:eastAsia="宋体" w:cs="宋体"/>
                <w:b w:val="0"/>
                <w:bCs/>
                <w:color w:val="auto"/>
                <w:sz w:val="21"/>
                <w:szCs w:val="21"/>
              </w:rPr>
              <w:t>★知识产权合规承诺</w:t>
            </w:r>
          </w:p>
        </w:tc>
        <w:tc>
          <w:tcPr>
            <w:tcW w:w="3377" w:type="pct"/>
            <w:noWrap w:val="0"/>
            <w:vAlign w:val="top"/>
          </w:tcPr>
          <w:p w14:paraId="4623DF35">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5.1</w:t>
            </w:r>
            <w:r>
              <w:rPr>
                <w:rFonts w:hint="eastAsia" w:ascii="宋体" w:hAnsi="宋体" w:eastAsia="宋体" w:cs="宋体"/>
                <w:bCs/>
                <w:color w:val="000000"/>
                <w:sz w:val="21"/>
                <w:szCs w:val="21"/>
                <w:highlight w:val="none"/>
              </w:rPr>
              <w:t>投标人</w:t>
            </w:r>
            <w:r>
              <w:rPr>
                <w:rFonts w:hint="eastAsia" w:ascii="宋体" w:hAnsi="宋体" w:eastAsia="宋体" w:cs="宋体"/>
                <w:color w:val="auto"/>
                <w:kern w:val="0"/>
                <w:sz w:val="21"/>
                <w:szCs w:val="21"/>
                <w:lang w:val="en-US" w:eastAsia="zh-CN" w:bidi="ar"/>
              </w:rPr>
              <w:t>在履行合同的过程中不得侵犯他人知识产权，不得提供虚假知识产权申请材料或者违背知识产权合规性承诺，否则依法追究其违约等责任，并将其失信违法信息依法纳入公共信用信息系统。</w:t>
            </w:r>
          </w:p>
          <w:p w14:paraId="2F5AF98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bidi="ar"/>
              </w:rPr>
              <w:t>5.2</w:t>
            </w:r>
            <w:r>
              <w:rPr>
                <w:rFonts w:hint="eastAsia" w:ascii="宋体" w:hAnsi="宋体" w:eastAsia="宋体" w:cs="宋体"/>
                <w:bCs/>
                <w:color w:val="000000"/>
                <w:sz w:val="21"/>
                <w:szCs w:val="21"/>
                <w:highlight w:val="none"/>
              </w:rPr>
              <w:t>投标人</w:t>
            </w:r>
            <w:r>
              <w:rPr>
                <w:rFonts w:hint="eastAsia" w:ascii="宋体" w:hAnsi="宋体" w:eastAsia="宋体" w:cs="宋体"/>
                <w:color w:val="auto"/>
                <w:kern w:val="0"/>
                <w:sz w:val="21"/>
                <w:szCs w:val="21"/>
                <w:lang w:val="en-US" w:eastAsia="zh-CN" w:bidi="ar"/>
              </w:rPr>
              <w:t>应保证采购人在使用该货物或其任何一部分时免受第三方提出侵犯其专利、商标、版权等知识产权或商品名称及其他权利的起诉及索赔。若采购人因此被第三方起诉或以其它方式追究责任，</w:t>
            </w:r>
            <w:r>
              <w:rPr>
                <w:rFonts w:hint="eastAsia" w:ascii="宋体" w:hAnsi="宋体" w:eastAsia="宋体" w:cs="宋体"/>
                <w:bCs/>
                <w:color w:val="000000"/>
                <w:sz w:val="21"/>
                <w:szCs w:val="21"/>
                <w:highlight w:val="none"/>
              </w:rPr>
              <w:t>投标人</w:t>
            </w:r>
            <w:r>
              <w:rPr>
                <w:rFonts w:hint="eastAsia" w:ascii="宋体" w:hAnsi="宋体" w:eastAsia="宋体" w:cs="宋体"/>
                <w:color w:val="auto"/>
                <w:kern w:val="0"/>
                <w:sz w:val="21"/>
                <w:szCs w:val="21"/>
                <w:lang w:val="en-US" w:eastAsia="zh-CN" w:bidi="ar"/>
              </w:rPr>
              <w:t>应赔偿因采购人被第三方索赔所引起的一切损失，包括但不限于采购人所支付的侵权损害赔偿费、律师费、诉讼费、仲裁费、办案差旅费等因应诉、沟通协调所发的一切费用。</w:t>
            </w:r>
          </w:p>
          <w:p w14:paraId="53AF621D">
            <w:pPr>
              <w:keepNext w:val="0"/>
              <w:keepLines w:val="0"/>
              <w:pageBreakBefore w:val="0"/>
              <w:widowControl w:val="0"/>
              <w:numPr>
                <w:ilvl w:val="0"/>
                <w:numId w:val="0"/>
              </w:numPr>
              <w:tabs>
                <w:tab w:val="left" w:pos="540"/>
              </w:tabs>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r>
              <w:rPr>
                <w:rFonts w:hint="eastAsia" w:ascii="宋体" w:hAnsi="宋体" w:eastAsia="宋体" w:cs="宋体"/>
                <w:bCs/>
                <w:color w:val="auto"/>
                <w:kern w:val="0"/>
                <w:sz w:val="21"/>
                <w:szCs w:val="21"/>
                <w:lang w:val="en-US" w:eastAsia="zh-CN" w:bidi="ar"/>
              </w:rPr>
              <w:t>5.3</w:t>
            </w:r>
            <w:r>
              <w:rPr>
                <w:rFonts w:hint="eastAsia" w:ascii="宋体" w:hAnsi="宋体" w:eastAsia="宋体" w:cs="宋体"/>
                <w:bCs/>
                <w:color w:val="000000"/>
                <w:sz w:val="21"/>
                <w:szCs w:val="21"/>
                <w:highlight w:val="none"/>
              </w:rPr>
              <w:t>投标人</w:t>
            </w:r>
            <w:r>
              <w:rPr>
                <w:rFonts w:hint="eastAsia" w:ascii="宋体" w:hAnsi="宋体" w:eastAsia="宋体" w:cs="宋体"/>
                <w:bCs/>
                <w:color w:val="auto"/>
                <w:kern w:val="0"/>
                <w:sz w:val="21"/>
                <w:szCs w:val="21"/>
                <w:lang w:val="en-US" w:eastAsia="zh-CN" w:bidi="ar"/>
              </w:rPr>
              <w:t>实施本项目所形成成果的知识产权归采购人所有，未经采购人许可，</w:t>
            </w:r>
            <w:r>
              <w:rPr>
                <w:rFonts w:hint="eastAsia" w:ascii="宋体" w:hAnsi="宋体" w:eastAsia="宋体" w:cs="宋体"/>
                <w:bCs/>
                <w:color w:val="000000"/>
                <w:sz w:val="21"/>
                <w:szCs w:val="21"/>
                <w:highlight w:val="none"/>
              </w:rPr>
              <w:t>投标人</w:t>
            </w:r>
            <w:r>
              <w:rPr>
                <w:rFonts w:hint="eastAsia" w:ascii="宋体" w:hAnsi="宋体" w:eastAsia="宋体" w:cs="宋体"/>
                <w:bCs/>
                <w:color w:val="auto"/>
                <w:kern w:val="0"/>
                <w:sz w:val="21"/>
                <w:szCs w:val="21"/>
                <w:lang w:val="en-US" w:eastAsia="zh-CN" w:bidi="ar"/>
              </w:rPr>
              <w:t>不得随意使用。</w:t>
            </w:r>
          </w:p>
        </w:tc>
      </w:tr>
      <w:tr w14:paraId="0D47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noWrap w:val="0"/>
            <w:vAlign w:val="center"/>
          </w:tcPr>
          <w:p w14:paraId="3D6C4647">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lang w:eastAsia="zh-CN"/>
              </w:rPr>
            </w:pPr>
            <w:r>
              <w:rPr>
                <w:rFonts w:hint="eastAsia" w:ascii="宋体" w:hAnsi="宋体" w:eastAsia="宋体" w:cs="宋体"/>
                <w:b w:val="0"/>
                <w:bCs/>
                <w:sz w:val="21"/>
                <w:szCs w:val="21"/>
                <w:lang w:val="en-US" w:eastAsia="zh-CN"/>
              </w:rPr>
              <w:t>6</w:t>
            </w:r>
          </w:p>
        </w:tc>
        <w:tc>
          <w:tcPr>
            <w:tcW w:w="917" w:type="pct"/>
            <w:noWrap w:val="0"/>
            <w:vAlign w:val="center"/>
          </w:tcPr>
          <w:p w14:paraId="5FD91D7D">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sz w:val="21"/>
                <w:szCs w:val="21"/>
              </w:rPr>
              <w:t>履约保证金</w:t>
            </w:r>
          </w:p>
        </w:tc>
        <w:tc>
          <w:tcPr>
            <w:tcW w:w="3377" w:type="pct"/>
            <w:noWrap w:val="0"/>
            <w:vAlign w:val="top"/>
          </w:tcPr>
          <w:p w14:paraId="50B2F98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6.1</w:t>
            </w:r>
            <w:r>
              <w:rPr>
                <w:rFonts w:hint="eastAsia" w:ascii="宋体" w:hAnsi="宋体" w:eastAsia="宋体" w:cs="宋体"/>
                <w:sz w:val="21"/>
                <w:szCs w:val="21"/>
                <w:highlight w:val="none"/>
              </w:rPr>
              <w:t>提交说明</w:t>
            </w:r>
          </w:p>
          <w:p w14:paraId="27E156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8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eastAsia="zh-CN"/>
              </w:rPr>
              <w:t>收到中标通知书后</w:t>
            </w:r>
            <w:r>
              <w:rPr>
                <w:rFonts w:hint="eastAsia" w:ascii="宋体" w:hAnsi="宋体" w:eastAsia="宋体" w:cs="宋体"/>
                <w:sz w:val="21"/>
                <w:szCs w:val="21"/>
                <w:shd w:val="clear" w:fill="FFFFFF" w:themeFill="background1"/>
              </w:rPr>
              <w:t>五个工作日内提交</w:t>
            </w:r>
            <w:r>
              <w:rPr>
                <w:rFonts w:hint="eastAsia" w:ascii="宋体" w:hAnsi="宋体" w:eastAsia="宋体" w:cs="宋体"/>
                <w:sz w:val="21"/>
                <w:szCs w:val="21"/>
                <w:highlight w:val="none"/>
              </w:rPr>
              <w:t>；</w:t>
            </w:r>
          </w:p>
          <w:p w14:paraId="2E37AE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840" w:leftChars="0" w:hanging="420" w:firstLineChars="0"/>
              <w:textAlignment w:val="auto"/>
              <w:rPr>
                <w:rFonts w:hint="eastAsia" w:ascii="宋体" w:hAnsi="宋体" w:eastAsia="宋体" w:cs="宋体"/>
                <w:sz w:val="21"/>
                <w:szCs w:val="21"/>
                <w:highlight w:val="none"/>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highlight w:val="none"/>
              </w:rPr>
              <w:t>金额：合同（成交）金额的</w:t>
            </w:r>
            <w:r>
              <w:rPr>
                <w:rFonts w:hint="eastAsia" w:ascii="宋体" w:hAnsi="宋体" w:eastAsia="宋体" w:cs="宋体"/>
                <w:sz w:val="21"/>
                <w:szCs w:val="21"/>
                <w:highlight w:val="none"/>
                <w:u w:val="single"/>
                <w:lang w:val="en-US" w:eastAsia="zh-CN"/>
              </w:rPr>
              <w:t xml:space="preserve">   5   </w:t>
            </w:r>
            <w:r>
              <w:rPr>
                <w:rFonts w:hint="eastAsia" w:ascii="宋体" w:hAnsi="宋体" w:eastAsia="宋体" w:cs="宋体"/>
                <w:sz w:val="21"/>
                <w:szCs w:val="21"/>
                <w:highlight w:val="none"/>
              </w:rPr>
              <w:t>%；</w:t>
            </w:r>
          </w:p>
          <w:p w14:paraId="0FDA35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840" w:leftChars="0" w:hanging="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highlight w:val="none"/>
              </w:rPr>
              <w:t>方式：中标人自主选择；</w:t>
            </w:r>
          </w:p>
          <w:p w14:paraId="090A14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6.2</w:t>
            </w:r>
            <w:r>
              <w:rPr>
                <w:rFonts w:hint="eastAsia" w:ascii="宋体" w:hAnsi="宋体" w:eastAsia="宋体" w:cs="宋体"/>
                <w:sz w:val="21"/>
                <w:szCs w:val="21"/>
              </w:rPr>
              <w:t>退还说明：</w:t>
            </w:r>
          </w:p>
          <w:p w14:paraId="563DFC33">
            <w:pPr>
              <w:keepNext w:val="0"/>
              <w:keepLines w:val="0"/>
              <w:pageBreakBefore w:val="0"/>
              <w:widowControl w:val="0"/>
              <w:numPr>
                <w:ilvl w:val="0"/>
                <w:numId w:val="0"/>
              </w:numPr>
              <w:kinsoku/>
              <w:wordWrap/>
              <w:overflowPunct/>
              <w:topLinePunct w:val="0"/>
              <w:autoSpaceDE/>
              <w:autoSpaceDN/>
              <w:bidi w:val="0"/>
              <w:snapToGrid w:val="0"/>
              <w:spacing w:line="360" w:lineRule="auto"/>
              <w:ind w:left="674" w:leftChars="0" w:hanging="284"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1)</w:t>
            </w:r>
            <w:r>
              <w:rPr>
                <w:rFonts w:hint="eastAsia" w:ascii="宋体" w:hAnsi="宋体" w:eastAsia="宋体" w:cs="宋体"/>
                <w:sz w:val="21"/>
                <w:szCs w:val="21"/>
              </w:rPr>
              <w:t>时间、方式和条件：</w:t>
            </w:r>
            <w:r>
              <w:rPr>
                <w:rFonts w:hint="eastAsia" w:ascii="宋体" w:hAnsi="宋体" w:eastAsia="宋体" w:cs="宋体"/>
                <w:bCs/>
                <w:color w:val="000000"/>
                <w:sz w:val="21"/>
                <w:szCs w:val="21"/>
                <w:highlight w:val="none"/>
                <w:lang w:eastAsia="zh-CN"/>
              </w:rPr>
              <w:t>中标</w:t>
            </w:r>
            <w:r>
              <w:rPr>
                <w:rFonts w:hint="eastAsia" w:ascii="宋体" w:hAnsi="宋体" w:eastAsia="宋体" w:cs="宋体"/>
                <w:bCs/>
                <w:color w:val="000000"/>
                <w:sz w:val="21"/>
                <w:szCs w:val="21"/>
                <w:highlight w:val="none"/>
              </w:rPr>
              <w:t>人</w:t>
            </w:r>
            <w:r>
              <w:rPr>
                <w:rFonts w:hint="eastAsia" w:ascii="宋体" w:hAnsi="宋体" w:eastAsia="宋体" w:cs="宋体"/>
                <w:sz w:val="21"/>
                <w:szCs w:val="21"/>
                <w:lang w:eastAsia="zh-CN"/>
              </w:rPr>
              <w:t>供货完成调试、验收、培训且提供了厂家（或厂家授权）的售后服务承诺书后</w:t>
            </w:r>
            <w:r>
              <w:rPr>
                <w:rFonts w:hint="eastAsia" w:ascii="宋体" w:hAnsi="宋体" w:eastAsia="宋体" w:cs="宋体"/>
                <w:color w:val="auto"/>
                <w:sz w:val="21"/>
                <w:szCs w:val="21"/>
              </w:rPr>
              <w:t>向</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申请退回该履约保证金</w:t>
            </w:r>
            <w:bookmarkStart w:id="0" w:name="_GoBack"/>
            <w:bookmarkEnd w:id="0"/>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收到申请审核同意后，无息返还</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的履约保证金。因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原因而未能达到本项目验收标准或验收不通过的，履约保证金不予退还。</w:t>
            </w:r>
          </w:p>
          <w:p w14:paraId="6CD25A84">
            <w:pPr>
              <w:keepNext w:val="0"/>
              <w:keepLines w:val="0"/>
              <w:pageBreakBefore w:val="0"/>
              <w:widowControl w:val="0"/>
              <w:numPr>
                <w:ilvl w:val="0"/>
                <w:numId w:val="0"/>
              </w:numPr>
              <w:kinsoku/>
              <w:wordWrap/>
              <w:overflowPunct/>
              <w:topLinePunct w:val="0"/>
              <w:autoSpaceDE/>
              <w:autoSpaceDN/>
              <w:bidi w:val="0"/>
              <w:snapToGrid w:val="0"/>
              <w:spacing w:line="360" w:lineRule="auto"/>
              <w:ind w:left="674" w:leftChars="0" w:hanging="284" w:firstLineChars="0"/>
              <w:textAlignment w:val="auto"/>
              <w:rPr>
                <w:rFonts w:hint="eastAsia" w:ascii="宋体" w:hAnsi="宋体" w:eastAsia="宋体" w:cs="宋体"/>
                <w:sz w:val="21"/>
                <w:szCs w:val="21"/>
              </w:rPr>
            </w:pPr>
            <w:r>
              <w:rPr>
                <w:rFonts w:hint="eastAsia" w:ascii="宋体" w:hAnsi="宋体" w:eastAsia="宋体" w:cs="宋体"/>
                <w:kern w:val="2"/>
                <w:sz w:val="21"/>
                <w:szCs w:val="21"/>
                <w:lang w:val="en-US" w:eastAsia="zh-CN" w:bidi="ar-SA"/>
              </w:rPr>
              <w:t>2)</w:t>
            </w:r>
            <w:r>
              <w:rPr>
                <w:rFonts w:hint="eastAsia" w:ascii="宋体" w:hAnsi="宋体" w:eastAsia="宋体" w:cs="宋体"/>
                <w:sz w:val="21"/>
                <w:szCs w:val="21"/>
              </w:rPr>
              <w:t>违约责任：采购人逾期退还履约保证金的，除应当退还履约保证金本金外，还应当每日按合同总价的</w:t>
            </w:r>
            <w:r>
              <w:rPr>
                <w:rFonts w:hint="eastAsia" w:ascii="宋体" w:hAnsi="宋体" w:eastAsia="宋体" w:cs="宋体"/>
                <w:sz w:val="21"/>
                <w:szCs w:val="21"/>
                <w:lang w:val="en-US" w:eastAsia="zh-CN"/>
              </w:rPr>
              <w:t>1</w:t>
            </w:r>
            <w:r>
              <w:rPr>
                <w:rFonts w:hint="eastAsia" w:ascii="宋体" w:hAnsi="宋体" w:eastAsia="宋体" w:cs="宋体"/>
                <w:sz w:val="21"/>
                <w:szCs w:val="21"/>
              </w:rPr>
              <w:t>‰向中标人偿付违约金，但因</w:t>
            </w:r>
            <w:r>
              <w:rPr>
                <w:rFonts w:hint="eastAsia" w:ascii="宋体" w:hAnsi="宋体" w:eastAsia="宋体" w:cs="宋体"/>
                <w:bCs/>
                <w:color w:val="000000"/>
                <w:sz w:val="21"/>
                <w:szCs w:val="21"/>
                <w:highlight w:val="none"/>
                <w:lang w:val="en-US" w:eastAsia="zh-CN"/>
              </w:rPr>
              <w:t>中</w:t>
            </w:r>
            <w:r>
              <w:rPr>
                <w:rFonts w:hint="eastAsia" w:ascii="宋体" w:hAnsi="宋体" w:eastAsia="宋体" w:cs="宋体"/>
                <w:bCs/>
                <w:color w:val="000000"/>
                <w:sz w:val="21"/>
                <w:szCs w:val="21"/>
                <w:highlight w:val="none"/>
              </w:rPr>
              <w:t>标人</w:t>
            </w:r>
            <w:r>
              <w:rPr>
                <w:rFonts w:hint="eastAsia" w:ascii="宋体" w:hAnsi="宋体" w:eastAsia="宋体" w:cs="宋体"/>
                <w:sz w:val="21"/>
                <w:szCs w:val="21"/>
              </w:rPr>
              <w:t>自身原因导致无法及时退还的除外。</w:t>
            </w:r>
          </w:p>
          <w:p w14:paraId="57EC1DE7">
            <w:pPr>
              <w:keepNext w:val="0"/>
              <w:keepLines w:val="0"/>
              <w:pageBreakBefore w:val="0"/>
              <w:widowControl w:val="0"/>
              <w:numPr>
                <w:ilvl w:val="0"/>
                <w:numId w:val="0"/>
              </w:numPr>
              <w:kinsoku/>
              <w:wordWrap/>
              <w:overflowPunct/>
              <w:topLinePunct w:val="0"/>
              <w:autoSpaceDE/>
              <w:autoSpaceDN/>
              <w:bidi w:val="0"/>
              <w:snapToGrid w:val="0"/>
              <w:spacing w:line="360" w:lineRule="auto"/>
              <w:ind w:left="674" w:leftChars="0" w:hanging="284" w:firstLineChars="0"/>
              <w:textAlignment w:val="auto"/>
              <w:rPr>
                <w:rFonts w:hint="eastAsia" w:ascii="宋体" w:hAnsi="宋体" w:eastAsia="宋体" w:cs="宋体"/>
                <w:b/>
                <w:sz w:val="21"/>
                <w:szCs w:val="21"/>
              </w:rPr>
            </w:pPr>
            <w:r>
              <w:rPr>
                <w:rFonts w:hint="eastAsia" w:ascii="宋体" w:hAnsi="宋体" w:eastAsia="宋体" w:cs="宋体"/>
                <w:b/>
                <w:kern w:val="2"/>
                <w:sz w:val="21"/>
                <w:szCs w:val="21"/>
                <w:lang w:val="en-US" w:eastAsia="zh-CN" w:bidi="ar-SA"/>
              </w:rPr>
              <w:t>3)</w:t>
            </w:r>
            <w:r>
              <w:rPr>
                <w:rFonts w:hint="eastAsia" w:ascii="宋体" w:hAnsi="宋体" w:eastAsia="宋体" w:cs="宋体"/>
                <w:sz w:val="21"/>
                <w:szCs w:val="21"/>
                <w:highlight w:val="none"/>
              </w:rPr>
              <w:t>中标人违反合同及其附件约定的任何义务，采购人有权在履约保证金中直接扣除</w:t>
            </w:r>
            <w:r>
              <w:rPr>
                <w:rFonts w:hint="eastAsia" w:ascii="宋体" w:hAnsi="宋体" w:eastAsia="宋体" w:cs="宋体"/>
                <w:bCs/>
                <w:sz w:val="21"/>
                <w:szCs w:val="21"/>
                <w:highlight w:val="none"/>
                <w:lang w:val="en-US" w:eastAsia="zh-CN"/>
              </w:rPr>
              <w:t>中</w:t>
            </w:r>
            <w:r>
              <w:rPr>
                <w:rFonts w:hint="eastAsia" w:ascii="宋体" w:hAnsi="宋体" w:eastAsia="宋体" w:cs="宋体"/>
                <w:bCs/>
                <w:sz w:val="21"/>
                <w:szCs w:val="21"/>
                <w:highlight w:val="none"/>
              </w:rPr>
              <w:t>标人</w:t>
            </w:r>
            <w:r>
              <w:rPr>
                <w:rFonts w:hint="eastAsia" w:ascii="宋体" w:hAnsi="宋体" w:eastAsia="宋体" w:cs="宋体"/>
                <w:sz w:val="21"/>
                <w:szCs w:val="21"/>
                <w:highlight w:val="none"/>
              </w:rPr>
              <w:t>应向采购人支付的违约金或损失赔偿额，如有不足的，中标人应对超过的部分予以赔偿。</w:t>
            </w:r>
          </w:p>
        </w:tc>
      </w:tr>
      <w:tr w14:paraId="508D0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05" w:type="pct"/>
            <w:noWrap w:val="0"/>
            <w:vAlign w:val="center"/>
          </w:tcPr>
          <w:p w14:paraId="1A24D535">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sz w:val="21"/>
                <w:szCs w:val="21"/>
                <w:lang w:val="en-US" w:eastAsia="zh-CN"/>
              </w:rPr>
              <w:t>7</w:t>
            </w:r>
          </w:p>
        </w:tc>
        <w:tc>
          <w:tcPr>
            <w:tcW w:w="917" w:type="pct"/>
            <w:noWrap w:val="0"/>
            <w:vAlign w:val="center"/>
          </w:tcPr>
          <w:p w14:paraId="53EF6C84">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color w:val="auto"/>
                <w:sz w:val="21"/>
                <w:szCs w:val="21"/>
              </w:rPr>
              <w:t>★</w:t>
            </w:r>
            <w:r>
              <w:rPr>
                <w:rFonts w:hint="eastAsia" w:ascii="宋体" w:hAnsi="宋体" w:eastAsia="宋体" w:cs="宋体"/>
                <w:b w:val="0"/>
                <w:bCs/>
                <w:kern w:val="2"/>
                <w:sz w:val="21"/>
                <w:szCs w:val="21"/>
                <w:highlight w:val="none"/>
                <w:lang w:val="en-US" w:eastAsia="zh-CN" w:bidi="ar-SA"/>
              </w:rPr>
              <w:t>产品资质要求</w:t>
            </w:r>
          </w:p>
        </w:tc>
        <w:tc>
          <w:tcPr>
            <w:tcW w:w="3377" w:type="pct"/>
            <w:noWrap w:val="0"/>
            <w:vAlign w:val="center"/>
          </w:tcPr>
          <w:p w14:paraId="1CA0A04B">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7.1若投标人为所投产品的生产企业，须根据所投医疗器械类别提供《医疗器械生产许可证》（或备案凭证），并有相应生产范围；若投标人为所投产品的代理商或授权供应商，须根据所投医疗器械类别提供《医疗器械经营许可证》（或备案凭证），并有相应经营范围；当所投产品属于第一类医疗器械时无须提供《医疗器械经营许可证》（或备案凭证），但投标人应在响应文件中对其所属类别进行书面说明；以上证明材料均提供复印件或扫描件。</w:t>
            </w:r>
          </w:p>
          <w:p w14:paraId="06899BB6">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bCs/>
                <w:color w:val="000000"/>
                <w:kern w:val="2"/>
                <w:sz w:val="21"/>
                <w:szCs w:val="21"/>
                <w:highlight w:val="none"/>
                <w:lang w:val="en-US" w:eastAsia="zh-CN" w:bidi="ar-SA"/>
              </w:rPr>
            </w:pPr>
            <w:r>
              <w:rPr>
                <w:rFonts w:hint="eastAsia" w:ascii="宋体" w:hAnsi="宋体" w:eastAsia="宋体" w:cs="宋体"/>
                <w:bCs/>
                <w:color w:val="000000"/>
                <w:kern w:val="2"/>
                <w:sz w:val="21"/>
                <w:szCs w:val="21"/>
                <w:highlight w:val="none"/>
                <w:lang w:val="en-US" w:eastAsia="zh-CN" w:bidi="ar-SA"/>
              </w:rPr>
              <w:t>★7.2投标人所投产品须具备相关主管部门要求的认证资料：所投产品为第一类医疗器械的，须提供医疗器械备案证明；所投产品为第二、三类医疗器械的，须提供《医疗器械注册证》【医疗器械注册证（或备案证明）上如体现产品型号，应与响应产品型号相同；响应截止时，医疗器械注册证（或备案证明）应在有效期内，若不在有效期内，则需同时提供由主管部门出具的所投产品在医疗器械注册证（或备案证明）有效期内生产的证明文件】；以上证明材料均提供复印件或扫描件。</w:t>
            </w:r>
          </w:p>
        </w:tc>
      </w:tr>
    </w:tbl>
    <w:p w14:paraId="0AB8C9A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1"/>
          <w:szCs w:val="21"/>
        </w:rPr>
      </w:pP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4"/>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4"/>
          <w:jc w:val="center"/>
        </w:pPr>
      </w:p>
    </w:sdtContent>
  </w:sdt>
  <w:p w14:paraId="7FA6150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5"/>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E42CC"/>
    <w:multiLevelType w:val="multilevel"/>
    <w:tmpl w:val="062E42CC"/>
    <w:lvl w:ilvl="0" w:tentative="0">
      <w:start w:val="1"/>
      <w:numFmt w:val="bullet"/>
      <w:pStyle w:val="52"/>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F622805"/>
    <w:rsid w:val="0F987405"/>
    <w:rsid w:val="0FDC42A7"/>
    <w:rsid w:val="10367123"/>
    <w:rsid w:val="10417984"/>
    <w:rsid w:val="10895666"/>
    <w:rsid w:val="1090553E"/>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7C0550"/>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448BA"/>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6F86CAF"/>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C64924"/>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9E622F"/>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6472B"/>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CFD651E"/>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6F4E48"/>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AB0C9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242EC8"/>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AE4AF5"/>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B8009F"/>
    <w:rsid w:val="6EC647D7"/>
    <w:rsid w:val="6ED919F6"/>
    <w:rsid w:val="6EDE3796"/>
    <w:rsid w:val="6EF410D7"/>
    <w:rsid w:val="6EFA4214"/>
    <w:rsid w:val="6F5153EC"/>
    <w:rsid w:val="6FC84312"/>
    <w:rsid w:val="6FE605C4"/>
    <w:rsid w:val="70265F41"/>
    <w:rsid w:val="703B2D36"/>
    <w:rsid w:val="70673123"/>
    <w:rsid w:val="706C3BCA"/>
    <w:rsid w:val="70A34986"/>
    <w:rsid w:val="70B704DA"/>
    <w:rsid w:val="70EE5FF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D939E1"/>
    <w:rsid w:val="75E579CC"/>
    <w:rsid w:val="76184CE8"/>
    <w:rsid w:val="76525E43"/>
    <w:rsid w:val="76783713"/>
    <w:rsid w:val="76BB7D9C"/>
    <w:rsid w:val="76D46753"/>
    <w:rsid w:val="76FF4ABD"/>
    <w:rsid w:val="77813724"/>
    <w:rsid w:val="778E6FF9"/>
    <w:rsid w:val="77BC650A"/>
    <w:rsid w:val="77D50689"/>
    <w:rsid w:val="781A4D46"/>
    <w:rsid w:val="782C4AD2"/>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F0563E"/>
    <w:rsid w:val="7D060CAB"/>
    <w:rsid w:val="7D0B50EE"/>
    <w:rsid w:val="7D7942E8"/>
    <w:rsid w:val="7D9552CA"/>
    <w:rsid w:val="7DF42BD8"/>
    <w:rsid w:val="7E255143"/>
    <w:rsid w:val="7E7200FE"/>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4"/>
    <w:autoRedefine/>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Cambria" w:hAnsi="Cambria"/>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7"/>
    <w:link w:val="55"/>
    <w:autoRedefine/>
    <w:unhideWhenUsed/>
    <w:qFormat/>
    <w:uiPriority w:val="99"/>
    <w:pPr>
      <w:jc w:val="left"/>
    </w:pPr>
  </w:style>
  <w:style w:type="paragraph" w:styleId="7">
    <w:name w:val="List Paragraph"/>
    <w:basedOn w:val="1"/>
    <w:autoRedefine/>
    <w:qFormat/>
    <w:uiPriority w:val="34"/>
    <w:pPr>
      <w:ind w:firstLine="420" w:firstLineChars="200"/>
    </w:pPr>
  </w:style>
  <w:style w:type="paragraph" w:styleId="8">
    <w:name w:val="Body Text"/>
    <w:basedOn w:val="1"/>
    <w:next w:val="9"/>
    <w:autoRedefine/>
    <w:qFormat/>
    <w:uiPriority w:val="0"/>
    <w:pPr>
      <w:spacing w:after="120"/>
    </w:pPr>
  </w:style>
  <w:style w:type="paragraph" w:customStyle="1" w:styleId="9">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0">
    <w:name w:val="Body Text Indent"/>
    <w:basedOn w:val="1"/>
    <w:autoRedefine/>
    <w:unhideWhenUsed/>
    <w:qFormat/>
    <w:uiPriority w:val="99"/>
    <w:pPr>
      <w:spacing w:after="120"/>
      <w:ind w:left="420" w:leftChars="200"/>
    </w:pPr>
  </w:style>
  <w:style w:type="paragraph" w:styleId="11">
    <w:name w:val="Plain Text"/>
    <w:basedOn w:val="1"/>
    <w:link w:val="38"/>
    <w:autoRedefine/>
    <w:qFormat/>
    <w:uiPriority w:val="0"/>
    <w:rPr>
      <w:rFonts w:ascii="宋体" w:hAnsi="Courier New" w:eastAsiaTheme="minorEastAsia" w:cstheme="minorBidi"/>
    </w:rPr>
  </w:style>
  <w:style w:type="paragraph" w:styleId="12">
    <w:name w:val="Date"/>
    <w:basedOn w:val="1"/>
    <w:next w:val="1"/>
    <w:link w:val="30"/>
    <w:autoRedefine/>
    <w:qFormat/>
    <w:uiPriority w:val="0"/>
    <w:rPr>
      <w:rFonts w:ascii="宋体" w:hAnsi="Courier New"/>
      <w:kern w:val="0"/>
      <w:sz w:val="32"/>
      <w:szCs w:val="20"/>
    </w:rPr>
  </w:style>
  <w:style w:type="paragraph" w:styleId="13">
    <w:name w:val="Balloon Text"/>
    <w:basedOn w:val="1"/>
    <w:link w:val="31"/>
    <w:autoRedefine/>
    <w:semiHidden/>
    <w:unhideWhenUsed/>
    <w:qFormat/>
    <w:uiPriority w:val="99"/>
    <w:rPr>
      <w:sz w:val="18"/>
      <w:szCs w:val="18"/>
    </w:rPr>
  </w:style>
  <w:style w:type="paragraph" w:styleId="14">
    <w:name w:val="footer"/>
    <w:basedOn w:val="1"/>
    <w:link w:val="33"/>
    <w:autoRedefine/>
    <w:unhideWhenUsed/>
    <w:qFormat/>
    <w:uiPriority w:val="99"/>
    <w:pPr>
      <w:tabs>
        <w:tab w:val="center" w:pos="4153"/>
        <w:tab w:val="right" w:pos="8306"/>
      </w:tabs>
      <w:snapToGrid w:val="0"/>
      <w:jc w:val="left"/>
    </w:pPr>
    <w:rPr>
      <w:sz w:val="18"/>
      <w:szCs w:val="18"/>
    </w:rPr>
  </w:style>
  <w:style w:type="paragraph" w:styleId="15">
    <w:name w:val="header"/>
    <w:basedOn w:val="1"/>
    <w:link w:val="3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semiHidden/>
    <w:qFormat/>
    <w:uiPriority w:val="0"/>
    <w:pPr>
      <w:tabs>
        <w:tab w:val="right" w:leader="dot" w:pos="8296"/>
      </w:tabs>
      <w:ind w:left="210"/>
      <w:jc w:val="left"/>
    </w:pPr>
    <w:rPr>
      <w:smallCaps/>
    </w:rPr>
  </w:style>
  <w:style w:type="paragraph" w:styleId="17">
    <w:name w:val="Body Text 2"/>
    <w:basedOn w:val="1"/>
    <w:qFormat/>
    <w:uiPriority w:val="0"/>
    <w:pPr>
      <w:spacing w:line="360" w:lineRule="auto"/>
    </w:pPr>
    <w:rPr>
      <w:sz w:val="24"/>
    </w:rPr>
  </w:style>
  <w:style w:type="paragraph" w:styleId="18">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9">
    <w:name w:val="annotation subject"/>
    <w:basedOn w:val="6"/>
    <w:next w:val="6"/>
    <w:link w:val="36"/>
    <w:autoRedefine/>
    <w:semiHidden/>
    <w:unhideWhenUsed/>
    <w:qFormat/>
    <w:uiPriority w:val="99"/>
    <w:rPr>
      <w:b/>
      <w:bCs/>
    </w:rPr>
  </w:style>
  <w:style w:type="paragraph" w:styleId="20">
    <w:name w:val="Body Text First Indent 2"/>
    <w:basedOn w:val="10"/>
    <w:autoRedefine/>
    <w:qFormat/>
    <w:uiPriority w:val="0"/>
    <w:pPr>
      <w:ind w:firstLine="420" w:firstLineChars="200"/>
    </w:pPr>
    <w:rPr>
      <w:szCs w:val="24"/>
    </w:rPr>
  </w:style>
  <w:style w:type="table" w:styleId="22">
    <w:name w:val="Table Grid"/>
    <w:basedOn w:val="2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qFormat/>
    <w:uiPriority w:val="0"/>
    <w:rPr>
      <w:rFonts w:ascii="Times New Roman" w:hAnsi="Times New Roman" w:eastAsia="宋体" w:cs="Times New Roman"/>
      <w:b/>
      <w:bCs/>
    </w:rPr>
  </w:style>
  <w:style w:type="character" w:styleId="25">
    <w:name w:val="page number"/>
    <w:basedOn w:val="23"/>
    <w:qFormat/>
    <w:uiPriority w:val="0"/>
  </w:style>
  <w:style w:type="character" w:styleId="26">
    <w:name w:val="Hyperlink"/>
    <w:autoRedefine/>
    <w:qFormat/>
    <w:uiPriority w:val="99"/>
    <w:rPr>
      <w:color w:val="0000FF"/>
      <w:u w:val="single"/>
    </w:rPr>
  </w:style>
  <w:style w:type="character" w:styleId="27">
    <w:name w:val="annotation reference"/>
    <w:basedOn w:val="23"/>
    <w:autoRedefine/>
    <w:semiHidden/>
    <w:unhideWhenUsed/>
    <w:qFormat/>
    <w:uiPriority w:val="99"/>
    <w:rPr>
      <w:sz w:val="21"/>
      <w:szCs w:val="21"/>
    </w:rPr>
  </w:style>
  <w:style w:type="paragraph" w:customStyle="1" w:styleId="28">
    <w:name w:val="表格文字"/>
    <w:basedOn w:val="1"/>
    <w:autoRedefine/>
    <w:qFormat/>
    <w:uiPriority w:val="0"/>
    <w:pPr>
      <w:spacing w:before="25" w:after="25" w:line="240" w:lineRule="auto"/>
      <w:ind w:firstLine="0"/>
      <w:jc w:val="left"/>
    </w:pPr>
    <w:rPr>
      <w:bCs/>
      <w:spacing w:val="10"/>
      <w:kern w:val="0"/>
      <w:sz w:val="24"/>
    </w:rPr>
  </w:style>
  <w:style w:type="character" w:customStyle="1" w:styleId="29">
    <w:name w:val="日期 Char"/>
    <w:basedOn w:val="23"/>
    <w:link w:val="12"/>
    <w:autoRedefine/>
    <w:qFormat/>
    <w:uiPriority w:val="0"/>
    <w:rPr>
      <w:rFonts w:ascii="宋体" w:hAnsi="Courier New" w:eastAsia="宋体" w:cs="Times New Roman"/>
      <w:kern w:val="0"/>
      <w:sz w:val="32"/>
      <w:szCs w:val="20"/>
    </w:rPr>
  </w:style>
  <w:style w:type="character" w:customStyle="1" w:styleId="30">
    <w:name w:val="日期 Char1"/>
    <w:basedOn w:val="23"/>
    <w:link w:val="12"/>
    <w:autoRedefine/>
    <w:semiHidden/>
    <w:qFormat/>
    <w:uiPriority w:val="99"/>
    <w:rPr>
      <w:rFonts w:ascii="Calibri" w:hAnsi="Calibri" w:eastAsia="宋体" w:cs="Times New Roman"/>
    </w:rPr>
  </w:style>
  <w:style w:type="character" w:customStyle="1" w:styleId="31">
    <w:name w:val="批注框文本 Char"/>
    <w:basedOn w:val="23"/>
    <w:link w:val="13"/>
    <w:autoRedefine/>
    <w:semiHidden/>
    <w:qFormat/>
    <w:uiPriority w:val="99"/>
    <w:rPr>
      <w:rFonts w:ascii="Calibri" w:hAnsi="Calibri" w:eastAsia="宋体" w:cs="Times New Roman"/>
      <w:sz w:val="18"/>
      <w:szCs w:val="18"/>
    </w:rPr>
  </w:style>
  <w:style w:type="character" w:customStyle="1" w:styleId="32">
    <w:name w:val="页眉 Char"/>
    <w:basedOn w:val="23"/>
    <w:link w:val="15"/>
    <w:autoRedefine/>
    <w:semiHidden/>
    <w:qFormat/>
    <w:uiPriority w:val="99"/>
    <w:rPr>
      <w:rFonts w:ascii="Calibri" w:hAnsi="Calibri" w:eastAsia="宋体" w:cs="Times New Roman"/>
      <w:sz w:val="18"/>
      <w:szCs w:val="18"/>
    </w:rPr>
  </w:style>
  <w:style w:type="character" w:customStyle="1" w:styleId="33">
    <w:name w:val="页脚 Char"/>
    <w:basedOn w:val="23"/>
    <w:link w:val="14"/>
    <w:autoRedefine/>
    <w:qFormat/>
    <w:uiPriority w:val="99"/>
    <w:rPr>
      <w:rFonts w:ascii="Calibri" w:hAnsi="Calibri" w:eastAsia="宋体" w:cs="Times New Roman"/>
      <w:sz w:val="18"/>
      <w:szCs w:val="18"/>
    </w:rPr>
  </w:style>
  <w:style w:type="character" w:customStyle="1" w:styleId="34">
    <w:name w:val="标题 1 Char"/>
    <w:basedOn w:val="23"/>
    <w:link w:val="2"/>
    <w:autoRedefine/>
    <w:qFormat/>
    <w:uiPriority w:val="0"/>
    <w:rPr>
      <w:rFonts w:ascii="宋体" w:hAnsi="Calibri" w:eastAsia="宋体" w:cs="Times New Roman"/>
      <w:color w:val="000000"/>
      <w:sz w:val="28"/>
      <w:szCs w:val="20"/>
    </w:rPr>
  </w:style>
  <w:style w:type="character" w:customStyle="1" w:styleId="35">
    <w:name w:val="批注文字 Char"/>
    <w:basedOn w:val="23"/>
    <w:link w:val="6"/>
    <w:autoRedefine/>
    <w:qFormat/>
    <w:uiPriority w:val="99"/>
    <w:rPr>
      <w:rFonts w:ascii="Calibri" w:hAnsi="Calibri" w:eastAsia="宋体" w:cs="Times New Roman"/>
    </w:rPr>
  </w:style>
  <w:style w:type="character" w:customStyle="1" w:styleId="36">
    <w:name w:val="批注主题 Char"/>
    <w:basedOn w:val="35"/>
    <w:link w:val="19"/>
    <w:autoRedefine/>
    <w:semiHidden/>
    <w:qFormat/>
    <w:uiPriority w:val="99"/>
    <w:rPr>
      <w:b/>
      <w:bCs/>
    </w:rPr>
  </w:style>
  <w:style w:type="character" w:customStyle="1" w:styleId="37">
    <w:name w:val="纯文本 Char"/>
    <w:link w:val="11"/>
    <w:autoRedefine/>
    <w:qFormat/>
    <w:uiPriority w:val="0"/>
    <w:rPr>
      <w:rFonts w:ascii="宋体" w:hAnsi="Courier New"/>
    </w:rPr>
  </w:style>
  <w:style w:type="character" w:customStyle="1" w:styleId="38">
    <w:name w:val="纯文本 Char1"/>
    <w:basedOn w:val="23"/>
    <w:link w:val="11"/>
    <w:autoRedefine/>
    <w:semiHidden/>
    <w:qFormat/>
    <w:uiPriority w:val="99"/>
    <w:rPr>
      <w:rFonts w:ascii="宋体" w:hAnsi="Courier New" w:eastAsia="宋体" w:cs="Courier New"/>
      <w:szCs w:val="21"/>
    </w:rPr>
  </w:style>
  <w:style w:type="character" w:customStyle="1" w:styleId="39">
    <w:name w:val="标题 2 Char"/>
    <w:basedOn w:val="23"/>
    <w:link w:val="3"/>
    <w:autoRedefine/>
    <w:qFormat/>
    <w:uiPriority w:val="0"/>
    <w:rPr>
      <w:rFonts w:ascii="Arial" w:hAnsi="Arial" w:eastAsia="宋体" w:cs="Times New Roman"/>
      <w:b/>
      <w:bCs/>
      <w:sz w:val="32"/>
      <w:szCs w:val="32"/>
    </w:rPr>
  </w:style>
  <w:style w:type="character" w:customStyle="1" w:styleId="40">
    <w:name w:val="标题 3 Char"/>
    <w:basedOn w:val="23"/>
    <w:link w:val="4"/>
    <w:autoRedefine/>
    <w:semiHidden/>
    <w:qFormat/>
    <w:uiPriority w:val="9"/>
    <w:rPr>
      <w:rFonts w:ascii="Calibri" w:hAnsi="Calibri" w:eastAsia="宋体" w:cs="Times New Roman"/>
      <w:b/>
      <w:bCs/>
      <w:sz w:val="32"/>
      <w:szCs w:val="32"/>
    </w:rPr>
  </w:style>
  <w:style w:type="character" w:customStyle="1" w:styleId="41">
    <w:name w:val="标题 4 Char"/>
    <w:basedOn w:val="23"/>
    <w:link w:val="5"/>
    <w:autoRedefine/>
    <w:qFormat/>
    <w:uiPriority w:val="0"/>
    <w:rPr>
      <w:rFonts w:ascii="Cambria" w:hAnsi="Cambria" w:eastAsia="宋体" w:cs="Times New Roman"/>
      <w:b/>
      <w:bCs/>
      <w:sz w:val="28"/>
      <w:szCs w:val="28"/>
    </w:rPr>
  </w:style>
  <w:style w:type="paragraph" w:customStyle="1" w:styleId="42">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3">
    <w:name w:val="1"/>
    <w:basedOn w:val="1"/>
    <w:next w:val="11"/>
    <w:autoRedefine/>
    <w:qFormat/>
    <w:uiPriority w:val="0"/>
    <w:rPr>
      <w:rFonts w:ascii="宋体" w:hAnsi="Courier New"/>
      <w:szCs w:val="20"/>
    </w:rPr>
  </w:style>
  <w:style w:type="paragraph" w:customStyle="1" w:styleId="44">
    <w:name w:val="8"/>
    <w:basedOn w:val="1"/>
    <w:next w:val="11"/>
    <w:autoRedefine/>
    <w:qFormat/>
    <w:uiPriority w:val="0"/>
    <w:rPr>
      <w:rFonts w:ascii="宋体" w:hAnsi="Courier New"/>
      <w:szCs w:val="20"/>
    </w:rPr>
  </w:style>
  <w:style w:type="paragraph" w:customStyle="1" w:styleId="45">
    <w:name w:val="_Style 55"/>
    <w:basedOn w:val="1"/>
    <w:next w:val="11"/>
    <w:autoRedefine/>
    <w:qFormat/>
    <w:uiPriority w:val="0"/>
    <w:rPr>
      <w:rFonts w:ascii="宋体" w:hAnsi="Courier New"/>
      <w:szCs w:val="20"/>
    </w:rPr>
  </w:style>
  <w:style w:type="paragraph" w:customStyle="1" w:styleId="46">
    <w:name w:val="7"/>
    <w:basedOn w:val="1"/>
    <w:next w:val="11"/>
    <w:link w:val="47"/>
    <w:autoRedefine/>
    <w:qFormat/>
    <w:uiPriority w:val="0"/>
    <w:rPr>
      <w:rFonts w:ascii="宋体" w:hAnsi="Courier New"/>
      <w:szCs w:val="20"/>
    </w:rPr>
  </w:style>
  <w:style w:type="character" w:customStyle="1" w:styleId="47">
    <w:name w:val="Char1"/>
    <w:link w:val="46"/>
    <w:autoRedefine/>
    <w:qFormat/>
    <w:uiPriority w:val="0"/>
    <w:rPr>
      <w:rFonts w:ascii="宋体" w:hAnsi="Courier New" w:eastAsia="宋体" w:cs="Times New Roman"/>
      <w:szCs w:val="20"/>
    </w:rPr>
  </w:style>
  <w:style w:type="paragraph" w:customStyle="1" w:styleId="48">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4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0">
    <w:name w:val="表正文"/>
    <w:basedOn w:val="1"/>
    <w:qFormat/>
    <w:uiPriority w:val="0"/>
    <w:rPr>
      <w:sz w:val="18"/>
    </w:rPr>
  </w:style>
  <w:style w:type="paragraph" w:customStyle="1" w:styleId="51">
    <w:name w:val="表格并列项"/>
    <w:basedOn w:val="52"/>
    <w:qFormat/>
    <w:uiPriority w:val="0"/>
    <w:pPr>
      <w:tabs>
        <w:tab w:val="left" w:pos="839"/>
      </w:tabs>
      <w:spacing w:before="40" w:after="40"/>
      <w:ind w:left="840" w:firstLineChars="0"/>
    </w:pPr>
  </w:style>
  <w:style w:type="paragraph" w:customStyle="1" w:styleId="52">
    <w:name w:val="并列项"/>
    <w:basedOn w:val="7"/>
    <w:qFormat/>
    <w:uiPriority w:val="0"/>
    <w:pPr>
      <w:numPr>
        <w:ilvl w:val="0"/>
        <w:numId w:val="1"/>
      </w:numPr>
      <w:snapToGrid w:val="0"/>
      <w:ind w:left="420"/>
      <w:contextualSpacing/>
    </w:pPr>
    <w:rPr>
      <w:rFonts w:cs="Cambria"/>
    </w:rPr>
  </w:style>
  <w:style w:type="paragraph" w:customStyle="1" w:styleId="53">
    <w:name w:val="Normal Indent"/>
    <w:basedOn w:val="1"/>
    <w:next w:val="1"/>
    <w:qFormat/>
    <w:uiPriority w:val="0"/>
    <w:pPr>
      <w:ind w:firstLine="420"/>
    </w:pPr>
    <w:rPr>
      <w:rFonts w:ascii="Calibri" w:hAnsi="Calibri" w:eastAsia="宋体"/>
      <w:szCs w:val="20"/>
    </w:rPr>
  </w:style>
  <w:style w:type="paragraph" w:customStyle="1" w:styleId="54">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5">
    <w:name w:val="批注文字 字符"/>
    <w:basedOn w:val="23"/>
    <w:link w:val="6"/>
    <w:autoRedefine/>
    <w:qFormat/>
    <w:uiPriority w:val="0"/>
    <w:rPr>
      <w:rFonts w:asciiTheme="minorHAnsi" w:hAnsiTheme="minorHAnsi" w:eastAsiaTheme="minorEastAsia" w:cstheme="minorBidi"/>
      <w:kern w:val="2"/>
      <w:sz w:val="21"/>
      <w:szCs w:val="24"/>
    </w:rPr>
  </w:style>
  <w:style w:type="paragraph" w:customStyle="1" w:styleId="56">
    <w:name w:val=".."/>
    <w:basedOn w:val="1"/>
    <w:next w:val="1"/>
    <w:qFormat/>
    <w:uiPriority w:val="0"/>
    <w:pPr>
      <w:autoSpaceDE w:val="0"/>
      <w:autoSpaceDN w:val="0"/>
      <w:adjustRightInd w:val="0"/>
      <w:jc w:val="left"/>
    </w:pPr>
    <w:rPr>
      <w:rFonts w:ascii="Arial Unicode MS" w:hAnsi="Times New Roman" w:eastAsia="Arial Unicode MS"/>
      <w:kern w:val="0"/>
      <w:sz w:val="24"/>
      <w:szCs w:val="24"/>
    </w:rPr>
  </w:style>
  <w:style w:type="paragraph" w:customStyle="1" w:styleId="5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9</Pages>
  <Words>1293</Words>
  <Characters>1343</Characters>
  <Lines>229</Lines>
  <Paragraphs>64</Paragraphs>
  <TotalTime>0</TotalTime>
  <ScaleCrop>false</ScaleCrop>
  <LinksUpToDate>false</LinksUpToDate>
  <CharactersWithSpaces>1344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2025-10-17T03:53:32Z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