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宋体" w:hAnsi="宋体" w:eastAsia="宋体" w:cs="宋体"/>
          <w:b/>
          <w:sz w:val="44"/>
          <w:szCs w:val="44"/>
          <w:highlight w:val="none"/>
          <w:lang w:val="en-US" w:eastAsia="zh-CN"/>
        </w:rPr>
      </w:pPr>
      <w:r>
        <w:rPr>
          <w:rFonts w:hint="eastAsia" w:ascii="宋体" w:hAnsi="宋体" w:eastAsia="宋体" w:cs="宋体"/>
          <w:b/>
          <w:sz w:val="44"/>
          <w:szCs w:val="44"/>
          <w:highlight w:val="none"/>
          <w:lang w:val="en-US" w:eastAsia="zh-CN"/>
        </w:rPr>
        <w:t>《兴业银行</w:t>
      </w:r>
      <w:r>
        <w:rPr>
          <w:rFonts w:hint="eastAsia" w:ascii="宋体" w:hAnsi="宋体" w:cs="宋体"/>
          <w:b/>
          <w:sz w:val="44"/>
          <w:szCs w:val="44"/>
          <w:highlight w:val="none"/>
          <w:lang w:val="en-US" w:eastAsia="zh-CN"/>
        </w:rPr>
        <w:t>深圳分行</w:t>
      </w:r>
      <w:r>
        <w:rPr>
          <w:rFonts w:hint="eastAsia" w:ascii="宋体" w:hAnsi="宋体" w:eastAsia="宋体" w:cs="宋体"/>
          <w:b/>
          <w:sz w:val="44"/>
          <w:szCs w:val="44"/>
          <w:highlight w:val="none"/>
          <w:lang w:val="en-US" w:eastAsia="zh-CN"/>
        </w:rPr>
        <w:t>关于联合深圳地铁集团开展信用卡获客营销活动项目》供应商征集</w:t>
      </w:r>
      <w:r>
        <w:rPr>
          <w:rFonts w:hint="eastAsia" w:ascii="宋体" w:hAnsi="宋体" w:cs="宋体"/>
          <w:b/>
          <w:sz w:val="44"/>
          <w:szCs w:val="44"/>
          <w:highlight w:val="none"/>
          <w:lang w:val="en-US" w:eastAsia="zh-CN"/>
        </w:rPr>
        <w:t>调研</w:t>
      </w:r>
      <w:r>
        <w:rPr>
          <w:rFonts w:hint="eastAsia" w:ascii="宋体" w:hAnsi="宋体" w:eastAsia="宋体" w:cs="宋体"/>
          <w:b/>
          <w:sz w:val="44"/>
          <w:szCs w:val="44"/>
          <w:highlight w:val="none"/>
          <w:lang w:val="en-US" w:eastAsia="zh-CN"/>
        </w:rPr>
        <w:t>反馈材料-公司名称（全称）</w:t>
      </w:r>
    </w:p>
    <w:p>
      <w:pPr>
        <w:ind w:left="0" w:leftChars="0" w:firstLine="0" w:firstLineChars="0"/>
        <w:jc w:val="center"/>
        <w:rPr>
          <w:rFonts w:hint="eastAsia" w:ascii="仿宋" w:hAnsi="仿宋" w:eastAsia="仿宋"/>
          <w:b/>
          <w:bCs/>
          <w:sz w:val="36"/>
          <w:szCs w:val="36"/>
          <w:highlight w:val="none"/>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highlight w:val="none"/>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第一部分 对应页码P1-P20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第三部分 对应页码P31-P40</w:t>
      </w:r>
    </w:p>
    <w:p>
      <w:pPr>
        <w:pStyle w:val="4"/>
        <w:tabs>
          <w:tab w:val="left" w:pos="992"/>
        </w:tabs>
        <w:ind w:firstLine="0" w:firstLineChars="0"/>
        <w:jc w:val="center"/>
        <w:outlineLvl w:val="0"/>
        <w:rPr>
          <w:rFonts w:hint="eastAsia"/>
          <w:highlight w:val="none"/>
          <w:lang w:val="en-US" w:eastAsia="zh-CN"/>
        </w:rPr>
      </w:pPr>
      <w:r>
        <w:rPr>
          <w:rFonts w:hint="eastAsia" w:ascii="仿宋" w:hAnsi="仿宋" w:eastAsia="仿宋" w:cs="Times New Roman"/>
          <w:b/>
          <w:bCs/>
          <w:kern w:val="2"/>
          <w:sz w:val="28"/>
          <w:szCs w:val="28"/>
          <w:highlight w:val="none"/>
          <w:lang w:val="en-US" w:eastAsia="zh-CN" w:bidi="ar-SA"/>
        </w:rPr>
        <w:t>第四部分 对应页码P41-P50</w:t>
      </w:r>
    </w:p>
    <w:p>
      <w:pPr>
        <w:pStyle w:val="10"/>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一</w:t>
      </w:r>
      <w:r>
        <w:rPr>
          <w:rFonts w:hint="eastAsia" w:ascii="黑体" w:hAnsi="黑体" w:eastAsia="黑体" w:cs="黑体"/>
          <w:b w:val="0"/>
          <w:bCs/>
          <w:sz w:val="32"/>
          <w:szCs w:val="32"/>
          <w:highlight w:val="none"/>
          <w:lang w:eastAsia="zh-CN"/>
        </w:rPr>
        <w:t>、</w:t>
      </w:r>
      <w:r>
        <w:rPr>
          <w:rFonts w:hint="eastAsia" w:ascii="黑体" w:hAnsi="黑体" w:eastAsia="黑体" w:cs="黑体"/>
          <w:b w:val="0"/>
          <w:bCs/>
          <w:sz w:val="32"/>
          <w:szCs w:val="32"/>
          <w:highlight w:val="none"/>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（“是否满足”和“基本情况说明”列由供应商填写。）</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6"/>
        <w:gridCol w:w="1957"/>
        <w:gridCol w:w="4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审核事项</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是否满足（是/否）</w:t>
            </w: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1.1采购需求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为保持信用卡发卡势头，紧抓岁末年初业务发展机遇，做好信用卡优质场景获客营销活动。分行信用卡中心拟联合有高客流量、年轻客群为主的深圳地铁广告服务商开展联合营销服务</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w:t>
            </w:r>
            <w:r>
              <w:rPr>
                <w:rFonts w:hint="eastAsia" w:ascii="仿宋" w:hAnsi="仿宋" w:eastAsia="仿宋" w:cs="仿宋"/>
                <w:b w:val="0"/>
                <w:bCs w:val="0"/>
                <w:sz w:val="28"/>
                <w:szCs w:val="28"/>
                <w:highlight w:val="none"/>
                <w:lang w:val="en-US" w:eastAsia="zh-CN"/>
              </w:rPr>
              <w:t>.2</w:t>
            </w:r>
            <w:r>
              <w:rPr>
                <w:rFonts w:hint="eastAsia" w:ascii="仿宋" w:hAnsi="仿宋" w:eastAsia="仿宋" w:cs="仿宋"/>
                <w:b w:val="0"/>
                <w:bCs w:val="0"/>
                <w:sz w:val="28"/>
                <w:szCs w:val="28"/>
                <w:highlight w:val="none"/>
              </w:rPr>
              <w:t>服务要求</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w:t>
            </w:r>
            <w:r>
              <w:rPr>
                <w:rFonts w:hint="eastAsia" w:ascii="仿宋" w:hAnsi="仿宋" w:eastAsia="仿宋" w:cs="仿宋"/>
                <w:b w:val="0"/>
                <w:bCs w:val="0"/>
                <w:sz w:val="28"/>
                <w:szCs w:val="28"/>
                <w:highlight w:val="none"/>
                <w:lang w:val="en-US" w:eastAsia="zh-CN"/>
              </w:rPr>
              <w:t>2</w:t>
            </w:r>
            <w:r>
              <w:rPr>
                <w:rFonts w:hint="eastAsia" w:ascii="仿宋" w:hAnsi="仿宋" w:eastAsia="仿宋" w:cs="仿宋"/>
                <w:b w:val="0"/>
                <w:bCs w:val="0"/>
                <w:sz w:val="28"/>
                <w:szCs w:val="28"/>
                <w:highlight w:val="none"/>
              </w:rPr>
              <w:t>.1</w:t>
            </w:r>
            <w:r>
              <w:rPr>
                <w:rFonts w:hint="eastAsia" w:ascii="仿宋_GB2312" w:hAnsi="仿宋_GB2312" w:eastAsia="仿宋_GB2312" w:cs="仿宋_GB2312"/>
                <w:color w:val="auto"/>
                <w:sz w:val="32"/>
                <w:szCs w:val="32"/>
                <w:highlight w:val="none"/>
                <w:lang w:val="en-US" w:eastAsia="zh-CN"/>
              </w:rPr>
              <w:t>在2025年11月15日至2026年04月31日项目期间拥有深圳地铁集团有限公司3/5/7/11号线华新/机场/灵芝站点闸机贴广告位置合作授权，同时满足有5号线大学城站点扶梯广告、1/3/5/10/11号线车公庙/前海湾/布吉/灵芝/华为/机场站点的展陈广告投放资源。</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lang w:eastAsia="zh-CN"/>
              </w:rPr>
            </w:pPr>
            <w:r>
              <w:rPr>
                <w:rFonts w:hint="eastAsia" w:ascii="仿宋_GB2312" w:hAnsi="仿宋_GB2312" w:eastAsia="仿宋_GB2312" w:cs="仿宋_GB2312"/>
                <w:color w:val="auto"/>
                <w:sz w:val="32"/>
                <w:szCs w:val="32"/>
                <w:lang w:val="en-US" w:eastAsia="zh-CN"/>
              </w:rPr>
              <w:t>1.2.2 专职团队规模大于或等于5人，活动策划、广告设计人员从事营销活动行业1年以上。</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lang w:eastAsia="zh-CN"/>
              </w:rPr>
            </w:pPr>
            <w:r>
              <w:rPr>
                <w:rFonts w:hint="eastAsia" w:ascii="仿宋" w:hAnsi="仿宋" w:eastAsia="仿宋" w:cs="仿宋"/>
                <w:i w:val="0"/>
                <w:iCs w:val="0"/>
                <w:caps w:val="0"/>
                <w:color w:val="000000"/>
                <w:spacing w:val="0"/>
                <w:kern w:val="0"/>
                <w:sz w:val="32"/>
                <w:szCs w:val="32"/>
                <w:lang w:val="en-US" w:eastAsia="zh-CN" w:bidi="ar"/>
              </w:rPr>
              <w:t xml:space="preserve">1.2.3 </w:t>
            </w:r>
            <w:r>
              <w:rPr>
                <w:rFonts w:hint="eastAsia" w:ascii="仿宋" w:hAnsi="仿宋" w:eastAsia="仿宋" w:cs="仿宋"/>
                <w:color w:val="auto"/>
                <w:kern w:val="0"/>
                <w:sz w:val="32"/>
                <w:szCs w:val="28"/>
                <w:highlight w:val="none"/>
              </w:rPr>
              <w:t>服务时效可满足作业要求，具有履行</w:t>
            </w:r>
            <w:r>
              <w:rPr>
                <w:rFonts w:hint="eastAsia" w:ascii="仿宋" w:hAnsi="仿宋" w:eastAsia="仿宋" w:cs="仿宋"/>
                <w:color w:val="auto"/>
                <w:kern w:val="0"/>
                <w:sz w:val="32"/>
                <w:szCs w:val="28"/>
              </w:rPr>
              <w:t>合同所必须的资源、设备、</w:t>
            </w:r>
            <w:r>
              <w:rPr>
                <w:rFonts w:hint="eastAsia" w:ascii="仿宋" w:hAnsi="仿宋" w:eastAsia="仿宋" w:cs="仿宋"/>
                <w:color w:val="auto"/>
                <w:kern w:val="0"/>
                <w:sz w:val="32"/>
                <w:szCs w:val="28"/>
                <w:lang w:val="en-US" w:eastAsia="zh-CN"/>
              </w:rPr>
              <w:t>运营管理</w:t>
            </w:r>
            <w:r>
              <w:rPr>
                <w:rFonts w:hint="eastAsia" w:ascii="仿宋" w:hAnsi="仿宋" w:eastAsia="仿宋" w:cs="仿宋"/>
                <w:color w:val="auto"/>
                <w:kern w:val="0"/>
                <w:sz w:val="32"/>
                <w:szCs w:val="28"/>
              </w:rPr>
              <w:t>能力及业务后期保障服务能力</w:t>
            </w:r>
            <w:r>
              <w:rPr>
                <w:rFonts w:hint="eastAsia" w:ascii="仿宋" w:hAnsi="仿宋" w:eastAsia="仿宋" w:cs="仿宋"/>
                <w:color w:val="auto"/>
                <w:kern w:val="0"/>
                <w:sz w:val="32"/>
                <w:szCs w:val="28"/>
                <w:lang w:eastAsia="zh-CN"/>
              </w:rPr>
              <w:t>。</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w:t>
            </w:r>
            <w:r>
              <w:rPr>
                <w:rFonts w:hint="eastAsia" w:ascii="仿宋" w:hAnsi="仿宋" w:eastAsia="仿宋" w:cs="仿宋"/>
                <w:b w:val="0"/>
                <w:bCs w:val="0"/>
                <w:sz w:val="28"/>
                <w:szCs w:val="28"/>
                <w:highlight w:val="none"/>
                <w:lang w:val="en-US" w:eastAsia="zh-CN"/>
              </w:rPr>
              <w:t>3</w:t>
            </w:r>
            <w:r>
              <w:rPr>
                <w:rFonts w:hint="eastAsia" w:ascii="仿宋" w:hAnsi="仿宋" w:eastAsia="仿宋" w:cs="仿宋"/>
                <w:b w:val="0"/>
                <w:bCs w:val="0"/>
                <w:sz w:val="28"/>
                <w:szCs w:val="28"/>
                <w:highlight w:val="none"/>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1.3.1 </w:t>
            </w:r>
            <w:r>
              <w:rPr>
                <w:rFonts w:hint="eastAsia" w:ascii="仿宋" w:hAnsi="仿宋" w:eastAsia="仿宋" w:cs="仿宋"/>
                <w:i w:val="0"/>
                <w:iCs w:val="0"/>
                <w:caps w:val="0"/>
                <w:color w:val="000000"/>
                <w:spacing w:val="0"/>
                <w:kern w:val="0"/>
                <w:sz w:val="32"/>
                <w:szCs w:val="32"/>
                <w:highlight w:val="none"/>
                <w:lang w:val="en-US" w:eastAsia="zh-CN" w:bidi="ar"/>
              </w:rPr>
              <w:t>企业成立3年以上，近三年财务稳健，可稳定提供服务。</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w:t>
            </w:r>
            <w:r>
              <w:rPr>
                <w:rFonts w:hint="eastAsia" w:ascii="仿宋" w:hAnsi="仿宋" w:eastAsia="仿宋" w:cs="仿宋"/>
                <w:b w:val="0"/>
                <w:bCs w:val="0"/>
                <w:sz w:val="28"/>
                <w:szCs w:val="28"/>
                <w:highlight w:val="none"/>
                <w:lang w:val="en-US" w:eastAsia="zh-CN"/>
              </w:rPr>
              <w:t>3</w:t>
            </w:r>
            <w:r>
              <w:rPr>
                <w:rFonts w:hint="eastAsia" w:ascii="仿宋" w:hAnsi="仿宋" w:eastAsia="仿宋" w:cs="仿宋"/>
                <w:b w:val="0"/>
                <w:bCs w:val="0"/>
                <w:sz w:val="28"/>
                <w:szCs w:val="28"/>
                <w:highlight w:val="none"/>
              </w:rPr>
              <w:t>.</w:t>
            </w:r>
            <w:r>
              <w:rPr>
                <w:rFonts w:hint="eastAsia" w:ascii="仿宋" w:hAnsi="仿宋" w:eastAsia="仿宋" w:cs="仿宋"/>
                <w:b w:val="0"/>
                <w:bCs w:val="0"/>
                <w:sz w:val="28"/>
                <w:szCs w:val="28"/>
                <w:highlight w:val="none"/>
                <w:lang w:val="en-US" w:eastAsia="zh-CN"/>
              </w:rPr>
              <w:t>2</w:t>
            </w:r>
            <w:r>
              <w:rPr>
                <w:rFonts w:hint="eastAsia" w:ascii="仿宋" w:hAnsi="仿宋" w:eastAsia="仿宋" w:cs="仿宋"/>
                <w:i w:val="0"/>
                <w:iCs w:val="0"/>
                <w:caps w:val="0"/>
                <w:color w:val="000000"/>
                <w:spacing w:val="0"/>
                <w:kern w:val="0"/>
                <w:sz w:val="32"/>
                <w:szCs w:val="32"/>
                <w:highlight w:val="none"/>
                <w:lang w:val="en-US" w:eastAsia="zh-CN" w:bidi="ar"/>
              </w:rPr>
              <w:t>供应商2022年11月1日至今有与20家国内系统重要性银行分行级及以上、企事业单位合作开展的在深圳地铁有</w:t>
            </w:r>
            <w:r>
              <w:rPr>
                <w:rFonts w:hint="eastAsia" w:ascii="仿宋_GB2312" w:hAnsi="仿宋_GB2312" w:eastAsia="仿宋_GB2312" w:cs="仿宋_GB2312"/>
                <w:color w:val="auto"/>
                <w:sz w:val="32"/>
                <w:szCs w:val="32"/>
                <w:highlight w:val="none"/>
                <w:lang w:val="en-US" w:eastAsia="zh-CN"/>
              </w:rPr>
              <w:t>3/5/7/11号线站点</w:t>
            </w:r>
            <w:r>
              <w:rPr>
                <w:rFonts w:hint="eastAsia" w:ascii="仿宋" w:hAnsi="仿宋" w:eastAsia="仿宋" w:cs="仿宋"/>
                <w:i w:val="0"/>
                <w:iCs w:val="0"/>
                <w:caps w:val="0"/>
                <w:color w:val="000000"/>
                <w:spacing w:val="0"/>
                <w:kern w:val="0"/>
                <w:sz w:val="32"/>
                <w:szCs w:val="32"/>
                <w:highlight w:val="none"/>
                <w:lang w:val="en-US" w:eastAsia="zh-CN" w:bidi="ar"/>
              </w:rPr>
              <w:t>闸机贴广告位置投放的成功案例（须提供相关案例合同证明材料，如果合同无显示金额则需要提供对应合同的发票，以合同签订日期为准）。</w:t>
            </w:r>
            <w:r>
              <w:rPr>
                <w:rFonts w:hint="eastAsia" w:ascii="仿宋" w:hAnsi="仿宋" w:eastAsia="仿宋" w:cs="仿宋"/>
                <w:i w:val="0"/>
                <w:iCs w:val="0"/>
                <w:caps w:val="0"/>
                <w:color w:val="000000"/>
                <w:spacing w:val="0"/>
                <w:kern w:val="0"/>
                <w:sz w:val="32"/>
                <w:szCs w:val="32"/>
                <w:highlight w:val="none"/>
                <w:lang w:val="en-US" w:eastAsia="zh-CN" w:bidi="ar"/>
              </w:rPr>
              <w:br w:type="textWrapping"/>
            </w:r>
            <w:r>
              <w:rPr>
                <w:rFonts w:hint="eastAsia" w:ascii="仿宋" w:hAnsi="仿宋" w:eastAsia="仿宋" w:cs="仿宋"/>
                <w:i w:val="0"/>
                <w:iCs w:val="0"/>
                <w:caps w:val="0"/>
                <w:color w:val="000000"/>
                <w:spacing w:val="0"/>
                <w:kern w:val="0"/>
                <w:sz w:val="32"/>
                <w:szCs w:val="32"/>
                <w:highlight w:val="none"/>
                <w:lang w:val="en-US" w:eastAsia="zh-CN" w:bidi="ar"/>
              </w:rPr>
              <w:t>20家国内系统重要性银行：工行、中行、建行、农行、交行、邮储、招商、兴业、中信、浦发、光大、民生、平安、华夏、广发、宁波、江苏、上海、北京、南京。</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2.1依法成立，为存续、在营、开业、在册、登记成立等正常企业状态</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2.2在兴业银行开立对公账户，若中标本项目，则通过兴业银行对公账户结算该项目相关费用</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2.3充分理解我行服务需求并能够根据需求提供相应的服务</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2.4具有良好的商业信誉且经营正常</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2.5依法缴纳税收和社会保障资金</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2.6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不在兴业银行供应商禁用/退出期内</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3"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2.7经营范围经国家行政管理部门依法批准，同时获得从事行业有效执业证明、行政许可、专业资质等证照</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15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2.8两年内目标服务领域未出现严重安全事件</w:t>
            </w:r>
          </w:p>
        </w:tc>
        <w:tc>
          <w:tcPr>
            <w:tcW w:w="114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691"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sz w:val="32"/>
          <w:szCs w:val="32"/>
          <w:highlight w:val="none"/>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二、</w:t>
      </w:r>
      <w:r>
        <w:rPr>
          <w:rFonts w:hint="eastAsia" w:ascii="黑体" w:hAnsi="黑体" w:eastAsia="黑体" w:cs="黑体"/>
          <w:b w:val="0"/>
          <w:bCs/>
          <w:sz w:val="32"/>
          <w:szCs w:val="32"/>
          <w:highlight w:val="none"/>
        </w:rPr>
        <w:t>供应商基础信息部分</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none"/>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是否已在兴业银行开立对公账户：</w:t>
            </w:r>
            <w:r>
              <w:rPr>
                <w:rFonts w:hint="eastAsia" w:ascii="仿宋" w:hAnsi="仿宋" w:eastAsia="仿宋" w:cs="仿宋"/>
                <w:b/>
                <w:sz w:val="28"/>
                <w:szCs w:val="28"/>
                <w:highlight w:val="none"/>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若未开户，是否可以承诺若中标则在兴业银行开立对公账户并通过该账户结算该项目相关费用：</w:t>
            </w:r>
            <w:r>
              <w:rPr>
                <w:rFonts w:hint="eastAsia" w:ascii="仿宋" w:hAnsi="仿宋" w:eastAsia="仿宋" w:cs="仿宋"/>
                <w:b/>
                <w:sz w:val="28"/>
                <w:szCs w:val="28"/>
                <w:highlight w:val="none"/>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i w:val="0"/>
                <w:iCs w:val="0"/>
                <w:sz w:val="28"/>
                <w:szCs w:val="28"/>
                <w:highlight w:val="none"/>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财务指标</w:t>
            </w:r>
          </w:p>
        </w:tc>
        <w:tc>
          <w:tcPr>
            <w:tcW w:w="4563" w:type="dxa"/>
          </w:tcPr>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一、资产总额：</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近三年营收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近三年利润</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auto"/>
                <w:kern w:val="2"/>
                <w:sz w:val="28"/>
                <w:szCs w:val="28"/>
                <w:highlight w:val="none"/>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三</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highlight w:val="none"/>
                <w:lang w:val="en-GB"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val="en-GB" w:eastAsia="zh-CN"/>
              </w:rPr>
              <w:t>目标服务领域</w:t>
            </w:r>
            <w:r>
              <w:rPr>
                <w:rFonts w:hint="eastAsia" w:ascii="仿宋" w:hAnsi="仿宋" w:eastAsia="仿宋" w:cs="仿宋"/>
                <w:sz w:val="28"/>
                <w:szCs w:val="28"/>
                <w:highlight w:val="none"/>
                <w:lang w:val="en-US" w:eastAsia="zh-CN"/>
              </w:rPr>
              <w:t>是否</w:t>
            </w:r>
            <w:r>
              <w:rPr>
                <w:rFonts w:hint="eastAsia" w:ascii="仿宋" w:hAnsi="仿宋" w:eastAsia="仿宋" w:cs="仿宋"/>
                <w:sz w:val="28"/>
                <w:szCs w:val="28"/>
                <w:highlight w:val="none"/>
                <w:lang w:val="en-GB" w:eastAsia="zh-CN"/>
              </w:rPr>
              <w:t>出现严重安全事件。</w:t>
            </w:r>
          </w:p>
          <w:p>
            <w:pPr>
              <w:pStyle w:val="10"/>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sz w:val="28"/>
                <w:szCs w:val="28"/>
                <w:highlight w:val="none"/>
                <w:lang w:val="en-US" w:eastAsia="zh-CN"/>
              </w:rPr>
              <w:t>2.提供</w:t>
            </w:r>
            <w:r>
              <w:rPr>
                <w:rFonts w:hint="eastAsia" w:ascii="仿宋" w:hAnsi="仿宋" w:eastAsia="仿宋" w:cs="仿宋"/>
                <w:sz w:val="28"/>
                <w:szCs w:val="28"/>
                <w:highlight w:val="none"/>
                <w:lang w:val="en-GB" w:eastAsia="zh-CN"/>
              </w:rPr>
              <w:t>“信用中国</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重大税收违法案件当事人名单”、“中国执行信息公开网</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失信被执行人名单”、“中国政府采购网</w:t>
            </w:r>
            <w:r>
              <w:rPr>
                <w:rFonts w:hint="eastAsia" w:ascii="仿宋" w:hAnsi="仿宋" w:eastAsia="仿宋" w:cs="仿宋"/>
                <w:sz w:val="28"/>
                <w:szCs w:val="28"/>
                <w:highlight w:val="none"/>
                <w:lang w:val="en-US" w:eastAsia="zh-CN"/>
              </w:rPr>
              <w:t>-政府采购严重违法失信行为信息记录名单</w:t>
            </w:r>
            <w:r>
              <w:rPr>
                <w:rFonts w:hint="eastAsia" w:ascii="仿宋" w:hAnsi="仿宋" w:eastAsia="仿宋" w:cs="仿宋"/>
                <w:sz w:val="28"/>
                <w:szCs w:val="28"/>
                <w:highlight w:val="none"/>
                <w:lang w:val="en-GB" w:eastAsia="zh-CN"/>
              </w:rPr>
              <w:t>”、“国家企业信用信息公示系统</w:t>
            </w:r>
            <w:r>
              <w:rPr>
                <w:rFonts w:hint="eastAsia" w:ascii="仿宋" w:hAnsi="仿宋" w:eastAsia="仿宋" w:cs="仿宋"/>
                <w:sz w:val="28"/>
                <w:szCs w:val="28"/>
                <w:highlight w:val="none"/>
                <w:lang w:val="en-US" w:eastAsia="zh-CN"/>
              </w:rPr>
              <w:t>-严重违法失信企业名单</w:t>
            </w:r>
            <w:r>
              <w:rPr>
                <w:rFonts w:hint="eastAsia" w:ascii="仿宋" w:hAnsi="仿宋" w:eastAsia="仿宋" w:cs="仿宋"/>
                <w:sz w:val="28"/>
                <w:szCs w:val="28"/>
                <w:highlight w:val="none"/>
                <w:lang w:val="en-GB" w:eastAsia="zh-CN"/>
              </w:rPr>
              <w:t>”平台</w:t>
            </w:r>
            <w:r>
              <w:rPr>
                <w:rFonts w:hint="eastAsia" w:ascii="仿宋" w:hAnsi="仿宋" w:eastAsia="仿宋" w:cs="仿宋"/>
                <w:sz w:val="28"/>
                <w:szCs w:val="28"/>
                <w:highlight w:val="none"/>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三、</w:t>
      </w:r>
      <w:r>
        <w:rPr>
          <w:rFonts w:hint="eastAsia" w:ascii="黑体" w:hAnsi="黑体" w:eastAsia="黑体" w:cs="黑体"/>
          <w:b w:val="0"/>
          <w:bCs/>
          <w:sz w:val="32"/>
          <w:szCs w:val="32"/>
          <w:highlight w:val="none"/>
        </w:rPr>
        <w:t>与本项目相关的案例情况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i w:val="0"/>
          <w:iCs w:val="0"/>
          <w:caps w:val="0"/>
          <w:color w:val="000000"/>
          <w:spacing w:val="0"/>
          <w:kern w:val="0"/>
          <w:sz w:val="32"/>
          <w:szCs w:val="32"/>
          <w:highlight w:val="none"/>
          <w:lang w:val="en-US" w:eastAsia="zh-CN" w:bidi="ar"/>
        </w:rPr>
        <w:t>具备</w:t>
      </w:r>
      <w:bookmarkStart w:id="0" w:name="_GoBack"/>
      <w:bookmarkEnd w:id="0"/>
      <w:r>
        <w:rPr>
          <w:rFonts w:hint="eastAsia" w:ascii="仿宋" w:hAnsi="仿宋" w:eastAsia="仿宋" w:cs="仿宋"/>
          <w:i w:val="0"/>
          <w:iCs w:val="0"/>
          <w:caps w:val="0"/>
          <w:color w:val="000000"/>
          <w:spacing w:val="0"/>
          <w:kern w:val="0"/>
          <w:sz w:val="32"/>
          <w:szCs w:val="32"/>
          <w:highlight w:val="none"/>
          <w:lang w:val="en-US" w:eastAsia="zh-CN" w:bidi="ar"/>
        </w:rPr>
        <w:t>2022年11月1日至今有与20家国内系统重要性银行分行级及以上、企事业单位合作开展的在深圳地铁有</w:t>
      </w:r>
      <w:r>
        <w:rPr>
          <w:rFonts w:hint="eastAsia" w:ascii="仿宋_GB2312" w:hAnsi="仿宋_GB2312" w:eastAsia="仿宋_GB2312" w:cs="仿宋_GB2312"/>
          <w:color w:val="auto"/>
          <w:sz w:val="32"/>
          <w:szCs w:val="32"/>
          <w:highlight w:val="none"/>
          <w:lang w:val="en-US" w:eastAsia="zh-CN"/>
        </w:rPr>
        <w:t>3/5/7/11号线站点</w:t>
      </w:r>
      <w:r>
        <w:rPr>
          <w:rFonts w:hint="eastAsia" w:ascii="仿宋" w:hAnsi="仿宋" w:eastAsia="仿宋" w:cs="仿宋"/>
          <w:i w:val="0"/>
          <w:iCs w:val="0"/>
          <w:caps w:val="0"/>
          <w:color w:val="000000"/>
          <w:spacing w:val="0"/>
          <w:kern w:val="0"/>
          <w:sz w:val="32"/>
          <w:szCs w:val="32"/>
          <w:highlight w:val="none"/>
          <w:lang w:val="en-US" w:eastAsia="zh-CN" w:bidi="ar"/>
        </w:rPr>
        <w:t>闸机贴广告位置投放的成功案例（须提供相关案例合同证明材料，如果合同无显示金额则需要提供对应合同的发票，以合同签订日期为准）。</w:t>
      </w:r>
      <w:r>
        <w:rPr>
          <w:rFonts w:hint="eastAsia" w:ascii="仿宋" w:hAnsi="仿宋" w:eastAsia="仿宋" w:cs="仿宋"/>
          <w:i w:val="0"/>
          <w:iCs w:val="0"/>
          <w:caps w:val="0"/>
          <w:color w:val="000000"/>
          <w:spacing w:val="0"/>
          <w:sz w:val="32"/>
          <w:szCs w:val="32"/>
          <w:shd w:val="clear" w:fill="FFFFFF"/>
        </w:rPr>
        <w:t>【重要提醒：请供应商将符合本项要求的案例，尽量全部提交。】</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例：建设银行</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四、</w:t>
      </w:r>
      <w:r>
        <w:rPr>
          <w:rFonts w:hint="eastAsia" w:ascii="黑体" w:hAnsi="黑体" w:eastAsia="黑体" w:cs="黑体"/>
          <w:b w:val="0"/>
          <w:bCs/>
          <w:sz w:val="32"/>
          <w:szCs w:val="32"/>
          <w:highlight w:val="none"/>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rPr>
      </w:pP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lang w:val="en-US" w:eastAsia="zh-CN"/>
        </w:rPr>
        <w:t>一</w:t>
      </w: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highlight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（二）公司资质、认证等材料（</w:t>
      </w:r>
      <w:r>
        <w:rPr>
          <w:rFonts w:hint="eastAsia" w:ascii="楷体" w:hAnsi="楷体" w:eastAsia="楷体" w:cs="楷体"/>
          <w:b w:val="0"/>
          <w:bCs w:val="0"/>
          <w:sz w:val="32"/>
          <w:szCs w:val="32"/>
          <w:highlight w:val="none"/>
          <w:lang w:val="en-US" w:eastAsia="zh-CN"/>
        </w:rPr>
        <w:t>扫描件</w:t>
      </w:r>
      <w:r>
        <w:rPr>
          <w:rFonts w:hint="eastAsia" w:ascii="楷体" w:hAnsi="楷体" w:eastAsia="楷体" w:cs="楷体"/>
          <w:b w:val="0"/>
          <w:bCs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highlight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（三）与兴业银行历史合作情况</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highlight w:val="none"/>
                <w:u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highlight w:val="none"/>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bl>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3FF2DC1"/>
    <w:rsid w:val="049715A7"/>
    <w:rsid w:val="04B26EF8"/>
    <w:rsid w:val="0DED7F9F"/>
    <w:rsid w:val="10111B39"/>
    <w:rsid w:val="13DD0D7A"/>
    <w:rsid w:val="183F51CF"/>
    <w:rsid w:val="18735F82"/>
    <w:rsid w:val="189139F8"/>
    <w:rsid w:val="24C843FA"/>
    <w:rsid w:val="27542F00"/>
    <w:rsid w:val="29D52E74"/>
    <w:rsid w:val="2E1F1A7A"/>
    <w:rsid w:val="2F824369"/>
    <w:rsid w:val="3506172F"/>
    <w:rsid w:val="365B1D40"/>
    <w:rsid w:val="36F83C41"/>
    <w:rsid w:val="4072194E"/>
    <w:rsid w:val="4C0220A2"/>
    <w:rsid w:val="503B1E49"/>
    <w:rsid w:val="54D84438"/>
    <w:rsid w:val="56A372A1"/>
    <w:rsid w:val="56D25756"/>
    <w:rsid w:val="5966279D"/>
    <w:rsid w:val="5D760178"/>
    <w:rsid w:val="6C8F22A2"/>
    <w:rsid w:val="6E7B5824"/>
    <w:rsid w:val="73AE73C6"/>
    <w:rsid w:val="79330017"/>
    <w:rsid w:val="799643CC"/>
    <w:rsid w:val="7AE42C97"/>
    <w:rsid w:val="7B2302A3"/>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HTML Preformatted"/>
    <w:basedOn w:val="1"/>
    <w:semiHidden/>
    <w:qFormat/>
    <w:uiPriority w:val="0"/>
    <w:pPr>
      <w:topLinePunct w:val="0"/>
    </w:pPr>
    <w:rPr>
      <w:rFonts w:ascii="Courier New" w:hAnsi="Courier New" w:cs="Courier New"/>
      <w:sz w:val="20"/>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首行缩进 21"/>
    <w:basedOn w:val="11"/>
    <w:qFormat/>
    <w:uiPriority w:val="0"/>
    <w:pPr>
      <w:widowControl/>
      <w:ind w:firstLine="420"/>
    </w:pPr>
    <w:rPr>
      <w:szCs w:val="20"/>
    </w:rPr>
  </w:style>
  <w:style w:type="paragraph" w:customStyle="1" w:styleId="11">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张珊珊-135433</cp:lastModifiedBy>
  <dcterms:modified xsi:type="dcterms:W3CDTF">2025-11-12T08:51:25Z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F8204B0BA9714E5CB8393EC8049FC2C0</vt:lpwstr>
  </property>
</Properties>
</file>