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pPr>
        <w:topLinePunct w:val="0"/>
        <w:spacing w:after="187" w:afterLines="60" w:line="579" w:lineRule="exact"/>
        <w:jc w:val="center"/>
        <w:outlineLvl w:val="0"/>
        <w:rPr>
          <w:rFonts w:ascii="宋体" w:hAnsi="宋体" w:cs="宋体"/>
          <w:b/>
          <w:sz w:val="44"/>
          <w:szCs w:val="44"/>
        </w:rPr>
      </w:pPr>
      <w:r>
        <w:rPr>
          <w:rFonts w:hint="eastAsia" w:ascii="宋体" w:hAnsi="宋体" w:cs="宋体"/>
          <w:b/>
          <w:sz w:val="44"/>
          <w:szCs w:val="44"/>
        </w:rPr>
        <w:t>《兴业银行深圳分行现金类自助设备运营服务外包项目》供应商征集反馈材料-公司名称（全称）</w:t>
      </w:r>
    </w:p>
    <w:p>
      <w:pPr>
        <w:jc w:val="center"/>
        <w:rPr>
          <w:rFonts w:ascii="仿宋" w:hAnsi="仿宋" w:eastAsia="仿宋"/>
          <w:b/>
          <w:bCs/>
          <w:sz w:val="36"/>
          <w:szCs w:val="36"/>
        </w:rPr>
      </w:pPr>
    </w:p>
    <w:p>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pPr>
        <w:pStyle w:val="5"/>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pPr>
        <w:pStyle w:val="5"/>
        <w:tabs>
          <w:tab w:val="left" w:pos="992"/>
        </w:tabs>
        <w:ind w:firstLine="0" w:firstLineChars="0"/>
        <w:jc w:val="center"/>
        <w:outlineLvl w:val="0"/>
      </w:pPr>
      <w:r>
        <w:rPr>
          <w:rFonts w:hint="eastAsia" w:ascii="仿宋" w:hAnsi="仿宋" w:eastAsia="仿宋"/>
          <w:b/>
          <w:bCs/>
        </w:rPr>
        <w:t>第四部分 对应页码P41-P50</w:t>
      </w:r>
    </w:p>
    <w:p>
      <w:pPr>
        <w:pStyle w:val="14"/>
      </w:pPr>
    </w:p>
    <w:p>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一、项目要求应答部分</w:t>
      </w:r>
    </w:p>
    <w:p>
      <w:pPr>
        <w:spacing w:line="579"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（该部分的“审核事项”列由需求（统筹管理）部门填写，“审核事项”中的各点，请和征集公告文档中的第一和第二部分要求一一对应。“是否满足”和“基本情况说明”列由供应商填写。）</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2" w:type="pct"/>
            <w:vAlign w:val="center"/>
          </w:tcPr>
          <w:p>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spacing w:line="320" w:lineRule="exact"/>
              <w:jc w:val="left"/>
              <w:rPr>
                <w:rFonts w:ascii="仿宋" w:hAnsi="仿宋" w:eastAsia="仿宋" w:cs="仿宋"/>
                <w:sz w:val="28"/>
                <w:szCs w:val="28"/>
              </w:rPr>
            </w:pPr>
            <w:r>
              <w:rPr>
                <w:rFonts w:hint="eastAsia" w:ascii="仿宋" w:hAnsi="仿宋" w:eastAsia="仿宋" w:cs="仿宋"/>
                <w:sz w:val="28"/>
                <w:szCs w:val="28"/>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1.1本项目为针对2026至2028年度为期两年现金类自助设备运营服务外包项目采购。服务商应具备相关业务资质，在法律法规及监管规定允许范围内，按照我行要求提供现金类自助设备运营外包服务，含现金类自助设备的清机加钞、日常维护、回钞清点、吞没卡处理、故障排查、环境卫生保洁等，以及需符合《银行金库》等中华人民共和国公共安全行业标准和金融行业标准的金库保管款箱寄库和查库服务。</w:t>
            </w:r>
          </w:p>
          <w:p>
            <w:pPr>
              <w:spacing w:line="320" w:lineRule="exact"/>
              <w:rPr>
                <w:rFonts w:ascii="仿宋" w:hAnsi="仿宋" w:eastAsia="仿宋" w:cs="仿宋"/>
                <w:sz w:val="28"/>
                <w:szCs w:val="28"/>
              </w:rPr>
            </w:pPr>
            <w:r>
              <w:rPr>
                <w:rFonts w:hint="eastAsia" w:ascii="仿宋" w:hAnsi="仿宋" w:eastAsia="仿宋" w:cs="仿宋"/>
                <w:sz w:val="28"/>
                <w:szCs w:val="28"/>
              </w:rPr>
              <w:t>本次采购现金类自助设备运营服务外包项目的服务费用，根据实际外包服务项目据实结算。</w:t>
            </w:r>
          </w:p>
        </w:tc>
        <w:tc>
          <w:tcPr>
            <w:tcW w:w="1183" w:type="pct"/>
            <w:vAlign w:val="center"/>
          </w:tcPr>
          <w:p>
            <w:pPr>
              <w:spacing w:line="320" w:lineRule="exact"/>
              <w:rPr>
                <w:rFonts w:ascii="仿宋" w:hAnsi="仿宋" w:eastAsia="仿宋" w:cs="仿宋"/>
                <w:kern w:val="0"/>
                <w:sz w:val="32"/>
                <w:szCs w:val="32"/>
                <w:lang w:bidi="ar"/>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topLinePunct w:val="0"/>
              <w:spacing w:line="579" w:lineRule="exact"/>
              <w:outlineLvl w:val="1"/>
              <w:rPr>
                <w:rFonts w:hint="eastAsia" w:ascii="仿宋" w:hAnsi="仿宋" w:eastAsia="仿宋" w:cs="仿宋"/>
                <w:sz w:val="28"/>
                <w:szCs w:val="28"/>
                <w:lang w:eastAsia="zh-CN"/>
              </w:rPr>
            </w:pPr>
            <w:r>
              <w:rPr>
                <w:rFonts w:hint="eastAsia" w:ascii="仿宋" w:hAnsi="仿宋" w:eastAsia="仿宋" w:cs="仿宋"/>
                <w:sz w:val="28"/>
                <w:szCs w:val="28"/>
              </w:rPr>
              <w:t>1.2</w:t>
            </w:r>
            <w:r>
              <w:rPr>
                <w:rFonts w:hint="eastAsia" w:ascii="仿宋" w:hAnsi="仿宋" w:eastAsia="仿宋" w:cs="仿宋"/>
                <w:sz w:val="28"/>
                <w:szCs w:val="28"/>
                <w:lang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.1可从事银行机构现金押运、现金清分、自助设备托管、金库管理、加钞备用金存放、护卫守押业务。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lang w:val="en-US" w:eastAsia="zh-CN"/>
              </w:rPr>
              <w:t>.2配备武装押运车辆及人员，保证清机加钞时机具现金钞箱的运输安全。</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.3配备具有货币防伪业务培训效果测评合格证等相关证书的现金清分人员团队。清分人员通过反假货币培训并具备反假货币资质，能胜任现金清分工作。</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color w:val="auto"/>
                <w:sz w:val="28"/>
                <w:szCs w:val="28"/>
              </w:rPr>
              <w:t>1.2</w:t>
            </w:r>
            <w:r>
              <w:rPr>
                <w:rFonts w:hint="eastAsia" w:ascii="仿宋" w:hAnsi="仿宋" w:eastAsia="仿宋" w:cs="仿宋"/>
                <w:color w:val="auto"/>
                <w:sz w:val="28"/>
                <w:szCs w:val="28"/>
                <w:lang w:val="en-US" w:eastAsia="zh-CN"/>
              </w:rPr>
              <w:t>.4有专门系统对接外包清机加钞、维护指令下发，能通过系统与我行进行账务核对。</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.5持有保安服务许可证。</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default" w:ascii="仿宋" w:hAnsi="仿宋" w:eastAsia="仿宋" w:cs="仿宋"/>
                <w:sz w:val="28"/>
                <w:szCs w:val="28"/>
                <w:lang w:val="en-US"/>
              </w:rPr>
            </w:pPr>
            <w:r>
              <w:rPr>
                <w:rFonts w:hint="eastAsia" w:ascii="仿宋" w:hAnsi="仿宋" w:eastAsia="仿宋" w:cs="仿宋"/>
                <w:sz w:val="28"/>
                <w:szCs w:val="28"/>
              </w:rPr>
              <w:t>1.2</w:t>
            </w:r>
            <w:r>
              <w:rPr>
                <w:rFonts w:hint="eastAsia" w:ascii="仿宋" w:hAnsi="仿宋" w:eastAsia="仿宋" w:cs="仿宋"/>
                <w:sz w:val="28"/>
                <w:szCs w:val="28"/>
                <w:lang w:val="en-US" w:eastAsia="zh-CN"/>
              </w:rPr>
              <w:t>.6持有安全防范设施合格证。</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.7应购买足额保险。</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1.3.1中标方应按合同约定，负责对我行委托的标的物进行保管、押运和武装护卫，并且按照双方确定的加钞及维护任务负责全程、安全、押运护卫。</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1.3.2涉及的服务为：自助设备现金及物品管理（包括银行调拨现金处理、加钞现金准备及装盒、回笼现金清点、现金库存管理、</w:t>
            </w:r>
            <w:r>
              <w:rPr>
                <w:rFonts w:hint="eastAsia" w:ascii="仿宋" w:hAnsi="仿宋" w:eastAsia="仿宋" w:cs="仿宋"/>
                <w:sz w:val="28"/>
                <w:szCs w:val="28"/>
                <w:lang w:val="en-US" w:eastAsia="zh-CN"/>
              </w:rPr>
              <w:t>钞箱</w:t>
            </w:r>
            <w:r>
              <w:rPr>
                <w:rFonts w:hint="eastAsia" w:ascii="仿宋" w:hAnsi="仿宋" w:eastAsia="仿宋" w:cs="仿宋"/>
                <w:sz w:val="28"/>
                <w:szCs w:val="28"/>
              </w:rPr>
              <w:t>管理、钥匙）；自助设备清机加钞及配套的账务吞卡处理；设备日常非技术性检查维护及其他临时任务（含卡钞、紧急取卡等）；配合完成设备维修保养、软件升级等；其他综合服务项目（紧急报警查看、司法现场取证、设备操作间定期卫生清洁，及其他双方约定的辅助服务项目）。</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1.3.3正常工作时间内，维护任务每次服务响应时间不超过【120】分钟,应急响应时间不超过【90】分钟。超时10分钟内扣减当次服务费10%，10分钟以上半小时以内扣减50%，半小时以上扣减当次全部服务费。</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lang w:val="en-US" w:eastAsia="zh-CN"/>
              </w:rPr>
              <w:t>3</w:t>
            </w:r>
            <w:r>
              <w:rPr>
                <w:rFonts w:ascii="仿宋" w:hAnsi="仿宋" w:eastAsia="仿宋" w:cs="仿宋"/>
                <w:sz w:val="28"/>
                <w:szCs w:val="28"/>
              </w:rPr>
              <w:t>.</w:t>
            </w:r>
            <w:r>
              <w:rPr>
                <w:rFonts w:hint="eastAsia" w:ascii="仿宋" w:hAnsi="仿宋" w:eastAsia="仿宋" w:cs="仿宋"/>
                <w:sz w:val="28"/>
                <w:szCs w:val="28"/>
                <w:lang w:val="en-US" w:eastAsia="zh-CN"/>
              </w:rPr>
              <w:t>4具有履行合同所必需的设备和专业技术能力，在深圳市本地有专职的服务团队，须提供相关证明材料（如本地团队人员社保缴纳记录、办公场所租赁合同等）</w:t>
            </w:r>
            <w:r>
              <w:rPr>
                <w:rFonts w:hint="eastAsia" w:ascii="仿宋" w:hAnsi="仿宋" w:eastAsia="仿宋" w:cs="仿宋"/>
                <w:sz w:val="28"/>
                <w:szCs w:val="28"/>
              </w:rPr>
              <w:t>。</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宋体"/>
                <w:color w:val="000000"/>
                <w:kern w:val="0"/>
                <w:sz w:val="32"/>
                <w:szCs w:val="32"/>
              </w:rPr>
              <w:t>1</w:t>
            </w:r>
            <w:r>
              <w:rPr>
                <w:rFonts w:ascii="仿宋" w:hAnsi="仿宋" w:eastAsia="仿宋" w:cs="宋体"/>
                <w:color w:val="000000"/>
                <w:kern w:val="0"/>
                <w:sz w:val="32"/>
                <w:szCs w:val="32"/>
              </w:rPr>
              <w:t>.4</w:t>
            </w:r>
            <w:r>
              <w:rPr>
                <w:rFonts w:hint="eastAsia" w:ascii="仿宋" w:hAnsi="仿宋" w:eastAsia="仿宋" w:cs="仿宋"/>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.4.1</w:t>
            </w:r>
            <w:r>
              <w:rPr>
                <w:rFonts w:hint="eastAsia" w:ascii="仿宋" w:hAnsi="仿宋" w:eastAsia="仿宋" w:cs="仿宋"/>
                <w:sz w:val="28"/>
                <w:szCs w:val="28"/>
              </w:rPr>
              <w:t>企业成立3年以上，近三年财务稳健，可稳定提供服务。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2具有金融武装押运能力及现金处理业务经验</w:t>
            </w:r>
            <w:r>
              <w:rPr>
                <w:rFonts w:hint="eastAsia" w:ascii="仿宋" w:hAnsi="仿宋" w:eastAsia="仿宋" w:cs="仿宋"/>
                <w:sz w:val="28"/>
                <w:szCs w:val="28"/>
              </w:rPr>
              <w:t>。</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3</w:t>
            </w:r>
            <w:r>
              <w:rPr>
                <w:rFonts w:hint="eastAsia" w:ascii="仿宋" w:hAnsi="仿宋" w:eastAsia="仿宋" w:cs="仿宋"/>
                <w:sz w:val="28"/>
                <w:szCs w:val="28"/>
              </w:rPr>
              <w:t>具备2023年</w:t>
            </w:r>
            <w:r>
              <w:rPr>
                <w:rFonts w:hint="eastAsia" w:ascii="仿宋" w:hAnsi="仿宋" w:eastAsia="仿宋" w:cs="仿宋"/>
                <w:sz w:val="28"/>
                <w:szCs w:val="28"/>
                <w:lang w:val="en-US" w:eastAsia="zh-CN"/>
              </w:rPr>
              <w:t>4</w:t>
            </w:r>
            <w:r>
              <w:rPr>
                <w:rFonts w:hint="eastAsia" w:ascii="仿宋" w:hAnsi="仿宋" w:eastAsia="仿宋" w:cs="仿宋"/>
                <w:sz w:val="28"/>
                <w:szCs w:val="28"/>
              </w:rPr>
              <w:t>月1日至今与21家国内系统重要性银行分行级/或其子公司合作开展的现金类自助设备运营服务外包项目采购的成功案例（以合同签订时间为准）</w:t>
            </w:r>
            <w:r>
              <w:rPr>
                <w:rFonts w:hint="eastAsia" w:ascii="仿宋" w:hAnsi="仿宋" w:eastAsia="仿宋" w:cs="仿宋"/>
                <w:color w:val="auto"/>
                <w:sz w:val="28"/>
                <w:szCs w:val="28"/>
              </w:rPr>
              <w:t>。</w:t>
            </w:r>
            <w:r>
              <w:rPr>
                <w:rFonts w:hint="eastAsia" w:ascii="仿宋" w:hAnsi="仿宋" w:eastAsia="仿宋" w:cs="仿宋"/>
                <w:sz w:val="28"/>
                <w:szCs w:val="28"/>
              </w:rPr>
              <w:t>提供有效的证明资料：合同复印件，包括采购事项内容页、合同金额页、买卖双方名称页及盖章页等。备注：①供应商若只提供一个符合要求的案例，则默认为该供应商仅有一个案例符合要求；②若供应商有多个案例符合要求，请供应商提供多个符合要求的案例。</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4</w:t>
            </w:r>
            <w:bookmarkStart w:id="1" w:name="_GoBack"/>
            <w:bookmarkEnd w:id="1"/>
            <w:r>
              <w:rPr>
                <w:rFonts w:hint="eastAsia" w:ascii="仿宋" w:hAnsi="仿宋" w:eastAsia="仿宋" w:cs="仿宋"/>
                <w:sz w:val="28"/>
                <w:szCs w:val="28"/>
                <w:lang w:val="en-US" w:eastAsia="zh-CN"/>
              </w:rPr>
              <w:t>具备自主经营能力，禁止外包。不允许挂靠、转保单位，不接受联合体投标，不允许分包</w:t>
            </w:r>
            <w:r>
              <w:rPr>
                <w:rFonts w:hint="eastAsia" w:ascii="仿宋" w:hAnsi="仿宋" w:eastAsia="仿宋" w:cs="仿宋"/>
                <w:sz w:val="28"/>
                <w:szCs w:val="28"/>
              </w:rPr>
              <w:t>。</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2.1依法成立，为存续、在营、开业、在册、登记成立等正常企业状态。</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2.2在兴业银行开立对公账户，若中标本项目，则通过兴业银行对公账户结算该项目相关费用。</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2.3充分理解我行服务需求并能够根据需求提供相应的服务。</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2.4具有良好的商业信誉和财务情况。</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2.5依法缴纳税收和社会保障资金。</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2.6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兴业银行供应商禁用/退出期内。</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2.7经营范围经国家行政管理部门依法批准，同时获得从事行业有效执业证明、行政许可、专业资质等证照。</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spacing w:line="320" w:lineRule="exact"/>
              <w:rPr>
                <w:rFonts w:ascii="仿宋" w:hAnsi="仿宋" w:eastAsia="仿宋" w:cs="仿宋"/>
                <w:sz w:val="28"/>
                <w:szCs w:val="28"/>
              </w:rPr>
            </w:pPr>
            <w:r>
              <w:rPr>
                <w:rFonts w:hint="eastAsia" w:ascii="仿宋" w:hAnsi="仿宋" w:eastAsia="仿宋" w:cs="仿宋"/>
                <w:sz w:val="28"/>
                <w:szCs w:val="28"/>
              </w:rPr>
              <w:t>2.8两年内目标服务领域未出现严重安全事件。</w:t>
            </w:r>
          </w:p>
        </w:tc>
        <w:tc>
          <w:tcPr>
            <w:tcW w:w="1183" w:type="pct"/>
            <w:vAlign w:val="center"/>
          </w:tcPr>
          <w:p>
            <w:pPr>
              <w:spacing w:line="320" w:lineRule="exact"/>
              <w:rPr>
                <w:rFonts w:ascii="仿宋" w:hAnsi="仿宋" w:eastAsia="仿宋" w:cs="仿宋"/>
                <w:sz w:val="28"/>
                <w:szCs w:val="28"/>
              </w:rPr>
            </w:pPr>
          </w:p>
        </w:tc>
        <w:tc>
          <w:tcPr>
            <w:tcW w:w="2732" w:type="pct"/>
            <w:vAlign w:val="center"/>
          </w:tcPr>
          <w:p>
            <w:pPr>
              <w:spacing w:line="320" w:lineRule="exact"/>
              <w:rPr>
                <w:rFonts w:ascii="仿宋" w:hAnsi="仿宋" w:eastAsia="仿宋" w:cs="仿宋"/>
                <w:sz w:val="28"/>
                <w:szCs w:val="28"/>
              </w:rPr>
            </w:pPr>
          </w:p>
        </w:tc>
      </w:tr>
    </w:tbl>
    <w:p>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一、</w:t>
            </w:r>
          </w:p>
          <w:p>
            <w:pPr>
              <w:spacing w:line="440" w:lineRule="exact"/>
              <w:rPr>
                <w:rFonts w:ascii="仿宋" w:hAnsi="仿宋" w:eastAsia="仿宋" w:cs="仿宋"/>
                <w:sz w:val="28"/>
                <w:szCs w:val="28"/>
              </w:rPr>
            </w:pPr>
            <w:r>
              <w:rPr>
                <w:rFonts w:hint="eastAsia" w:ascii="仿宋" w:hAnsi="仿宋" w:eastAsia="仿宋" w:cs="仿宋"/>
                <w:sz w:val="28"/>
                <w:szCs w:val="28"/>
              </w:rPr>
              <w:t>二、</w:t>
            </w:r>
          </w:p>
          <w:p>
            <w:pPr>
              <w:spacing w:line="440" w:lineRule="exact"/>
              <w:rPr>
                <w:rFonts w:ascii="仿宋" w:hAnsi="仿宋" w:eastAsia="仿宋" w:cs="仿宋"/>
                <w:sz w:val="28"/>
                <w:szCs w:val="28"/>
              </w:rPr>
            </w:pPr>
            <w:r>
              <w:rPr>
                <w:rFonts w:hint="eastAsia" w:ascii="仿宋" w:hAnsi="仿宋" w:eastAsia="仿宋" w:cs="仿宋"/>
                <w:sz w:val="28"/>
                <w:szCs w:val="28"/>
              </w:rPr>
              <w:t>三、</w:t>
            </w:r>
          </w:p>
          <w:p>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pPr>
              <w:spacing w:line="440" w:lineRule="exact"/>
              <w:rPr>
                <w:rFonts w:ascii="仿宋" w:hAnsi="仿宋" w:eastAsia="仿宋" w:cs="仿宋"/>
                <w:sz w:val="28"/>
                <w:szCs w:val="28"/>
              </w:rPr>
            </w:pPr>
            <w:r>
              <w:rPr>
                <w:rFonts w:hint="eastAsia" w:ascii="仿宋" w:hAnsi="仿宋" w:eastAsia="仿宋" w:cs="仿宋"/>
                <w:sz w:val="28"/>
                <w:szCs w:val="28"/>
              </w:rPr>
              <w:t>姓名：</w:t>
            </w:r>
          </w:p>
          <w:p>
            <w:pPr>
              <w:spacing w:line="440" w:lineRule="exact"/>
              <w:rPr>
                <w:rFonts w:ascii="仿宋" w:hAnsi="仿宋" w:eastAsia="仿宋" w:cs="仿宋"/>
                <w:sz w:val="28"/>
                <w:szCs w:val="28"/>
              </w:rPr>
            </w:pPr>
            <w:r>
              <w:rPr>
                <w:rFonts w:hint="eastAsia" w:ascii="仿宋" w:hAnsi="仿宋" w:eastAsia="仿宋" w:cs="仿宋"/>
                <w:sz w:val="28"/>
                <w:szCs w:val="28"/>
              </w:rPr>
              <w:t>职务：</w:t>
            </w:r>
          </w:p>
          <w:p>
            <w:pPr>
              <w:spacing w:line="440" w:lineRule="exact"/>
              <w:rPr>
                <w:rFonts w:ascii="仿宋" w:hAnsi="仿宋" w:eastAsia="仿宋" w:cs="仿宋"/>
                <w:sz w:val="28"/>
                <w:szCs w:val="28"/>
              </w:rPr>
            </w:pPr>
            <w:r>
              <w:rPr>
                <w:rFonts w:hint="eastAsia" w:ascii="仿宋" w:hAnsi="仿宋" w:eastAsia="仿宋" w:cs="仿宋"/>
                <w:sz w:val="28"/>
                <w:szCs w:val="28"/>
              </w:rPr>
              <w:t>手机：</w:t>
            </w:r>
          </w:p>
          <w:p>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pPr>
              <w:spacing w:line="44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pPr>
              <w:pStyle w:val="14"/>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pPr>
        <w:pStyle w:val="4"/>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具备</w:t>
      </w:r>
      <w:r>
        <w:rPr>
          <w:rFonts w:hint="eastAsia" w:ascii="仿宋" w:hAnsi="仿宋" w:eastAsia="仿宋" w:cs="宋体"/>
          <w:color w:val="auto"/>
          <w:kern w:val="0"/>
          <w:sz w:val="32"/>
          <w:szCs w:val="32"/>
        </w:rPr>
        <w:t>2023年</w:t>
      </w:r>
      <w:r>
        <w:rPr>
          <w:rFonts w:hint="eastAsia" w:ascii="仿宋" w:hAnsi="仿宋" w:eastAsia="仿宋" w:cs="宋体"/>
          <w:color w:val="auto"/>
          <w:kern w:val="0"/>
          <w:sz w:val="32"/>
          <w:szCs w:val="32"/>
          <w:lang w:val="en-US" w:eastAsia="zh-CN"/>
        </w:rPr>
        <w:t>4</w:t>
      </w:r>
      <w:r>
        <w:rPr>
          <w:rFonts w:hint="eastAsia" w:ascii="仿宋" w:hAnsi="仿宋" w:eastAsia="仿宋" w:cs="宋体"/>
          <w:color w:val="auto"/>
          <w:kern w:val="0"/>
          <w:sz w:val="32"/>
          <w:szCs w:val="32"/>
        </w:rPr>
        <w:t>月1日</w:t>
      </w:r>
      <w:r>
        <w:rPr>
          <w:rFonts w:hint="eastAsia" w:ascii="仿宋" w:hAnsi="仿宋" w:eastAsia="仿宋" w:cs="宋体"/>
          <w:color w:val="000000"/>
          <w:kern w:val="0"/>
          <w:sz w:val="32"/>
          <w:szCs w:val="32"/>
        </w:rPr>
        <w:t>至今与21家国内系统重要性银行分行级/或其子公司合作开展与本项目相似的成功案例。（须提供相关案例合同证明材料,并标示相关内容，以合同签订日期为准)。备注：①供应商若只提供一个符合要求的案例，则默认为该供应商仅有一个案例符合要求；②若供应商有多个案例符合要求，请供应商提供多个符合要求的案例。</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spacing w:line="460" w:lineRule="exact"/>
              <w:rPr>
                <w:rFonts w:ascii="仿宋" w:hAnsi="仿宋" w:eastAsia="仿宋" w:cs="仿宋"/>
                <w:sz w:val="28"/>
                <w:szCs w:val="28"/>
              </w:rPr>
            </w:pPr>
          </w:p>
        </w:tc>
        <w:tc>
          <w:tcPr>
            <w:tcW w:w="1465" w:type="pct"/>
          </w:tcPr>
          <w:p>
            <w:pPr>
              <w:spacing w:line="460" w:lineRule="exact"/>
              <w:rPr>
                <w:rFonts w:ascii="仿宋" w:hAnsi="仿宋" w:eastAsia="仿宋" w:cs="仿宋"/>
                <w:sz w:val="28"/>
                <w:szCs w:val="28"/>
              </w:rPr>
            </w:pPr>
          </w:p>
        </w:tc>
        <w:tc>
          <w:tcPr>
            <w:tcW w:w="1010" w:type="pct"/>
          </w:tcPr>
          <w:p>
            <w:pPr>
              <w:spacing w:line="460" w:lineRule="exact"/>
              <w:rPr>
                <w:rFonts w:ascii="仿宋" w:hAnsi="仿宋" w:eastAsia="仿宋" w:cs="仿宋"/>
                <w:sz w:val="28"/>
                <w:szCs w:val="28"/>
              </w:rPr>
            </w:pPr>
          </w:p>
        </w:tc>
        <w:tc>
          <w:tcPr>
            <w:tcW w:w="1101" w:type="pct"/>
          </w:tcPr>
          <w:p>
            <w:pPr>
              <w:spacing w:line="460" w:lineRule="exact"/>
              <w:rPr>
                <w:rFonts w:ascii="仿宋" w:hAnsi="仿宋" w:eastAsia="仿宋" w:cs="仿宋"/>
                <w:sz w:val="28"/>
                <w:szCs w:val="28"/>
              </w:rPr>
            </w:pPr>
          </w:p>
        </w:tc>
        <w:tc>
          <w:tcPr>
            <w:tcW w:w="852" w:type="pct"/>
          </w:tcPr>
          <w:p>
            <w:pPr>
              <w:spacing w:line="460" w:lineRule="exact"/>
              <w:rPr>
                <w:rFonts w:ascii="仿宋" w:hAnsi="仿宋" w:eastAsia="仿宋" w:cs="仿宋"/>
                <w:sz w:val="28"/>
                <w:szCs w:val="28"/>
              </w:rPr>
            </w:pPr>
          </w:p>
        </w:tc>
      </w:tr>
    </w:tbl>
    <w:p>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0"/>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tblPrEx>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tblPrEx>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r>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color w:val="000000"/>
                <w:sz w:val="28"/>
                <w:szCs w:val="28"/>
              </w:rPr>
            </w:pPr>
          </w:p>
        </w:tc>
      </w:tr>
    </w:tbl>
    <w:p>
      <w:pPr>
        <w:topLinePunct w:val="0"/>
        <w:spacing w:line="579" w:lineRule="exact"/>
        <w:jc w:val="left"/>
        <w:outlineLvl w:val="0"/>
        <w:rPr>
          <w:rFonts w:ascii="宋体" w:hAnsi="宋体" w:cs="宋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0EC4278"/>
    <w:rsid w:val="022608D0"/>
    <w:rsid w:val="02F72BF6"/>
    <w:rsid w:val="03735996"/>
    <w:rsid w:val="0518316D"/>
    <w:rsid w:val="06F86757"/>
    <w:rsid w:val="09B71346"/>
    <w:rsid w:val="0C894020"/>
    <w:rsid w:val="0D2D19A9"/>
    <w:rsid w:val="0DED7F9F"/>
    <w:rsid w:val="0FDC732D"/>
    <w:rsid w:val="13273FF1"/>
    <w:rsid w:val="13DD0D7A"/>
    <w:rsid w:val="1D3E218A"/>
    <w:rsid w:val="213C1A54"/>
    <w:rsid w:val="23F06269"/>
    <w:rsid w:val="264079B7"/>
    <w:rsid w:val="26EA6341"/>
    <w:rsid w:val="31210B26"/>
    <w:rsid w:val="365B1D40"/>
    <w:rsid w:val="3B6C3489"/>
    <w:rsid w:val="3DA253E2"/>
    <w:rsid w:val="406D1DE7"/>
    <w:rsid w:val="411A3BD9"/>
    <w:rsid w:val="4387636B"/>
    <w:rsid w:val="4C7622A1"/>
    <w:rsid w:val="4FFD05E3"/>
    <w:rsid w:val="503B1E49"/>
    <w:rsid w:val="57055882"/>
    <w:rsid w:val="5966279D"/>
    <w:rsid w:val="5B2C5871"/>
    <w:rsid w:val="5DF42C02"/>
    <w:rsid w:val="61EB3135"/>
    <w:rsid w:val="67D50383"/>
    <w:rsid w:val="72925270"/>
    <w:rsid w:val="730F1C81"/>
    <w:rsid w:val="79330017"/>
    <w:rsid w:val="79AA78B0"/>
    <w:rsid w:val="7A582F1F"/>
    <w:rsid w:val="7B0D52CF"/>
    <w:rsid w:val="7B1C2F4A"/>
    <w:rsid w:val="7C431BDB"/>
    <w:rsid w:val="7CA21615"/>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ind w:firstLine="200" w:firstLineChars="200"/>
    </w:pPr>
    <w:rPr>
      <w:rFonts w:ascii="宋体" w:hAnsi="宋体" w:eastAsia="彩虹粗仿宋"/>
      <w:sz w:val="28"/>
      <w:szCs w:val="28"/>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rPr>
  </w:style>
  <w:style w:type="paragraph" w:styleId="9">
    <w:name w:val="HTML Preformatted"/>
    <w:basedOn w:val="1"/>
    <w:semiHidden/>
    <w:qFormat/>
    <w:uiPriority w:val="0"/>
    <w:pPr>
      <w:topLinePunct w:val="0"/>
    </w:pPr>
    <w:rPr>
      <w:rFonts w:ascii="Courier New" w:hAnsi="Courier New" w:cs="Courier New"/>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otnote reference"/>
    <w:basedOn w:val="12"/>
    <w:qFormat/>
    <w:uiPriority w:val="0"/>
    <w:rPr>
      <w:rFonts w:ascii="仿宋_GB2312" w:hAnsi="仿宋"/>
      <w:bCs/>
      <w:color w:val="000000"/>
      <w:szCs w:val="28"/>
      <w:vertAlign w:val="superscript"/>
    </w:rPr>
  </w:style>
  <w:style w:type="paragraph" w:customStyle="1" w:styleId="14">
    <w:name w:val="正文首行缩进 21"/>
    <w:basedOn w:val="15"/>
    <w:qFormat/>
    <w:uiPriority w:val="0"/>
    <w:pPr>
      <w:widowControl/>
      <w:ind w:firstLine="420"/>
    </w:pPr>
    <w:rPr>
      <w:szCs w:val="20"/>
    </w:rPr>
  </w:style>
  <w:style w:type="paragraph" w:customStyle="1" w:styleId="15">
    <w:name w:val="正文文本缩进1"/>
    <w:basedOn w:val="1"/>
    <w:qFormat/>
    <w:uiPriority w:val="0"/>
    <w:pPr>
      <w:spacing w:line="500" w:lineRule="exact"/>
      <w:ind w:firstLine="880"/>
    </w:pPr>
    <w:rPr>
      <w:szCs w:val="22"/>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CIBSZ</Company>
  <Pages>12</Pages>
  <Words>317</Words>
  <Characters>1813</Characters>
  <Lines>15</Lines>
  <Paragraphs>4</Paragraphs>
  <TotalTime>0</TotalTime>
  <ScaleCrop>false</ScaleCrop>
  <LinksUpToDate>false</LinksUpToDate>
  <CharactersWithSpaces>2126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CIB</cp:lastModifiedBy>
  <cp:lastPrinted>2026-04-17T03:55:00Z</cp:lastPrinted>
  <dcterms:modified xsi:type="dcterms:W3CDTF">2026-05-07T02:31:12Z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6FA2AE60C8794A2CB42EB748048A9652</vt:lpwstr>
  </property>
</Properties>
</file>